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7 -->
  <w:body>
    <w:p>
      <w:pPr>
        <w:rPr>
          <w:rFonts w:ascii="arial" w:eastAsia="arial" w:hAnsi="arial" w:cs="arial"/>
          <w:sz w:val="20"/>
          <w:lang w:val="en-US" w:eastAsia="en-US" w:bidi="ar-SA"/>
        </w:rPr>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 w:history="1">
        <w:r>
          <w:rPr>
            <w:rFonts w:ascii="arial" w:eastAsia="arial" w:hAnsi="arial" w:cs="arial"/>
            <w:b/>
            <w:bCs/>
            <w:i/>
            <w:color w:val="0077CC"/>
            <w:kern w:val="32"/>
            <w:sz w:val="28"/>
            <w:szCs w:val="32"/>
            <w:u w:val="single"/>
            <w:shd w:val="clear" w:color="auto" w:fill="FFFFFF"/>
            <w:lang w:val="en-US" w:eastAsia="en-US" w:bidi="ar-SA"/>
          </w:rPr>
          <w:t>Fabian v. Song, [2018] B.C.J. No. 896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 Morellato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July 24-28, 31, August 1-3, 29-30, October 2,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11,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M146359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[2018] B.C.J. No. 896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2018 BCSC 762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Gerald (Adame) Fabian, Plaintiff, and Ki Song, Hye In Song,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(138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25" style="position:absolute;z-index:2516582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0" w:name="Keywords"/>
      <w:bookmarkEnd w:id="0"/>
      <w:r>
        <w:rPr>
          <w:rFonts w:ascii="arial" w:eastAsia="arial" w:hAnsi="arial" w:cs="arial"/>
          <w:b/>
          <w:color w:val="000000"/>
          <w:sz w:val="20"/>
          <w:lang w:val="en-US" w:eastAsia="en-US" w:bidi="ar-SA"/>
        </w:rPr>
        <w:t>Damages — Physical and psychological damages — Physical injuries — Body injuries — Back and spine — Neck — Whiplash — Head injuries — Headaches — Psychological injuries — Depression — Claim by plaintiff for damages suffered in motor vehicle accident in 2013 allowed — Plaintiff sustained soft tissue injuries including headaches, neck pain, shoulder pain, back pain and stomach pain, as well as nausea, sleep disturbance and elevated stress and anxiety — Plaintiff awarded total damages of $113,599.</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Psychological injuries — For personal injuries — Cost of future care — Special damages — Past loss of income — Employment income — Expenses and expenditures — Therapy or rehabilitation — Non-pecuniary loss — Pain and suffering — Affecting social relationships — Affecting recreational activities — Prospective pecuniary loss — Claim by plaintiff for damages suffered in motor vehicle accident in 2013 allowed — Plaintiff sustained soft tissue injuries including headaches, neck pain, shoulder pain, back pain and stomach pain, as well as nausea, sleep disturbance and elevated stress and anxiety — Plaintiff awarded non-pecuniary damages of $70,000 — Past loss of earnings was assessed at $35,000 — Damages were not awarded for future loss of earning capacity as plaintiff resumed work — Plaintiff awarded special damages of $4,599 and $2,500 for cost of future care.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 w:name="Case Summary"/>
            <w:bookmarkEnd w:id="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Claim by the plaintiff Fabian for damages for injuries suffered in a motor vehicle accident in 2013. Liability was admitted. Fabian advanced a claim for non-pecuniary damages, past income loss, loss of both past and future earning capacity, cost of future care, and special damages. The defendants admitted liability but took issue with the quantum of damages claimed. Fabian went to the hospital after the accident where he was treated for whiplash. He testified that he suffered headaches, neck pain, shoulder pain, back pain, nausea, sleep disruption and psychological injuries from the accident. Fabian was 45 years old and worked as a painter. He had previous problems with substance abuse. He saw the doctor on 13 occasions in relation to the accident from 2013 to 2015. Fabian also went for massage and rehabilitation therapy. He testified that since the accident, his participation in recreational activities decreased. He also isolated himself socially during the first year. He had difficulty playing golf and softball. Following the accident, Fabian did not return to work for several months. He returned to work as a painter on a part-time basis and took on full-time maintenance work. He did not return to full-time work as a painter until March 2016.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 w:name="Holdings of Court"/>
            <w:bookmarkEnd w:id="2"/>
            <w:r>
              <w:rPr>
                <w:rFonts w:ascii="arial" w:eastAsia="arial" w:hAnsi="arial" w:cs="arial"/>
                <w:color w:val="000000"/>
                <w:sz w:val="20"/>
                <w:lang w:val="en-US" w:eastAsia="en-US" w:bidi="ar-SA"/>
              </w:rPr>
              <w:t>HELD: Claim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Fabian suffered soft tissue injuries as a result of the accident. His symptoms improved significantly in the year following the accident. Only his back pain persisted. Fabian also developed depression after the accident which had resolved. He started working part-time in the summer of 2013 and full-time in March 2014. Fabian's recreational life was curtailed by the accident but he resumed a more active and social lifestyle by May 2015. His injuries had completely resolved by November 2016. An award of $70,000 for non-pecuniary damages was appropriate. Fabian's past loss of earnings was assessed at $35,000. Fabian was once again capable of running his own painting business. No damages were awarded for future loss of earning capacity. He was awarded $2,500 for costs of future care to pay for treatment of occasional flare-ups in his back. Special damages were agreed at $4,599. The total damage award was $113,599.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 w:name="Counsel"/>
      <w:bookmarkEnd w:id="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26" style="position:absolute;z-index:2517094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J.M. Sarophim, K.G. Grady.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L.J. Grenier.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4" w:name="Judgment"/>
      <w:bookmarkEnd w:id="4"/>
      <w:r>
        <w:pict>
          <v:line id="_x0000_s1027" style="position:absolute;z-index:25176064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5" w:name="M. MORELLATO J."/>
            <w:bookmarkEnd w:id="5"/>
            <w:r>
              <w:rPr>
                <w:rFonts w:ascii="arial" w:eastAsia="arial" w:hAnsi="arial" w:cs="arial"/>
                <w:b/>
                <w:color w:val="000000"/>
                <w:sz w:val="30"/>
                <w:lang w:val="en-US" w:eastAsia="en-US" w:bidi="ar-SA"/>
              </w:rPr>
              <w:t>M. MORELLATO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Gerald (Adame) Fabian, advances a claim arising from injuries sustained as a result of a motor vehicle accident which occurred while he was on his way to work on February 23, 2013 ("Accident"). Mr. Fabian was driving his 2010 Ford Ranger on Dawson Street in Burnaby when another vehicle exited a parking garage near Gilmore Avenue and collided with the passenger's side of his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defendants admit liability but take issue with the quantum of damages claimed by Mr. Fabian. Mr. Fabian advances a claim for non-pecuniary damages, past income loss, loss of both past and future earning capacity, cost of future care, and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Fabian is currently 45 years old. He is a painter by trade. He began working as a painter when he was about 13 years old, learning the trade from his father and other family members and friends. He completed high school in 1998 as well as a one year culinary foundations program at Vancouver Community College in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Fabian has faced and overcome significant obstacles in his life. He was raised by a single father who suffered from alcoholism and who Mr. Fabian describes as an abusive alcoholic. From the late 1990s until 2006, Mr. Fabian was actively addicted to cocaine. While at the height of his addiction, in 2005, Mr. Fabian declared bankruptcy and lived in a homeless shelter for about a month. In 2006, he successfully completed a treatment program for his substance abuse at an inpatient recovery center. In the spring of 2008, Mr. Fabian started his own painting company, Brothers Painting and Decorating ("Brothers Painting"). He credits his active involvement in the recovery community, by attending Alcoholics Anonymous, Narcotics Anonymous and playing in various softball recovery leagues ("Recovery Community"), as a very significant component of his recovery from addiction.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June 2010, Mr. Fabian and his wife separated. This was a particularly traumatic event in his life as her departure was sudden and unexpected. He has one daughter who is currently 20 years old and resides in North Vancouver. While he lives alone now, he has a girlfriend who is a single mother with a young daughter.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Fabian has had two relapses involving cocaine use: the first in November 2010 and the second in November 2014. Mr. Fabian testified that both relapses lasted only one day.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Fabian describes the impact at the time of the Accident as a "loud, crashing jolt". The Accident occurred at approximately 7:30 a.m. He drove his truck to work after the Accident. His body did not collide with the inside of the vehicle. He did not lose consciousness and the evidence established that he showed no signs of physical trauma such as bruising, bleeding or abrasions. No airbags were deployed and he was wearing a seatbelt. The repairs to his vehicle cost $5,527.32.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Fabian testified that on the evening of the Accident, "everything started seizing up", particularly his neck, back and left shoulder. He went to Royal Columbian Hospital the next day where he was assessed with "whiplash" and prescribed Tylenol 3. No x-rays or other imaging was undertaken at that time. Medical records indicate he was complaining of "moderate" back pain and a stiff neck.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Pre-Accident Health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Fabian acknowledges that he experienced a number of stressful life situations prior to the Accident that affected his mental health, including his mother leaving the family home when he was very young, his father being an abusive alcoholic, his subsequent addiction to cocaine, and his wife leaving him without warning in June 2010. When he suffered a relapse of his cocaine addiction on November 10, 2010, he immediately sought help from his Recovery Community.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the year before the Accident, Mr. Fabian described his mood as being much improved. He stated that he was "generally happy, running a significantly good business at the time, had good social skills and connected with social groups." He described himself as being "outgoing" and "pleasant" socially.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Fabian testified that following the departure of his wife, he felt determined to live life as normal. He stated: "I was determined to move forward with my life. I had had a lot of curveballs thrown at me in life. It's important to me to set a good example, not only for my daughter, but for my friends and family around me that we do recover."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Fabian testified that in the decade or so before the Accident, he never had any issues with his neck, back, shoulders, headaches or sleep. Medical records show he sought treatment on two occasions for back pain prior to the Accident. He also suffered a shoulder injury in 2010 playing baseball and, in 2011, Mr. Fabian underwent arthroscopic knee surgery; this involved day surgery and he was mobile very soon after the surgery. He has had a history of what his family doctor, Dr. Edwards, referred to as ulcer disease.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Fabian enjoys playing slow-pitch softball. At the time of the Accident, he was playing in three leagues, with two weekly games through leagues in New Westminster and Delta, and three games on Saturdays through a league associated with his Recovery Community. In addition, he would play in summer tournaments.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addition to softball, Mr. Fabian hiked, golfed, rollerbladed and cycled prior to the Accident. He would hike for about three to four hours in the local mountains on a seasonal basis. He golfed four to six times per year on smaller courses. He rollerbladed weekly or bi-weekly for approximately five to six hours along the sea wall to sunset beach; he described it as "one of my escapes". He also testified that he would go for a bicycle ride in his neighbourhood for a "couple hours once or twice a week".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Post-Accident Health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Fabian testified that he suffered the following injuries as a result of the Accident: headaches; neck pain; shoulder pain; back pain; nausea; sleep disruption; and psychological injuries. He went to see Dr. Edwards a few days after the Accident, on February 28, 2013, complaining of pain in his mid-back, left neck and shoulder. Dr. Edwards recommended that he start physiotherapy as soon as possible and return for a re-assessment in two weeks.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Fabian saw Dr. Edwards on 13 occasions in relation to the Accident, from 2013 to 2015. Eight of those visits were in 2013 (February 28, 2013; March 15, 2013; April 4 and 18, 2013; May 30, 2013; July 16, 2013; September 10, 2013; and November 18, 2013). Three of the visits were in 2014 (March 28, 2014; November 24, 2014; and December 30, 2014); one was in 2015 (May 8, 2015); and one was in 2016 (July 23, 2016). Mr. Fabian has not been seen by Dr. Edward in relation to the Accident since July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Fabian also received the following treatment for his Accident-related physical injuries:</w:t>
      </w:r>
      <w:r>
        <w:rPr>
          <w:rFonts w:ascii="arial" w:eastAsia="arial" w:hAnsi="arial" w:cs="arial"/>
          <w:sz w:val="20"/>
          <w:lang w:val="en-US" w:eastAsia="en-US" w:bidi="ar-SA"/>
        </w:rPr>
        <w:cr/>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twenty-five sessions of registered massage therapy commencing March 30, 2013 at HighGate Health;</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twenty-three sessions of physiotherapy;</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fifteen sessions of active rehabilitation therapy; and</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twenty-three sessions of registered massage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Fabian testified that he began to experience headaches about a week after the Accident. He described the feeling as "pressure at the base of the skull" and "tingling". He testified that he continued to experience these headaches daily following the Accident. About a year after the Accident, the intensity improved to the point where he considered the headaches as more of an "annoyance" than an "aggravation".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Fabian described how in the week following the Accident, the sensations in his neck, shoulder and back manifested as "tightness" along with "burning, numbness, tingling, and sharp acute pains". He testified that, as these symptoms became progressively worse in the weeks following the Accident, he started having spasms and that he could not "do anything to get them to stop."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During his visit to Dr. Edwards on March 15, 2013, Mr. Fabian reported that he was unable to work due to spasms in his shoulders and back. Dr. Edwards noted that Mr. Fabian's nausea could be due to the soft tissue injury from the Accident but could also be attributed to his use of Advil given his history of ulcers. Dr. Edwards prescribed an anti-spasmodic to replace the Advil and recommended Mr. Fabian start message therapy rather than continue with physiotherapy.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When Dr. Edwards saw Mr. Fabian again on April 4, 2013, he noted that Mr. Fabian reported an overall improvement in pain and mobility, although he reported still waking up in pain and he was quite tender during the examination. Mr. Fabian was examined again on April 18th by Dr. Edwards and while he was physically improving with the assistance of both massage therapy and physiotherapy, he reported that he still was not able to work and was struggling emotionally with the financial strain.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Fabian continued to see Dr. Edwards in the months following the Accident including March, April, May, and July 2013. On September 10, 2013, Mr. Fabian reported to Dr. Edwards that he had moved to Surrey and was playing softball, running, walking and had recently joined a gym. He reported that he had started working part-time but that he would "start to feel left mid back pain" after working for six hours. Dr. Edwards noted "tenderness and spasm of the left parathoracic muscles" and noted a "persistence of parathoracic spasm".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During his examination on November 18, 2013, Dr. Edwards found that Mr. Fabian was continuing to suffer from back pain. His clinical notes state Mr. Fabian reported that his "usual analgesics of Advil and Tylenol were not effective" and that "he was stressed because he was unable to engage in gainful work". Dr. Edwards advised Mr. Fabian to continue with his physiotherapy and physical conditioning.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Fabian was assessed and treated at Mountainview Kinesiology for a number of months in 2014. At his initial assessment on February 18, 2014 ("February 2014 Assessment"), Mr. Fabian reported working part-time as a painter and experiencing "intermittent sharp and burning dull pain in his left mid to low back." In accordance with the recommendations of this assessment, Mr. Fabian completed fifteen sessions of active rehabilitation therapy from February 20 to July 17,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During his February 2014 Assessment, Mr. Fabian reported back pain at a "5/10". He reported no neck pain or headache pain. During the course of his treatment at Mountainview Kinesiology, on an "Interim Pain Evaluation" form dated May 27, 2014, Mr. Fabian reported that his back pain was "3/10" and again reported that he had no neck or headache pain. On a "Final Pain Evaluation" form, dated June 19, 2014, Mr. Fabian reported back pain at a "4/10" and once again reported no back pain or headache pain. The Mountain Kinesiology Discharge Report dated June 24, 2014 included a section entitled "Objective Report" which stated that: "Overall, Mr. Fabian has demonstrated significant improvement in flexibility, posture, and abdominal muscle endurance...He displayed improved flexibility in his shoulder, lower, back and hamstrings... ." In addition, a section of the Discharge Report entitled "Neck Range of Motion" stated that "Mr. Fabian displayed good levels of neck ROM." Another section of the Discharge Report entitled "Flexibility and Strength Tests" stated: "Mr. Fabian displayed very good levels of improvement in core stability as well as shoulders and lower back flexibility". However, tests regarding his upper back extension and upper abdominal area were labelled "unsatisfactory."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At the March 28, 2014 examination, Dr. Edwards found that Mr. Fabian had "spasms entire L parathoracic muscles, mid T spine tenderness." At a November 24, 2014 visit, Dr. Edwards' clinical notes state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Working still in hotel maintenance and finds 5 hr into work day with any type of labouring and his L mid back is aggravated. Has MRI date of 18 December. Wonders about massage/physio. Other issue is 'feeling unbalanced.' Has obsessions with substance abuse - alcohol, THC and cocaine. Has been clean for a couple of weeks. Seems to take hold at this time of year. Recurrent pattern. Feels low self worth, sad withdrawn but able to function at work. Suicidal thoughts but no plans or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Under the heading "Plan", Dr. Edwards' clinical notes state: "Rx for massage/physio. Will return re mood disorder within 2 weeks."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According to his clinical records, Mr. Fabian next saw Dr. Edwards on December 30, 2014. Dr. Edwards' clinical notes read in part at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Reason for Visit: We reviewed MRI of T Spine which didn't show anything structural. Chronic left mid back pain triggered by activity. Sleep is disturbed ++by pain. Using high doses of Ibuprofen, Acetaminophin and Melatonin for sleep. Will try Cyclobenzaprine at HS. Reassess late January 2015. Mood is still low and avoids social interaction. Still working in hotel maintenance. Suicidal thoughts but no plans. Mood has been down for past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Dr. Edwards examined Mr. Fabian on August 15, August 29, and September 12, 2015 after an incident where Mr. Fabian injured his ribs at work. Dr. Edwards' clinical notes for each of these visits stated that Mr. Fabian's "soft tissue injury to the parathoracic muscles in past due to MVA was not symptomatic with this when he had his injury (to his ribs)."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Fabian testified that during the six months prior to trial he continued to feel ongoing burning, numbness and tingling in his neck, shoulders and back on a daily basis. However, he also testified that he has not experienced "spasms or sharp, acute pain lately" and reported that his symptoms were 70% improved. Mr. Fabian also testified that if he paints with his hands over his head, his headache pain might be "moderate to significant" but that on an "easy day", he "won't feel much". He gave evidence that he typically works with his hands above his head rolling paint on ceilings about one day per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Fabian also testified that stomach issues, attributable to pain medication following the Accident, are also a continuing concern. He described the sensation as a "burning and cramping, uncomfortable" feeling. Mr. Fabian testified that he takes one Ranitidine/Zantac pill daily for relief of his stomach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Fabian acknowledged that the intensity of his neck, shoulder and back symptoms eventually and gradually improved over time. However, he testified that he continues to experience pain or flare-ups, including spasms, burning and aching. He referred to flare-ups in the summer of 2013 and again in the summer of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Fabian also testified about his psychological injuries, including what he described as a "low mood" and depressive thoughts within the first few months of the Accident. He felt stress related to his financial insecurity due to his inability to work. While he received approximately $945 a month in disability payments from ICBC, his rent was $1,650 per month and he had no savings. In late May 2013, Mr. Fabian's lease came to an end. He described how he became homeless and was couch-surfing until October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Fabian explained that as he was unable to work following the Accident, he had to close his business at the end of May 2013. He testified that he lacked the funds to rent a garage to store his painting equipment. As he had no savings, he felt he had no choice but to sell off his personal possessions, including his softball equipment and all of his Brothers Painting equipment, with the exception of a small toolbox of personal hand tools, paint brushes and rollers. He felt like a failure even though he knew, logically, that he was not to blame for the Accident. This entire experience was very upsetting for him. Furthermore, he was also very upset that his daughter, who was 16 years old at the time, had to move out within a few months of the Accident because he could no longer afford to support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Fabian attributed the one day relapse of his cocaine addiction in November 2014 to feelings of inferiority after losing his business. He felt upset that he "was not moving forward" and that everything he had "worked for was gone at this point". He testified he was "losing hope" and had thoughts of suicide. He explained that he immediately sought help from his Recovery Community, relying on group support every day for 90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Dr. Edwards' clinical notes document Mr. Fabian's stress levels and low moods. As addressed in greater detail below, Dr. Edwards testified that it was his assessment that Mr. Fabian was not at a high risk of suicide and he did not refer Mr. Fabian for a psychiatric assessment or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There is a discrepancy in the evidence of Dr. Edwards and Mr. Fabian regarding Mr. Fabian's suicidal ideations. At times during his testimony, Mr. Fabian's recollection of various events including the timing, duration and extent of his various injuries and symptoms was unclear, uncertain and somewhat confusing. To his credit, he candidly acknowledged his memory problems and his difficulty recollecting various events. He agreed on cross-examination that medical records, such as those of Dr. Edwards, were more reliable accounts of his progress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As noted above, in his clinical examination notes for both the November 24th and a December 30, 2014 visits, Dr. Edwards states "Suicidal thoughts but no plans". Mr. Fabian reported that he recalls telling Dr. Edwards that he thought about driving into oncoming traffic. No record of such a conversation is made in any of Dr. Edwards' clinical notes.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Mr. Fabian testified that his quality of sleep has been impaired as a result of the Accident. He has had difficulty falling asleep and staying asleep. On a bad night, he gets four hours of sleep, and on better days he gets six-eight hours of sleep. Mr. Fabian attributes his sleep disturbance to pain and being stressed financially. He gave evidence that his "brain wouldn't shut off." He testified that his sleep has improved over time with self-care, prayer and meditation. However, he is "still waking up frequently" and having "disturbed sleep, tossing and turning". He reports that on a daily basis he does "not feel rested."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Fabian testified that he continues to do the stretches and exercises he learned in his physical therapy programs "regularly 3-4 times per week". Shortly after the Accident, Mr. Fabian consumed eight Advil and Tylenol per day. He testified that he currently consumes four Advil and Tylenol per day and continues to take Ranitidine daily.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As noted above, there was a marked reduction in Mr. Fabian's Accident-related medical appointments with Dr. Edwards between 2013 and 2015. This corresponds with Mr. Fabian's own self-assessments at Mountainview Kinesiology from February 2014 to June 19, 2014, that he had experienced a reduction in back pain and was experiencing no neck pain or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While Mr. Fabian returned to full-time hotel maintenance work in March 2014, he did not return to painting full-time until March 2016. He stated that he does not derive the same level of satisfaction from his current work as a painter as compared to when he ran his own business.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 Evidence of Mr. Gushue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Gushue is a close family friend of Mr. Fabian and has known him for more than 30 years. He is the proprietor of Performance Painting, a commercial painting business which he has operated since 1998. Most of his business is from a small pool of large commercial and repeat clients.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 Gushue has employed Mr. Fabian on various occasions prior to and after Mr. Fabian opened Brothers Painting. He loaned Mr. Fabian tools, particularly in the early years of Brothers Painting. He described Mr. Fabian as a bit of a perfectionist and explained that, as an employee, he appreciated Mr. Fabian's work ethic and attention to detail, particularly because it could be difficult to find 'good people' in the industry. He specifically noted that his own business would never have been able to grow if he had not been able to find reliable employees and contractors, and had he continued to try to do it all himself. Following the Accident, Mr. Fabian was again employed by Mr. Gushue as of March 8, 2016. Mr. Fabian continued to work for him until October 28, 2016. Mr. Gushue testified about Mr. Fabian's hard work, reliability and attention to detail during this period, noting that Mr. Fabian worked eight hours a day, five days a week without missing a day - even after breaking his left wrist playing softball. He indicated that Mr. Fabian continued to "go the extra-mile" and performed his work "impeccably" and "without a single complaint". He testified that he was comfortable leaving Mr. Fabian in charge of supervising a significant project in the West End. He did not observe Mr. Fabian having any physical difficulties in performing his work during this period of employment (save for the wrist fracture which was unrelated to the Accident). He did agree that, generally speaking, painting is physically difficult and can, in any event, be particularly hard on the back, neck and shoulders.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 Gushue testified that Mr. Fabian chose to leave his employment at Performance Painting in October 2016. He noted his company had lots of work for Mr. Fabian when he chose to leave. Mr. Gushue also stated that if Mr. Fabian had come to him looking for work prior to March 2016, he would have hired him.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 Evidence of Mr. Jocko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 Jocko is a close personal friend of Mr. Fabian. They met through a recovery softball league in about 2008. Prior to the Accident, he and Mr. Fabian would see or speak with one another quite regularly and Mr. Fabian would discuss with Mr. Jocko the difficulties he had in his personal life, including his wife leaving him suddenly in 2010, his cocaine relapse that year, and "family stuff" including issues Mr. Fabian had had with his teenage daughter.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Although Mr. Jocko did not generally work in the painting industry, he had worked for Mr. Fabian from time-to-time prior to the Accident. There was no documentary evidence of when or for how long Mr. Jocko worked for Brothers Painting. He described Mr. Fabian as being very "hands-on" and his recollection was that Mr. Fabian was on the job-site, supervising and working with him the majority of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Mr. Jocko testified that in the 2013 softball season, Mr. Fabian would come to the field to coach but did not actually play softball. On cross-examination, he conceded that in the summer of 2013, he himself was working as a mover on many Saturdays and, as such, had not made it out to all the softball games. He was not aware of whether Mr. Fabian had played on those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Mr. Jocko also explained that the team he and Mr. Fabian had played with had disbanded sometime following the Accident, likely in 2014, and after the team disbanded, he and Mr. Fabian had played for different teams. He could not recall precisely which year the team disbanded, but suggested it might be 2015.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 Medical Expert Opinions</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 The Nature of Mr. Fabian's Soft Tissue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All of the experts at trial agreed that Mr. Fabian sustained soft tissue injuries to his neck, upper back and mid-back due to the Accident. The evidence also establishes that he had stomach pains from the Advil and Tylenol he was taking as a result of his injuries and a pre-existing ulcer problem. There was disagreement between the experts, however, regarding whether Mr. Fabian's soft tissue injuries are substantially resolved or constitute chronic soft tissue injuries with chronic pain. The defendants also disputed Mr. Fabian's claim that he suffered psychological injuries as a result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Approximately a year-and-a-half after the Accident, on November 23, 2014, Dr. Edwards provided his initial expert report, opining that if "Mr. Fabian still has symptoms and physical findings after two years from the date of his Accident then one would expect him to continue to have mid back symptoms ongoing if he continues with aggravating activity (such as painting)." He testified that it is generally accepted that if a person is still symptomatic two years from the date of a soft tissue injury, the likelihood for ongoing future symptoms is greater. On April 9, 2017, in an addendum report, Dr. Edwards opined that "[t]here has been no substantial change in Mr. Fabian's condition since November 2014 and I would not expect any change going forward."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Dr. Waseem, an expert in Physical Medicine and Rehabilitation with a broad based Physiatry practice, also testified on behalf of Mr. Fabian. Following his examination of Mr. Fabian on August 30, 2016, Dr. Waseem concluded that Mr. Fabian suffered a soft tissue injury in the area of the cervical and thoracic spine. He also concluded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Fabian has had a good recovery from the injuries sustained in the subject Accident. By his level of estimation his overall level of improvement is 70%.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Dr. Waseem also opined that "I suspect [Mr. Fabian] will continue to have pain to varying degrees into the future and that his current clinical condition is permanent."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Dr. Waseem testified that it was reasonable for Mr. Fabian to take five months off work from painting after the Accident; however, he agreed on cross-examination that Mr. Fabian may have been capable of less physically demanding work during that period. He did not suggest that Mr. Fabian was disabled from work after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Dr. Gharsaa is an orthopedic surgeon tendered as an expert in orthopaedics by the defendants. He assessed Mr. Fabian on November 4, 2016. While he also diagnosed Mr. Fabian with soft tissue injuries, he concluded that Mr. Fabian's soft tissue injuries were likely mild or mild to moderate with no acute injury. He concluded there were no ongoing objective signs of injury and no organic pathology suggestive of continuing physical impairment or disability that could be attributed to the Accident. Dr. Gharsaa concluded that Mr. Fabian's physical injuries had resolved and that there is no explanation for his ongoing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When examined by Dr. Gharsaa, Mr. Fabian reported "no tenderness on palpation of the entire back." Dr. Gharsaa recommended an at-home exercise regime for conditioning. He testified that there were no "objective signs of impairment" from an "orthopaedic perspective". Dr. Gharsaa acknowledged that symptoms of pain can wax and wane over time and he did not deny that Mr. Fabian was still experiencing pain. He stated as follows in his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While I do not discount the fact that Mr. Fabian continues to experience some residual pain, he should be reassured that his current symptoms are benign as they are not manifesting themselves in any overt organic pathology suggestive of any ongoing physical impairment or physical disability that could be attributed to the subject motor vehicle accident. He should be reassured that it is safe to resume all aspects of his life that he engaged in proper to the motor vehicle accident, without restriction.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Dr. Gharsaa also concluded that, in light of his examination and assessment of Mr. Fabian's medical condition, he was of the view that Mr. Fabian was overmedicating by taking four Advil and Tylenol daily.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Counsel for the plaintiff submitted that Dr. Gharsaa was argumentative throughout his cross-examination and that he was not a neutral witness. Counsel for the plaintiff also argued that Dr. Gharsaa's opinion should be given no weight or, in the alternative, very little weight. I do not agree. In my view, Dr. Gharsaa stood his ground on cross-examination and did so professionally. I found Dr. Gharsaa to be an impressive and reliable expert witness.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2. Mr. Fabian's Psychological Condition Post-Accident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As noted above, Mr. Fabian testified that he found the months following the Accident very difficult physically, financially and psychologically. He derived a great deal of satisfaction and esteem from running his own painting company and describes how he was devastated after he was not able to keep his business operating.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Dr. Karapareddy is a medical doctor with a specialty in psychiatry and a subspecialty in addictions. He provided an expert opinion on behalf of Mr. Fabian, after examining him on February 9, 2017. The defendants did not tender any expert evidence which challenged that of Dr. Karapareddy.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Dr. Karapareddy's diagnoses were based in large measure on Mr. Fabian's reported recollections of his psychological state at various points in the years since the Accident. His report sets out three diagnoses, within his area of expertise, as follows:</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Adjustment Disorder with depressive mood</w:t>
      </w:r>
      <w:r>
        <w:rPr>
          <w:rFonts w:ascii="arial" w:eastAsia="arial" w:hAnsi="arial" w:cs="arial"/>
          <w:color w:val="000000"/>
          <w:sz w:val="20"/>
          <w:lang w:val="en-US" w:eastAsia="en-US" w:bidi="ar-SA"/>
        </w:rPr>
        <w:t>. Mr. Fabian has had a chronic, stressful life reaction due to the number of losses he sustained, which included the loss of his business, his independence, home and financial security, and difficulty in providing support for his daughter. As a result, he has periods of depressive mood and he continues to present in a chronic stressful situation.</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Major Depression disorder - in remission</w:t>
      </w:r>
      <w:r>
        <w:rPr>
          <w:rFonts w:ascii="arial" w:eastAsia="arial" w:hAnsi="arial" w:cs="arial"/>
          <w:color w:val="000000"/>
          <w:sz w:val="20"/>
          <w:lang w:val="en-US" w:eastAsia="en-US" w:bidi="ar-SA"/>
        </w:rPr>
        <w:t>. Mr. Fabian had a period wherein he suffered depression. During this period he had severe depressive symptoms with suicidal ideation and my opinion is that if not for the protective factor of his daughter he would have made an attempt on his life. Currently, his symptom severity does not fulfill the criteria for depression.</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Cocaine Use Disorder - in sustained remission</w:t>
      </w:r>
      <w:r>
        <w:rPr>
          <w:rFonts w:ascii="arial" w:eastAsia="arial" w:hAnsi="arial" w:cs="arial"/>
          <w:color w:val="000000"/>
          <w:sz w:val="20"/>
          <w:lang w:val="en-US" w:eastAsia="en-US" w:bidi="ar-SA"/>
        </w:rPr>
        <w:t>. Mr. Fabian has been substance-free for more than a year and this fulfills the criteria for sustained remission.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Notably, Dr. Karapareddy concluded that, currently, Mr. Fabian's symptom severity does not fulfil the criteria for depression and, as Mr. Fabian has not used cocaine for more than a year, his cocaine use disorder is in "sustained remission".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Based on Mr. Fabian's recollections as reported to him, Dr. Karapareddy noted that, in August 2013: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Fabian felt frustrated, angry, having a lack of motivation, not sleeping, and had increased pain...At the time, he had multiple thoughts of suicide, but his daughter was a protective factor for him and he stated, "If not for my daughter, I would have been dead".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Dr. Edwards' clinical notes, based on his regular examination of Mr. Fabian, set out an improvement in Mr. Fabian's physical and mental symptoms following the Accident but do not document any serious psychological issues or suicidal ideations in 2013. Dr. Karapareddy's report, however, based on Mr. Fabian's recollections, refers to Mr. Fabian being suicidal in the summer of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Having carefully reviewed the evidence given by each of the witnesses, I prefer the accuracy and reliability of the documented observations and assessments of Dr. Edwards to that of Dr. Karapareddy and Mr. Fabian in regard to Mr. Fabian's psychological state including the severity of his symptoms at various points following the Accident. My conclusion in this regard is not intended to be a criticism of Dr. Karapareddy or Mr. Fabian. Dr. Edwards had the advantage of seeing Mr. Fabian immediately after the Accident and of documenting, on a regular basis, Mr. Fabian's psychological and physical state. Dr. Edwards made contemporaneous clinical notes during the course of these sequential examinations which created a reliable narrative, particularly when coupled with his </w:t>
      </w:r>
      <w:r>
        <w:rPr>
          <w:rFonts w:ascii="arial" w:eastAsia="arial" w:hAnsi="arial" w:cs="arial"/>
          <w:i/>
          <w:color w:val="000000"/>
          <w:sz w:val="20"/>
          <w:lang w:val="en-US" w:eastAsia="en-US" w:bidi="ar-SA"/>
        </w:rPr>
        <w:t>viva voce</w:t>
      </w:r>
      <w:r>
        <w:rPr>
          <w:rFonts w:ascii="arial" w:eastAsia="arial" w:hAnsi="arial" w:cs="arial"/>
          <w:color w:val="000000"/>
          <w:sz w:val="20"/>
          <w:lang w:val="en-US" w:eastAsia="en-US" w:bidi="ar-SA"/>
        </w:rPr>
        <w:t xml:space="preserve"> testimony. I find that Dr. Edwards' clinical notes, which spanned several years, demonstrate that he carefully monitored and documented Mr. Fabian's progress both physically and mentally. Again, Mr. Fabian candidly acknowledged his difficulty remembering back several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Mr. Fabian testified that during his full-time employment with the Coast Hotel chain, between March 18, 2014 and September 2015, his mood started to improve. He further testified that, a year after the Accident, his mental health was improving gradually and that it has continued to gradually improve since, despite his short cocaine relapse in November 2014. He noted that he finds the Christmas season particularly challenging and there are still days were he does not feel like talking to anyone; he candidly stated that he has not had low moods very often in the past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Mr. Fabian attributes the overall improvement of his mental health to his self-care. He is eating healthy, exercising regularly, trying to reconnect with friends and not isolating himself. His relationship with his girlfriend has also been a positive development in his life.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G. Unrelated Post-Accident Health Concerns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Mr. Fabian experienced a number of injuries at work and playing softball after the Accident. In 2014, he separated his shoulder when he fell off a ladder. In July 2015, he suffered a rib injury and was off work for six weeks. In 2016 in broke his wrist playing baseball. At the time of the trial, he had been off work for approximately thirteen weeks due to a right knee injury which he also suffered while working. Mr. Fabian must also have hernia surgery.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H. Post-Accident Recreational and Social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Mr. Fabian testified that since the Accident, his participation in recreational activities has decreased. He also isolated himself socially during the first year; although, as noted above, he has since made significant strides in this regard. He stated that he tried hiking and golf one time each since the Accident. He was only able to play nine holes of golf, as he was fatigued by his physical injuries. He has tried to hike but his endurance is limited compared to his pre-Accident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Mr. Fabian testified that he also tried biking after his move to Surrey in October 2013, but that it hurt when he bent over. He could only bike for about 15 minutes at a time. He ended up selling his bike. Mr. Fabian also tried rollerblading around the same time he tried cycling. He stated that it was too hard on his body and aggravated his back pain. He has not rollerbladed since.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Mr. Fabian also stated that his participation in softball has changed significantly since the Accident. In 2013, he primarily coached the team. He played only a few games in the summer of 2013. He now plays in one recovery league and plays about one of the three games on Saturdays "if [he's] lucky". His position on the field has also changed, from infielder to right fielder, as he is not as limber as he used to be and "there isn't a lot of play in right field".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 Mr. Fabian's Post-Accident Work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Following the Accident, Mr. Fabian did not return to work for several months. While the timing of his return to work is not clear, the evidence indicates that he was off work for approximately four months from February 24 to June 10, 2013. He started working part-time as a window washer, after closing Brothers Painting on May 28, 2013. The record suggests that Mr. Fabian continued to work part-time as a window washer until December 23,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From January 12, 2014 to sometime in March 2014, Mr. Fabian was employed at GB Painting on a part-time basis. He began working to full-time again on March 18, 2014 as a maintenance worker with Coast Plaza Hotel. In January 2015, Mr. Fabian obtained a new but similar position in the Coast Hotel chain and worked for that company until September 15,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In the fall of 2015, Mr. Fabian began working at a residential tower for Hollyburn Estates (Burnaby Towers) and left sometime in the spring of 2016 to work at Ponath Management. He worked at Ponath for two days and began working full-time as a painter at Performance Painting on March 8, 2016. He worked at Performance Painting until October 24, 2016 and began working at a restoration company, Stocco Construction, on November 9, 2016, also as a full-time painter. Mr. Fabian was employed at Stocco Construction at the time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Mr. Fabian's income tax returns indicate the following total income for the following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Year</w:t>
      </w:r>
      <w:r>
        <w:rPr>
          <w:rFonts w:ascii="arial" w:eastAsia="arial" w:hAnsi="arial" w:cs="arial"/>
          <w:color w:val="000000"/>
          <w:sz w:val="20"/>
          <w:lang w:val="en-US" w:eastAsia="en-US" w:bidi="ar-SA"/>
        </w:rPr>
        <w:t xml:space="preserve"> </w:t>
      </w:r>
      <w:r>
        <w:rPr>
          <w:rFonts w:ascii="arial" w:eastAsia="arial" w:hAnsi="arial" w:cs="arial"/>
          <w:b/>
          <w:color w:val="000000"/>
          <w:sz w:val="20"/>
          <w:u w:val="single"/>
          <w:lang w:val="en-US" w:eastAsia="en-US" w:bidi="ar-SA"/>
        </w:rPr>
        <w:t>Amount</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2008: $25,649</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2009: $30,698</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2010: $24,368</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2011: $31,866</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2012: $44,918</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2013 $12,745</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2014 $29,293</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2015 $41,648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Mr. Fabian filed his income tax returns for 2014 and 2015 in October 2016. No income tax return information was provided for 2016. However, pay slips were produced for 2016 and he submitted he earned a total income of $42,791 that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Mr. Fabian testified that he had agreed, prior to the Accident, to paint a house for the contract amount of $10,240 ("Walsh Contract"). The Walsh Contract was to be performed in the spring of 2013, but Mr. Fabian explained that he was not able to perform the contract due to his Accident-related injuries. He stated that two-thirds of his contract price represents labour costs and one-third represents supply costs. Mr. Fabian claims he lost $6,860.80 in earnings from the Walsh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Mr. Fabian stated that his business was growing every year and he expected that it would continue to grow if it were not for the Accident. He also testified that he hired friends from the Recovery Community from time to time and that he was a role model within that community. He said hiring within the Recovery Community presented some challenges as there was "a lot of addiction in the trade" and, accordingly, he felt that he had to be on site supervising all, or most, of the time. Mr. Fabian explained he was not inclined to delegate work to sub-contractors without his direct involvement on site. At the time of the Accident, Mr. Fabian was working on his own as an owner-operator 10 to 12 hours a day, six days a week which included meeting with prospective customers, ordering supplies, and administrative work. He testified that following the Accident he continued to receive referrals from contractors and sub-contractors and that he had to advise them that Brothers Painting was closed. Mr. Fabian did not specify what these referrals or prospective jobs were, with the exception of the Walsh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On cross-examination, Mr. Fabian acknowledged that, prior to the Accident, he had not filed income tax returns over the course of several years. He admits owing outstanding taxes to the Canada Revenue Agency. He acknowledged he was aware of the consequences of not paying his taxes in a timely manner, having previously declared bankruptcy in 2005. By the end of 2012, Mr. Fabian, owed the Canada Revenue Agency $37,768.99 and by the end of 2015 he owed $39,430.07. At the time of trial, Mr. Fabian had filed income returns up to the end of 2015. He had also arranged a payment plan with the taxation authorities in an effort to satisfy his tax debt.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J. Expert Opinions on Loss of Income and Capacity to Earn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Mr. Fabian tendered Mr. Benning, an economist, as an expert on the issue of income loss. Mr. Benning calculated Mr. Fabian's average pre-accident net income. He testified that Mr. Fabian's reported taxable income in the years prior to his Accident was not a true measure of his average net business earnings. He explained that business owners are entitled to make deductions for fixed day-to-day expenses (e.g., costs relating to their vehicles or cell phones) from their gross income in order to reduce their taxable income. He noted that this is a benefit not shared by employees or subcontractors. He testified that it would be both appropriate and standard practice, to "add-back" such business-related expenses to Mr. Fabian taxable income. For instance, he stated that telephone, utilities and motor vehicle-related expenses should be deducted from Mr. Fabian's reported income for the years 2008 to 2012. Mr. Benning did so and calculated an average net income, after add-back business expenses. He also made an adjustment for inflation which he explained was also standard practice in the industry.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Mr. Benning then compared the average net income for each tax year, after add-backs and inflation adjustments, to Mr. Fabian's reported earnings. He calculated that Mr. Fabian's net income loss for the period from the Accident to October 31, 2016 was $44,475.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defendants tendered Mr. Hildebrand, an economist, as an expert. Mr. Hildebrand prepared a rebuttal report dated June 7, 2017. Mr. Hildebrand stated that he agreed with Mr. Benning's overall approach to estimating net income loss. However, he questioned one specific assumption in his approach related to adding back 100% of Mr. Fabian's motor vehicle expenses. Mr. Hildebrand suggested an add-back of 50% was appropriate. Using this deduction in add-back expenses, he calculated Mr. Fabian's loss to be $26,906.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defendants raised the issue that Mr. Fabian's T5018 income of $7,277 from GB Painting for 2014 was missed by his accountant when calculating his 2014 income. Mr. Fabian agreed that his 2014 earnings should be increased by that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Mr. Fabian and Mr. Jocko gave evidence that while at Dirt Devils, Mr. Fabian invoiced on Mr. Jocko's behalf as well as his own, because Mr. Jacko did not have experience with subcontracting work. As such, counsel for Mr. Fabian submits that Mr. Fabian's take home income was really half the amount stipulated in the T5018 from Dirt Devils for the 2013 tax year; that is, Mr. Fabian 2013 income should be reduced to $2,195.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Mr. Fabian submits that in accordance with Mr. Benning's calculations, his past loss of income for the period from the Accident to October 2016 should be $44,475 - $7,277 + $2,195 = $39,393.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K. Surveillance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defendants entered two discs of surveillance footage of Mr. Fabian. The initial surveillance clips were taken in late April and early May 2013. While this evidence shows Mr. Fabian walking, sitting, moving his arms and turning his neck without obvious impairment, there was a scene were Mr. Fabian was sitting and rubbing his neck as if it were sore. A surveillance sequence taken on October 21, 2013 showed Mr. Fabian window-cleaning and performing a number of related physical movements, such as crouching and reaching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ANALYSIS AND DISCUSSION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The parties agree on the applicable law as it relates to causation. Counsel for Mr. Fabian cites the Supreme Court of Canada decision in </w:t>
      </w:r>
      <w:r>
        <w:rPr>
          <w:rFonts w:ascii="arial" w:eastAsia="arial" w:hAnsi="arial" w:cs="arial"/>
          <w:i/>
          <w:color w:val="000000"/>
          <w:sz w:val="20"/>
          <w:lang w:val="en-US" w:eastAsia="en-US" w:bidi="ar-SA"/>
        </w:rPr>
        <w:t>Clements v. Clements</w:t>
      </w:r>
      <w:r>
        <w:rPr>
          <w:rFonts w:ascii="arial" w:eastAsia="arial" w:hAnsi="arial" w:cs="arial"/>
          <w:color w:val="000000"/>
          <w:sz w:val="20"/>
          <w:lang w:val="en-US" w:eastAsia="en-US" w:bidi="ar-SA"/>
        </w:rPr>
        <w:t xml:space="preserve">, </w:t>
      </w:r>
      <w:hyperlink r:id="rId11" w:history="1">
        <w:r>
          <w:rPr>
            <w:rFonts w:ascii="arial" w:eastAsia="arial" w:hAnsi="arial" w:cs="arial"/>
            <w:i/>
            <w:color w:val="0077CC"/>
            <w:sz w:val="20"/>
            <w:u w:val="single"/>
            <w:shd w:val="clear" w:color="auto" w:fill="FFFFFF"/>
            <w:lang w:val="en-US" w:eastAsia="en-US" w:bidi="ar-SA"/>
          </w:rPr>
          <w:t>2012 SCC 32</w:t>
        </w:r>
      </w:hyperlink>
      <w:r>
        <w:rPr>
          <w:rFonts w:ascii="arial" w:eastAsia="arial" w:hAnsi="arial" w:cs="arial"/>
          <w:color w:val="000000"/>
          <w:sz w:val="20"/>
          <w:lang w:val="en-US" w:eastAsia="en-US" w:bidi="ar-SA"/>
        </w:rPr>
        <w:t xml:space="preserve">, where in the Court confirmed that the legal test for determining causation remains the "but for" test articulated in </w:t>
      </w:r>
      <w:r>
        <w:rPr>
          <w:rFonts w:ascii="arial" w:eastAsia="arial" w:hAnsi="arial" w:cs="arial"/>
          <w:i/>
          <w:color w:val="000000"/>
          <w:sz w:val="20"/>
          <w:lang w:val="en-US" w:eastAsia="en-US" w:bidi="ar-SA"/>
        </w:rPr>
        <w:t>Snell v. Farrell</w:t>
      </w:r>
      <w:r>
        <w:rPr>
          <w:rFonts w:ascii="arial" w:eastAsia="arial" w:hAnsi="arial" w:cs="arial"/>
          <w:color w:val="000000"/>
          <w:sz w:val="20"/>
          <w:lang w:val="en-US" w:eastAsia="en-US" w:bidi="ar-SA"/>
        </w:rPr>
        <w:t xml:space="preserve">, </w:t>
      </w:r>
      <w:hyperlink r:id="rId12" w:history="1">
        <w:r>
          <w:rPr>
            <w:rFonts w:ascii="arial" w:eastAsia="arial" w:hAnsi="arial" w:cs="arial"/>
            <w:i/>
            <w:color w:val="0077CC"/>
            <w:sz w:val="20"/>
            <w:u w:val="single"/>
            <w:shd w:val="clear" w:color="auto" w:fill="FFFFFF"/>
            <w:lang w:val="en-US" w:eastAsia="en-US" w:bidi="ar-SA"/>
          </w:rPr>
          <w:t>[1990] 2 S.C.R. 311</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3"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Clements</w:t>
      </w:r>
      <w:r>
        <w:rPr>
          <w:rFonts w:ascii="arial" w:eastAsia="arial" w:hAnsi="arial" w:cs="arial"/>
          <w:color w:val="000000"/>
          <w:sz w:val="20"/>
          <w:lang w:val="en-US" w:eastAsia="en-US" w:bidi="ar-SA"/>
        </w:rPr>
        <w:t xml:space="preserve"> also affirmed that the plaintiff bears the burden of proving that "but for" the negligent act or omission of the defendant the injury would not have occurred, and offers the following guidance: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 The test for showing causation is the "but for" test. The plaintiff must show on a balance of probabilities that "but for" the defendant's negligent act, the injury would not have occurred. Inherent in the phrase "but for" is the requirement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w:t>
      </w:r>
      <w:r>
        <w:rPr>
          <w:rFonts w:ascii="arial" w:eastAsia="arial" w:hAnsi="arial" w:cs="arial"/>
          <w:i/>
          <w:color w:val="000000"/>
          <w:sz w:val="20"/>
          <w:lang w:val="en-US" w:eastAsia="en-US" w:bidi="ar-SA"/>
        </w:rPr>
        <w:t>necessary</w:t>
      </w:r>
      <w:r>
        <w:rPr>
          <w:rFonts w:ascii="arial" w:eastAsia="arial" w:hAnsi="arial" w:cs="arial"/>
          <w:color w:val="000000"/>
          <w:sz w:val="20"/>
          <w:lang w:val="en-US" w:eastAsia="en-US" w:bidi="ar-SA"/>
        </w:rPr>
        <w:t xml:space="preserve"> to bring about the injury ? in other words that the injury would not have occurred without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This is a factual inquiry. If the plaintiff does not establish this on a balance of probabilities, having regard to all the evidence, her action against the defendant fails.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 The "but for" causation test must be applied in a robust common sense fashion. There is no need for scientific evidence of the precise contribution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made to the injury. [Citations omitted.]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 A common sense inference of "but for" causation from proof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usually flows without difficulty. Evidence connecting the breach of duty to the injury suffered may permit the judge, depending on the circumstances, to infer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probably caused the loss. See [Citations omitted.].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 evidence of all the medical experts support the conclusion that Mr. Fabian suffered soft tissue injuries as a result of the Accident. I will address the nature, extent and duration of those soft tissue injuries later in these reasons. The issue of causation in this case arises primarily in relation to whether the Accident caused psychological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defendants underscore that Dr. Edwards did not opine in either of his reports that Mr. Fabian ever suffered from depression or any other mood disorder which was attributable to the Accident. Neither did he suggest that Mr. Fabian's 2014 drug relapse was attributable to the Accident. Indeed, his clinical records suggest that this relapse was associated with the time of year, namely the pending Christmas season.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 defendants also submit that Dr. Karapareddy's diagnoses were largely based on the history and recollections of Mr. Fabian, years after the Accident, and that these recollections are unreliable and not supported by the evidence. They point out that Dr. Karapareddy agreed on cross-examination that had Mr. Fabian presented with suicidal ideations, he assumed that Dr. Edwards would have acted upon those reports because suicidal ideations are "taken very seriously" and that it would "be interesting" to see what was reported to Dr. Edwards during that time period. He also acknowledged that before examining Mr. Fabian in February 2017, Mr. Fabian had not been referred to or treated by any mental health professional and had not been prescribed any psychotropic or anti-depressant drugs.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According to the defendants, the most important circumstances Dr. Karapareddy failed to investigate properly were his relapses into substance abuse following his recovery in 2006. Dr. Karapareddy's expert report stated that there were two relapses after the Accident but the parties agreed there was in fact only one after the Accident; the first relapse occurred in November 2010 after Mr. Fabian's marriage breakdown that June, and the second one was around November 2014, almost two years post-Accident.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 defendants submit that Dr. Karapareddy's conclusions proceeded on the erroneous factual basis that, in the immediate aftermath of the Accident and through the summer of 2013, Mr. Fabian was suffering from a depressive disorder which manifested itself in part by thoughts of suicide. In this regard, the defendants acknowledge that Dr. Karapareddy may not be fairly critiqued because Mr. Fabian gave evidence to this effect. However, they point out that although Mr. Fabian testified that he advised Dr. Edwards, in the months following the Accident, that he had thought about suicide to the point that he was planning to drive into oncoming traffic, none of this account appeared in the contemporaneous and detailed clinical records of Dr. Edwards. The defendants assert that Mr. Fabian's memory is unreliable and that the evidence and clinical notes of Dr. Edwards should be preferred to that of both Dr. Karapareddy and Mr. Fabian on this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Dr. Edwards essentially refuted Mr. Fabian's testimony that Mr. Fabian had relayed to him that he had plans of suicide by driving into traffic. In addition, Dr. Edwards testified that had such a discussion occurred he would have taken the threat of suicide very seriously and would having noted it in his clinical records. He also testified that in such circumstances, he would have taken the necessary steps to ensure Mr. Fabian's safety, including have him hospitalized, if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Dr. Edwards is a very experienced, caring and diligent medical practitioner who has provided medical care to Mr. Fabian for years. I am not persuaded that he failed to properly attend to Mr. Fabian's psychological condition at any juncture after the Accident. The evidence before me does not support the conclusion that Dr. Edwards failed to recognize the need to refer Mr. Fabian for immediate psychiatric or psychological treatment in the summer of 2013 or in 2014. Rather, had Mr. Fabian presented with severe depression symptoms and serious risk of suicide, I accept Dr. Edwards' testimony that he would have responded with the appropriate treatment plans.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Notwithstanding the above conclusion, and while the evidence does not establish the psychological disorders diagnosed by Dr. Karapareddy were caused by the Accident itself, in light of the totality of the evidence before me, I do accept Dr. Karapareddy's diagnosis that Mr. Fabian suffers from an adjustment disorder with a depressive mood ("Adjustment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 have found that Mr. Fabian's recollection of events and his accounts to Dr. Karapareddy were not substantiated in their totality by the evidence before me. Yet, I am not persuaded by the defendants' arguments that Dr. Karapareddy's psychiatric diagnoses ought to be rejected in their entirety. No expert evidence was tendered by the defendants to support such a conclusion. While expert evidence challenging Dr. Karapareddy's evidence is not strictly necessary, I find that the evidence as a whole supports Dr. Karapareddy's conclusion that Mr. Fabian has an Adjustment Disorder coupled with depressive symptoms. Indeed, Dr. Edward's clinical notes are consistent with this diagnosis. Mr. Fabian has suffered and overcome traumatic life events prior to the Accident which clearly informed Dr. Karapareddy's assessment. I accept that, given his unique and tragic history, Mr. Fabian suffered psychological injury after the Accident, that persons without his distinctive life experience may not. I also find, however, on the evidence before me that Mr. Fabian is no longer depressed and has not been for some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While Dr. Edwards did not diagnose a major depression disorder after the Accident, he did document Mr. Fabian's "low mood", his feelings of being unbalanced and his suicidal thoughts. In addition, Dr. Edwards' clinical records in May 2015, documenting an improvement in Mr. Fabian's mood, are consistent with Dr. Karapareddy's opinion that Mr. Fabian's symptom severity in 2017 did not fulfill the criteria for depression. As well, all parties acknowledged Mr. Fabian's addiction to cocaine and his success in overcoming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I am not persuaded the Accident had as severe an effect on Mr. Fabian's psychological state as he submits it did and I am not persuaded that the second cocaine relapse was caused or contributed to by the Accident. Nevertheless, I am of the view that the Accident exacerbated Mr. Fabian's diagnosed Adjustment Disorder. I accept that Mr. Fabian experienced significant stress and anxiety after the Accident. Case authorities have confirmed that causation is established in circumstances where the plaintiff proves, on a balance of probabilities, that the defendant caused or contributed to the injury: see, for example,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13. I find, on a balance of probabilities that the evidence establishes Mr. Fabian has an Adjustment Disorder as diagnosed by Dr. Karapareddy and that the Accident changed its trajectory, negatively affecting this psychological condition for a period of time after the Accident. Further, in light of the totality of the evidence before me, including that of Dr. Edwards, Dr. Karapareddy and Mr. Fabian himself, I find that Mr. Fabian substantially recovered from his psychological injuries resulting from the Accident by at least the time of his examination by Dr. Edwards in May 2015, when Dr. Edwards noted that Mr. Fabian's mood had not only improved, but that he was also more socially engaged, participating in Alcoholics Anonymous and playing softball.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ml:space="preserve">  It is well established that each case must be assessed based on the particular facts before the court and in light of the following factors delineated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14"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[46] The inexhaustive list of common factors cited in </w:t>
      </w:r>
      <w:r>
        <w:rPr>
          <w:rFonts w:ascii="arial" w:eastAsia="arial" w:hAnsi="arial" w:cs="arial"/>
          <w:i/>
          <w:color w:val="000000"/>
          <w:sz w:val="20"/>
          <w:lang w:val="en-US" w:eastAsia="en-US" w:bidi="ar-SA"/>
        </w:rPr>
        <w:t>Boyd</w:t>
      </w:r>
      <w:r>
        <w:rPr>
          <w:rFonts w:ascii="arial" w:eastAsia="arial" w:hAnsi="arial" w:cs="arial"/>
          <w:color w:val="000000"/>
          <w:sz w:val="20"/>
          <w:lang w:val="en-US" w:eastAsia="en-US" w:bidi="ar-SA"/>
        </w:rPr>
        <w:t xml:space="preserve">, </w:t>
      </w:r>
      <w:hyperlink r:id="rId15" w:history="1">
        <w:r>
          <w:rPr>
            <w:rFonts w:ascii="arial" w:eastAsia="arial" w:hAnsi="arial" w:cs="arial"/>
            <w:i/>
            <w:color w:val="0077CC"/>
            <w:sz w:val="20"/>
            <w:u w:val="single"/>
            <w:shd w:val="clear" w:color="auto" w:fill="FFFFFF"/>
            <w:lang w:val="en-US" w:eastAsia="en-US" w:bidi="ar-SA"/>
          </w:rPr>
          <w:t>[2004] B.C.J. No. 472</w:t>
        </w:r>
      </w:hyperlink>
      <w:r>
        <w:rPr>
          <w:rFonts w:ascii="arial" w:eastAsia="arial" w:hAnsi="arial" w:cs="arial"/>
          <w:color w:val="000000"/>
          <w:sz w:val="20"/>
          <w:lang w:val="en-US" w:eastAsia="en-US" w:bidi="ar-SA"/>
        </w:rPr>
        <w:t xml:space="preserve"> that influence an award of non-pecuniary damages includes:</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age of the plaintiff;</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the injury;</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severity and duration of pain;</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disability;</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emotional suffering; and</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or impairment of life;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add the following factors, although they may arguably be subsumed in the above list:</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family, marital and social relationships;</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physical and mental abilities;</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lifestyle; and</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stoicism (as a factor that should not, generally speaking, penalize the plaintiff: </w:t>
      </w:r>
      <w:r>
        <w:rPr>
          <w:rFonts w:ascii="arial" w:eastAsia="arial" w:hAnsi="arial" w:cs="arial"/>
          <w:i/>
          <w:color w:val="000000"/>
          <w:sz w:val="20"/>
          <w:lang w:val="en-US" w:eastAsia="en-US" w:bidi="ar-SA"/>
        </w:rPr>
        <w:t>Giang v. Clayton</w:t>
      </w:r>
      <w:r>
        <w:rPr>
          <w:rFonts w:ascii="arial" w:eastAsia="arial" w:hAnsi="arial" w:cs="arial"/>
          <w:color w:val="000000"/>
          <w:sz w:val="20"/>
          <w:lang w:val="en-US" w:eastAsia="en-US" w:bidi="ar-SA"/>
        </w:rPr>
        <w:t xml:space="preserve">, </w:t>
      </w:r>
      <w:hyperlink r:id="rId16" w:history="1">
        <w:r>
          <w:rPr>
            <w:rFonts w:ascii="arial" w:eastAsia="arial" w:hAnsi="arial" w:cs="arial"/>
            <w:i/>
            <w:color w:val="0077CC"/>
            <w:sz w:val="20"/>
            <w:u w:val="single"/>
            <w:shd w:val="clear" w:color="auto" w:fill="FFFFFF"/>
            <w:lang w:val="en-US" w:eastAsia="en-US" w:bidi="ar-SA"/>
          </w:rPr>
          <w:t>[2005] B.C.J. No. 163</w:t>
        </w:r>
      </w:hyperlink>
      <w:r>
        <w:rPr>
          <w:rFonts w:ascii="arial" w:eastAsia="arial" w:hAnsi="arial" w:cs="arial"/>
          <w:color w:val="000000"/>
          <w:sz w:val="20"/>
          <w:lang w:val="en-US" w:eastAsia="en-US" w:bidi="ar-SA"/>
        </w:rPr>
        <w:t xml:space="preserve"> (QL), </w:t>
      </w:r>
      <w:hyperlink r:id="rId16" w:history="1">
        <w:r>
          <w:rPr>
            <w:rFonts w:ascii="arial" w:eastAsia="arial" w:hAnsi="arial" w:cs="arial"/>
            <w:i/>
            <w:color w:val="0077CC"/>
            <w:sz w:val="20"/>
            <w:u w:val="single"/>
            <w:shd w:val="clear" w:color="auto" w:fill="FFFFFF"/>
            <w:lang w:val="en-US" w:eastAsia="en-US" w:bidi="ar-SA"/>
          </w:rPr>
          <w:t>2005 BCCA 54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I have examined each of the above factors in light of the circumstances of this case and have taken into account the specific submissions of the parties on the factors that ought to inform my analysis in assessing non-pecuniary damages. In doing so, I have examined not only the nature of the injuries that Mr. Fabian sustained as a result of the Accident, including his psychological injuries, but also whether and to what degree his various injuries persisted after the Accident. I have also considered the manner in which Mr. Fabian's overall health, recreational activities and general lifestyle have been impaired as a result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The evidence establishes that Mr. Fabian experienced mild to moderate soft tissue injuries and pain-related limitations which prevented him from working at all for about four months after the Accident. I find these injuries included headaches, neck pain, shoulder pain, back pain and stomach pain, as well as nausea, sleep disturbance and elevated stress and anxiety that exacerbated his Adjustment Disorder. I also find that during the course of the year following the Accident, Mr. Fabian's symptoms improved significantly in relation to the injuries he sustained as a result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Based on the evidence before me, I find that by the spring of 2014, Mr. Fabian's headaches, neck and shoulder pain, including related symptoms, had abated, although I find that his back pain persisted. Even though the evidence establishes the he began working part-time in the summer of 2013 until approximately mid-March 2014 and then began working full-time, I find that he continued to experience back pain or flare-ups while working, that may have included headaches and sleep disturbance. The Mountainview Kinesiology records make it patently clear, however, that Mr. Fabian was not experiencing daily headaches during the period from February 18 to June 19,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More specifically, I accept that when Mr. Fabian began working full-time at the Coast Plaza Hotel, he was continuing to experience back pain and that he chose this maintenance job over a full-time painting job as he had not recovered sufficiently to work full-time as a painter. I accept his evidence that full-time painting is more taxing physically than his maintenance job at the Coast Plaza Hotel and that he chose the latter to accommodate his physical recovery. I also find, however, that Mr. Fabian substantially recovered from his soft tissue injuries by the time he started working full-time as a painter in March 2016. In so concluding, I also find that he continued to experience back pain in the form of flare-ups from time to time. I am not persuaded on a balance of probabilities that his headaches and back pain persist to this day on a daily basis or to the degree he states they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The evidence established that Mr. Fabian's recreational life was curtailed by the Accident. I find however that, at least by May 2015, Mr. Fabian had resumed a more active and social lifestyle, playing softball and going to the gym.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I accept Dr. Gharsaa's conclusion that at the time of his examination of Mr. Fabian in November 2016 there were no ongoing objective signs of injury and no organic pathology suggestive of continuing physical impairment or disability that could be attributed to the Accident. I also accept Dr. Gharsaa's opinion that Mr. Fabian should be reassured that it is safe for him to resume all aspects of his life that he engaged in prior to the Accident. However, while Dr. Gharsaa also concluded that Mr. Fabian's physical injuries had resolved, I nonetheless accept (as noted above) Mr. Fabian's evidence that he continues to experience some back pain or flare-ups.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xml:space="preserve">  Counsel for Mr. Fabian referred to a number of cases that support his claim for non-pecuniary damages between $85,000 and $105,000 including </w:t>
      </w:r>
      <w:r>
        <w:rPr>
          <w:rFonts w:ascii="arial" w:eastAsia="arial" w:hAnsi="arial" w:cs="arial"/>
          <w:i/>
          <w:color w:val="000000"/>
          <w:sz w:val="20"/>
          <w:lang w:val="en-US" w:eastAsia="en-US" w:bidi="ar-SA"/>
        </w:rPr>
        <w:t>Pilfold v. Jaswal</w:t>
      </w:r>
      <w:r>
        <w:rPr>
          <w:rFonts w:ascii="arial" w:eastAsia="arial" w:hAnsi="arial" w:cs="arial"/>
          <w:color w:val="000000"/>
          <w:sz w:val="20"/>
          <w:lang w:val="en-US" w:eastAsia="en-US" w:bidi="ar-SA"/>
        </w:rPr>
        <w:t xml:space="preserve">, </w:t>
      </w:r>
      <w:hyperlink r:id="rId17" w:history="1">
        <w:r>
          <w:rPr>
            <w:rFonts w:ascii="arial" w:eastAsia="arial" w:hAnsi="arial" w:cs="arial"/>
            <w:i/>
            <w:color w:val="0077CC"/>
            <w:sz w:val="20"/>
            <w:u w:val="single"/>
            <w:shd w:val="clear" w:color="auto" w:fill="FFFFFF"/>
            <w:lang w:val="en-US" w:eastAsia="en-US" w:bidi="ar-SA"/>
          </w:rPr>
          <w:t>2014 BCSC 719</w:t>
        </w:r>
      </w:hyperlink>
      <w:r>
        <w:rPr>
          <w:rFonts w:ascii="arial" w:eastAsia="arial" w:hAnsi="arial" w:cs="arial"/>
          <w:color w:val="000000"/>
          <w:sz w:val="20"/>
          <w:lang w:val="en-US" w:eastAsia="en-US" w:bidi="ar-SA"/>
        </w:rPr>
        <w:t xml:space="preserve"> ($80,000), </w:t>
      </w:r>
      <w:r>
        <w:rPr>
          <w:rFonts w:ascii="arial" w:eastAsia="arial" w:hAnsi="arial" w:cs="arial"/>
          <w:i/>
          <w:color w:val="000000"/>
          <w:sz w:val="20"/>
          <w:lang w:val="en-US" w:eastAsia="en-US" w:bidi="ar-SA"/>
        </w:rPr>
        <w:t>Gold v. Joe</w:t>
      </w:r>
      <w:r>
        <w:rPr>
          <w:rFonts w:ascii="arial" w:eastAsia="arial" w:hAnsi="arial" w:cs="arial"/>
          <w:color w:val="000000"/>
          <w:sz w:val="20"/>
          <w:lang w:val="en-US" w:eastAsia="en-US" w:bidi="ar-SA"/>
        </w:rPr>
        <w:t xml:space="preserve">, </w:t>
      </w:r>
      <w:hyperlink r:id="rId18" w:history="1">
        <w:r>
          <w:rPr>
            <w:rFonts w:ascii="arial" w:eastAsia="arial" w:hAnsi="arial" w:cs="arial"/>
            <w:i/>
            <w:color w:val="0077CC"/>
            <w:sz w:val="20"/>
            <w:u w:val="single"/>
            <w:shd w:val="clear" w:color="auto" w:fill="FFFFFF"/>
            <w:lang w:val="en-US" w:eastAsia="en-US" w:bidi="ar-SA"/>
          </w:rPr>
          <w:t>2008 BCSC 865</w:t>
        </w:r>
      </w:hyperlink>
      <w:r>
        <w:rPr>
          <w:rFonts w:ascii="arial" w:eastAsia="arial" w:hAnsi="arial" w:cs="arial"/>
          <w:color w:val="000000"/>
          <w:sz w:val="20"/>
          <w:lang w:val="en-US" w:eastAsia="en-US" w:bidi="ar-SA"/>
        </w:rPr>
        <w:t xml:space="preserve"> ($80,000), </w:t>
      </w:r>
      <w:r>
        <w:rPr>
          <w:rFonts w:ascii="arial" w:eastAsia="arial" w:hAnsi="arial" w:cs="arial"/>
          <w:i/>
          <w:color w:val="000000"/>
          <w:sz w:val="20"/>
          <w:lang w:val="en-US" w:eastAsia="en-US" w:bidi="ar-SA"/>
        </w:rPr>
        <w:t>Jamal v. Kemery-Higgins</w:t>
      </w:r>
      <w:r>
        <w:rPr>
          <w:rFonts w:ascii="arial" w:eastAsia="arial" w:hAnsi="arial" w:cs="arial"/>
          <w:color w:val="000000"/>
          <w:sz w:val="20"/>
          <w:lang w:val="en-US" w:eastAsia="en-US" w:bidi="ar-SA"/>
        </w:rPr>
        <w:t xml:space="preserve">, </w:t>
      </w:r>
      <w:hyperlink r:id="rId19" w:history="1">
        <w:r>
          <w:rPr>
            <w:rFonts w:ascii="arial" w:eastAsia="arial" w:hAnsi="arial" w:cs="arial"/>
            <w:i/>
            <w:color w:val="0077CC"/>
            <w:sz w:val="20"/>
            <w:u w:val="single"/>
            <w:shd w:val="clear" w:color="auto" w:fill="FFFFFF"/>
            <w:lang w:val="en-US" w:eastAsia="en-US" w:bidi="ar-SA"/>
          </w:rPr>
          <w:t>2017 BCSC 213</w:t>
        </w:r>
      </w:hyperlink>
      <w:r>
        <w:rPr>
          <w:rFonts w:ascii="arial" w:eastAsia="arial" w:hAnsi="arial" w:cs="arial"/>
          <w:color w:val="000000"/>
          <w:sz w:val="20"/>
          <w:lang w:val="en-US" w:eastAsia="en-US" w:bidi="ar-SA"/>
        </w:rPr>
        <w:t xml:space="preserve"> ($95,000), </w:t>
      </w:r>
      <w:r>
        <w:rPr>
          <w:rFonts w:ascii="arial" w:eastAsia="arial" w:hAnsi="arial" w:cs="arial"/>
          <w:i/>
          <w:color w:val="000000"/>
          <w:sz w:val="20"/>
          <w:lang w:val="en-US" w:eastAsia="en-US" w:bidi="ar-SA"/>
        </w:rPr>
        <w:t>Neumann v. Eskoy</w:t>
      </w:r>
      <w:r>
        <w:rPr>
          <w:rFonts w:ascii="arial" w:eastAsia="arial" w:hAnsi="arial" w:cs="arial"/>
          <w:color w:val="000000"/>
          <w:sz w:val="20"/>
          <w:lang w:val="en-US" w:eastAsia="en-US" w:bidi="ar-SA"/>
        </w:rPr>
        <w:t xml:space="preserve">, </w:t>
      </w:r>
      <w:hyperlink r:id="rId20" w:history="1">
        <w:r>
          <w:rPr>
            <w:rFonts w:ascii="arial" w:eastAsia="arial" w:hAnsi="arial" w:cs="arial"/>
            <w:i/>
            <w:color w:val="0077CC"/>
            <w:sz w:val="20"/>
            <w:u w:val="single"/>
            <w:shd w:val="clear" w:color="auto" w:fill="FFFFFF"/>
            <w:lang w:val="en-US" w:eastAsia="en-US" w:bidi="ar-SA"/>
          </w:rPr>
          <w:t>2010 BCSC 1275</w:t>
        </w:r>
      </w:hyperlink>
      <w:r>
        <w:rPr>
          <w:rFonts w:ascii="arial" w:eastAsia="arial" w:hAnsi="arial" w:cs="arial"/>
          <w:color w:val="000000"/>
          <w:sz w:val="20"/>
          <w:lang w:val="en-US" w:eastAsia="en-US" w:bidi="ar-SA"/>
        </w:rPr>
        <w:t xml:space="preserve"> ($90,000), and </w:t>
      </w:r>
      <w:r>
        <w:rPr>
          <w:rFonts w:ascii="arial" w:eastAsia="arial" w:hAnsi="arial" w:cs="arial"/>
          <w:i/>
          <w:color w:val="000000"/>
          <w:sz w:val="20"/>
          <w:lang w:val="en-US" w:eastAsia="en-US" w:bidi="ar-SA"/>
        </w:rPr>
        <w:t>Mohan v. Khan</w:t>
      </w:r>
      <w:r>
        <w:rPr>
          <w:rFonts w:ascii="arial" w:eastAsia="arial" w:hAnsi="arial" w:cs="arial"/>
          <w:color w:val="000000"/>
          <w:sz w:val="20"/>
          <w:lang w:val="en-US" w:eastAsia="en-US" w:bidi="ar-SA"/>
        </w:rPr>
        <w:t xml:space="preserve">, </w:t>
      </w:r>
      <w:hyperlink r:id="rId21" w:history="1">
        <w:r>
          <w:rPr>
            <w:rFonts w:ascii="arial" w:eastAsia="arial" w:hAnsi="arial" w:cs="arial"/>
            <w:i/>
            <w:color w:val="0077CC"/>
            <w:sz w:val="20"/>
            <w:u w:val="single"/>
            <w:shd w:val="clear" w:color="auto" w:fill="FFFFFF"/>
            <w:lang w:val="en-US" w:eastAsia="en-US" w:bidi="ar-SA"/>
          </w:rPr>
          <w:t>2012 BCSC 436</w:t>
        </w:r>
      </w:hyperlink>
      <w:r>
        <w:rPr>
          <w:rFonts w:ascii="arial" w:eastAsia="arial" w:hAnsi="arial" w:cs="arial"/>
          <w:color w:val="000000"/>
          <w:sz w:val="20"/>
          <w:lang w:val="en-US" w:eastAsia="en-US" w:bidi="ar-SA"/>
        </w:rPr>
        <w:t xml:space="preserve"> ($100,000). Counsel for the defendants advanced a significantly lower range of non-pecuniary damages, arguing that this category of damages should be based on mild soft tissue injuries with a period of disability of 15 weeks and no compensable claim for psychological injury. He relies on the following line of cases that would justify a range of non-pecuniary damages between $50,000 and $60,000: </w:t>
      </w:r>
      <w:r>
        <w:rPr>
          <w:rFonts w:ascii="arial" w:eastAsia="arial" w:hAnsi="arial" w:cs="arial"/>
          <w:i/>
          <w:color w:val="000000"/>
          <w:sz w:val="20"/>
          <w:lang w:val="en-US" w:eastAsia="en-US" w:bidi="ar-SA"/>
        </w:rPr>
        <w:t>Olianka v. Spagnol</w:t>
      </w:r>
      <w:r>
        <w:rPr>
          <w:rFonts w:ascii="arial" w:eastAsia="arial" w:hAnsi="arial" w:cs="arial"/>
          <w:color w:val="000000"/>
          <w:sz w:val="20"/>
          <w:lang w:val="en-US" w:eastAsia="en-US" w:bidi="ar-SA"/>
        </w:rPr>
        <w:t xml:space="preserve">, </w:t>
      </w:r>
      <w:hyperlink r:id="rId22" w:history="1">
        <w:r>
          <w:rPr>
            <w:rFonts w:ascii="arial" w:eastAsia="arial" w:hAnsi="arial" w:cs="arial"/>
            <w:i/>
            <w:color w:val="0077CC"/>
            <w:sz w:val="20"/>
            <w:u w:val="single"/>
            <w:shd w:val="clear" w:color="auto" w:fill="FFFFFF"/>
            <w:lang w:val="en-US" w:eastAsia="en-US" w:bidi="ar-SA"/>
          </w:rPr>
          <w:t>2011 BCSC 1013</w:t>
        </w:r>
      </w:hyperlink>
      <w:r>
        <w:rPr>
          <w:rFonts w:ascii="arial" w:eastAsia="arial" w:hAnsi="arial" w:cs="arial"/>
          <w:color w:val="000000"/>
          <w:sz w:val="20"/>
          <w:lang w:val="en-US" w:eastAsia="en-US" w:bidi="ar-SA"/>
        </w:rPr>
        <w:t xml:space="preserve"> ($30,000); </w:t>
      </w:r>
      <w:r>
        <w:rPr>
          <w:rFonts w:ascii="arial" w:eastAsia="arial" w:hAnsi="arial" w:cs="arial"/>
          <w:i/>
          <w:color w:val="000000"/>
          <w:sz w:val="20"/>
          <w:lang w:val="en-US" w:eastAsia="en-US" w:bidi="ar-SA"/>
        </w:rPr>
        <w:t>Erwin v. Buhler</w:t>
      </w:r>
      <w:r>
        <w:rPr>
          <w:rFonts w:ascii="arial" w:eastAsia="arial" w:hAnsi="arial" w:cs="arial"/>
          <w:color w:val="000000"/>
          <w:sz w:val="20"/>
          <w:lang w:val="en-US" w:eastAsia="en-US" w:bidi="ar-SA"/>
        </w:rPr>
        <w:t xml:space="preserve">, </w:t>
      </w:r>
      <w:hyperlink r:id="rId23" w:history="1">
        <w:r>
          <w:rPr>
            <w:rFonts w:ascii="arial" w:eastAsia="arial" w:hAnsi="arial" w:cs="arial"/>
            <w:i/>
            <w:color w:val="0077CC"/>
            <w:sz w:val="20"/>
            <w:u w:val="single"/>
            <w:shd w:val="clear" w:color="auto" w:fill="FFFFFF"/>
            <w:lang w:val="en-US" w:eastAsia="en-US" w:bidi="ar-SA"/>
          </w:rPr>
          <w:t>2017 BCSC 362</w:t>
        </w:r>
      </w:hyperlink>
      <w:r>
        <w:rPr>
          <w:rFonts w:ascii="arial" w:eastAsia="arial" w:hAnsi="arial" w:cs="arial"/>
          <w:color w:val="000000"/>
          <w:sz w:val="20"/>
          <w:lang w:val="en-US" w:eastAsia="en-US" w:bidi="ar-SA"/>
        </w:rPr>
        <w:t xml:space="preserve"> ($40,000); </w:t>
      </w:r>
      <w:r>
        <w:rPr>
          <w:rFonts w:ascii="arial" w:eastAsia="arial" w:hAnsi="arial" w:cs="arial"/>
          <w:i/>
          <w:color w:val="000000"/>
          <w:sz w:val="20"/>
          <w:lang w:val="en-US" w:eastAsia="en-US" w:bidi="ar-SA"/>
        </w:rPr>
        <w:t>Brousseau v. John Doe</w:t>
      </w:r>
      <w:r>
        <w:rPr>
          <w:rFonts w:ascii="arial" w:eastAsia="arial" w:hAnsi="arial" w:cs="arial"/>
          <w:color w:val="000000"/>
          <w:sz w:val="20"/>
          <w:lang w:val="en-US" w:eastAsia="en-US" w:bidi="ar-SA"/>
        </w:rPr>
        <w:t xml:space="preserve">, </w:t>
      </w:r>
      <w:hyperlink r:id="rId24" w:history="1">
        <w:r>
          <w:rPr>
            <w:rFonts w:ascii="arial" w:eastAsia="arial" w:hAnsi="arial" w:cs="arial"/>
            <w:i/>
            <w:color w:val="0077CC"/>
            <w:sz w:val="20"/>
            <w:u w:val="single"/>
            <w:shd w:val="clear" w:color="auto" w:fill="FFFFFF"/>
            <w:lang w:val="en-US" w:eastAsia="en-US" w:bidi="ar-SA"/>
          </w:rPr>
          <w:t>2012 BCSC 1676</w:t>
        </w:r>
      </w:hyperlink>
      <w:r>
        <w:rPr>
          <w:rFonts w:ascii="arial" w:eastAsia="arial" w:hAnsi="arial" w:cs="arial"/>
          <w:color w:val="000000"/>
          <w:sz w:val="20"/>
          <w:lang w:val="en-US" w:eastAsia="en-US" w:bidi="ar-SA"/>
        </w:rPr>
        <w:t xml:space="preserve"> ($45,000); </w:t>
      </w:r>
      <w:r>
        <w:rPr>
          <w:rFonts w:ascii="arial" w:eastAsia="arial" w:hAnsi="arial" w:cs="arial"/>
          <w:i/>
          <w:color w:val="000000"/>
          <w:sz w:val="20"/>
          <w:lang w:val="en-US" w:eastAsia="en-US" w:bidi="ar-SA"/>
        </w:rPr>
        <w:t>Martin v. Dardengo</w:t>
      </w:r>
      <w:r>
        <w:rPr>
          <w:rFonts w:ascii="arial" w:eastAsia="arial" w:hAnsi="arial" w:cs="arial"/>
          <w:color w:val="000000"/>
          <w:sz w:val="20"/>
          <w:lang w:val="en-US" w:eastAsia="en-US" w:bidi="ar-SA"/>
        </w:rPr>
        <w:t xml:space="preserve">, </w:t>
      </w:r>
      <w:hyperlink r:id="rId25" w:history="1">
        <w:r>
          <w:rPr>
            <w:rFonts w:ascii="arial" w:eastAsia="arial" w:hAnsi="arial" w:cs="arial"/>
            <w:i/>
            <w:color w:val="0077CC"/>
            <w:sz w:val="20"/>
            <w:u w:val="single"/>
            <w:shd w:val="clear" w:color="auto" w:fill="FFFFFF"/>
            <w:lang w:val="en-US" w:eastAsia="en-US" w:bidi="ar-SA"/>
          </w:rPr>
          <w:t>2016 BCSC 1371</w:t>
        </w:r>
      </w:hyperlink>
      <w:r>
        <w:rPr>
          <w:rFonts w:ascii="arial" w:eastAsia="arial" w:hAnsi="arial" w:cs="arial"/>
          <w:color w:val="000000"/>
          <w:sz w:val="20"/>
          <w:lang w:val="en-US" w:eastAsia="en-US" w:bidi="ar-SA"/>
        </w:rPr>
        <w:t xml:space="preserve"> ($60,000); </w:t>
      </w:r>
      <w:r>
        <w:rPr>
          <w:rFonts w:ascii="arial" w:eastAsia="arial" w:hAnsi="arial" w:cs="arial"/>
          <w:i/>
          <w:color w:val="000000"/>
          <w:sz w:val="20"/>
          <w:lang w:val="en-US" w:eastAsia="en-US" w:bidi="ar-SA"/>
        </w:rPr>
        <w:t>Wilson v. Honda Canada Financial Inc.</w:t>
      </w:r>
      <w:r>
        <w:rPr>
          <w:rFonts w:ascii="arial" w:eastAsia="arial" w:hAnsi="arial" w:cs="arial"/>
          <w:color w:val="000000"/>
          <w:sz w:val="20"/>
          <w:lang w:val="en-US" w:eastAsia="en-US" w:bidi="ar-SA"/>
        </w:rPr>
        <w:t xml:space="preserve">, </w:t>
      </w:r>
      <w:hyperlink r:id="rId26" w:history="1">
        <w:r>
          <w:rPr>
            <w:rFonts w:ascii="arial" w:eastAsia="arial" w:hAnsi="arial" w:cs="arial"/>
            <w:i/>
            <w:color w:val="0077CC"/>
            <w:sz w:val="20"/>
            <w:u w:val="single"/>
            <w:shd w:val="clear" w:color="auto" w:fill="FFFFFF"/>
            <w:lang w:val="en-US" w:eastAsia="en-US" w:bidi="ar-SA"/>
          </w:rPr>
          <w:t>2013 BCSC 1137</w:t>
        </w:r>
      </w:hyperlink>
      <w:r>
        <w:rPr>
          <w:rFonts w:ascii="arial" w:eastAsia="arial" w:hAnsi="arial" w:cs="arial"/>
          <w:color w:val="000000"/>
          <w:sz w:val="20"/>
          <w:lang w:val="en-US" w:eastAsia="en-US" w:bidi="ar-SA"/>
        </w:rPr>
        <w:t xml:space="preserve"> ($40,000); </w:t>
      </w:r>
      <w:r>
        <w:rPr>
          <w:rFonts w:ascii="arial" w:eastAsia="arial" w:hAnsi="arial" w:cs="arial"/>
          <w:i/>
          <w:color w:val="000000"/>
          <w:sz w:val="20"/>
          <w:lang w:val="en-US" w:eastAsia="en-US" w:bidi="ar-SA"/>
        </w:rPr>
        <w:t>Kostinuk</w:t>
      </w:r>
      <w:r>
        <w:rPr>
          <w:rFonts w:ascii="arial" w:eastAsia="arial" w:hAnsi="arial" w:cs="arial"/>
          <w:color w:val="000000"/>
          <w:sz w:val="20"/>
          <w:lang w:val="en-US" w:eastAsia="en-US" w:bidi="ar-SA"/>
        </w:rPr>
        <w:t xml:space="preserve"> v. </w:t>
      </w:r>
      <w:r>
        <w:rPr>
          <w:rFonts w:ascii="arial" w:eastAsia="arial" w:hAnsi="arial" w:cs="arial"/>
          <w:i/>
          <w:color w:val="000000"/>
          <w:sz w:val="20"/>
          <w:lang w:val="en-US" w:eastAsia="en-US" w:bidi="ar-SA"/>
        </w:rPr>
        <w:t>Fellowes</w:t>
      </w:r>
      <w:r>
        <w:rPr>
          <w:rFonts w:ascii="arial" w:eastAsia="arial" w:hAnsi="arial" w:cs="arial"/>
          <w:color w:val="000000"/>
          <w:sz w:val="20"/>
          <w:lang w:val="en-US" w:eastAsia="en-US" w:bidi="ar-SA"/>
        </w:rPr>
        <w:t xml:space="preserve">, </w:t>
      </w:r>
      <w:hyperlink r:id="rId27" w:history="1">
        <w:r>
          <w:rPr>
            <w:rFonts w:ascii="arial" w:eastAsia="arial" w:hAnsi="arial" w:cs="arial"/>
            <w:i/>
            <w:color w:val="0077CC"/>
            <w:sz w:val="20"/>
            <w:u w:val="single"/>
            <w:shd w:val="clear" w:color="auto" w:fill="FFFFFF"/>
            <w:lang w:val="en-US" w:eastAsia="en-US" w:bidi="ar-SA"/>
          </w:rPr>
          <w:t>2015 BCSC 1537</w:t>
        </w:r>
      </w:hyperlink>
      <w:r>
        <w:rPr>
          <w:rFonts w:ascii="arial" w:eastAsia="arial" w:hAnsi="arial" w:cs="arial"/>
          <w:color w:val="000000"/>
          <w:sz w:val="20"/>
          <w:lang w:val="en-US" w:eastAsia="en-US" w:bidi="ar-SA"/>
        </w:rPr>
        <w:t xml:space="preserve"> ($70,000); and </w:t>
      </w:r>
      <w:r>
        <w:rPr>
          <w:rFonts w:ascii="arial" w:eastAsia="arial" w:hAnsi="arial" w:cs="arial"/>
          <w:i/>
          <w:color w:val="000000"/>
          <w:sz w:val="20"/>
          <w:lang w:val="en-US" w:eastAsia="en-US" w:bidi="ar-SA"/>
        </w:rPr>
        <w:t>Mandra v. Lu</w:t>
      </w:r>
      <w:r>
        <w:rPr>
          <w:rFonts w:ascii="arial" w:eastAsia="arial" w:hAnsi="arial" w:cs="arial"/>
          <w:color w:val="000000"/>
          <w:sz w:val="20"/>
          <w:lang w:val="en-US" w:eastAsia="en-US" w:bidi="ar-SA"/>
        </w:rPr>
        <w:t xml:space="preserve">, </w:t>
      </w:r>
      <w:hyperlink r:id="rId28" w:history="1">
        <w:r>
          <w:rPr>
            <w:rFonts w:ascii="arial" w:eastAsia="arial" w:hAnsi="arial" w:cs="arial"/>
            <w:i/>
            <w:color w:val="0077CC"/>
            <w:sz w:val="20"/>
            <w:u w:val="single"/>
            <w:shd w:val="clear" w:color="auto" w:fill="FFFFFF"/>
            <w:lang w:val="en-US" w:eastAsia="en-US" w:bidi="ar-SA"/>
          </w:rPr>
          <w:t>2014 BCSC 2199</w:t>
        </w:r>
      </w:hyperlink>
      <w:r>
        <w:rPr>
          <w:rFonts w:ascii="arial" w:eastAsia="arial" w:hAnsi="arial" w:cs="arial"/>
          <w:color w:val="000000"/>
          <w:sz w:val="20"/>
          <w:lang w:val="en-US" w:eastAsia="en-US" w:bidi="ar-SA"/>
        </w:rPr>
        <w:t xml:space="preserve"> ($75,000). The defendants further submit that cases such as </w:t>
      </w:r>
      <w:r>
        <w:rPr>
          <w:rFonts w:ascii="arial" w:eastAsia="arial" w:hAnsi="arial" w:cs="arial"/>
          <w:i/>
          <w:color w:val="000000"/>
          <w:sz w:val="20"/>
          <w:lang w:val="en-US" w:eastAsia="en-US" w:bidi="ar-SA"/>
        </w:rPr>
        <w:t>Kostinuk</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Mandra</w:t>
      </w:r>
      <w:r>
        <w:rPr>
          <w:rFonts w:ascii="arial" w:eastAsia="arial" w:hAnsi="arial" w:cs="arial"/>
          <w:color w:val="000000"/>
          <w:sz w:val="20"/>
          <w:lang w:val="en-US" w:eastAsia="en-US" w:bidi="ar-SA"/>
        </w:rPr>
        <w:t xml:space="preserve"> concern injuries and symptoms which are more severe than those suffered by Mr. Fabian who, by his own admission, reported being 70% recovered and was able to return to work full-time within a year of the Accident. Accordingly, they submit that Mr. Fabian's non-pecuniary damages should be significantly lower that those in </w:t>
      </w:r>
      <w:r>
        <w:rPr>
          <w:rFonts w:ascii="arial" w:eastAsia="arial" w:hAnsi="arial" w:cs="arial"/>
          <w:i/>
          <w:color w:val="000000"/>
          <w:sz w:val="20"/>
          <w:lang w:val="en-US" w:eastAsia="en-US" w:bidi="ar-SA"/>
        </w:rPr>
        <w:t>Mandra</w:t>
      </w:r>
      <w:r>
        <w:rPr>
          <w:rFonts w:ascii="arial" w:eastAsia="arial" w:hAnsi="arial" w:cs="arial"/>
          <w:color w:val="000000"/>
          <w:sz w:val="20"/>
          <w:lang w:val="en-US" w:eastAsia="en-US" w:bidi="ar-SA"/>
        </w:rPr>
        <w:t>, for example.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xml:space="preserve">  I have considered the cases presented by the parties regarding the appropriate range of Mr. Fabian's non-pecuniary damages. While I have concluded that the range of damages claimed by Mr. Fabian is too high, I am not in agreement with the defendants' submissions that Mr. Fabian's soft tissue injuries were as insignificant as they argue or that he sustained no psychological injury whatsoever. For these reasons, I am of the view that Mr. Fabian's injuries and associated pain levels are more severe than those of the plaintiffs in </w:t>
      </w:r>
      <w:r>
        <w:rPr>
          <w:rFonts w:ascii="arial" w:eastAsia="arial" w:hAnsi="arial" w:cs="arial"/>
          <w:i/>
          <w:color w:val="000000"/>
          <w:sz w:val="20"/>
          <w:lang w:val="en-US" w:eastAsia="en-US" w:bidi="ar-SA"/>
        </w:rPr>
        <w:t>Brousseau, Martin</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Wilson</w:t>
      </w:r>
      <w:r>
        <w:rPr>
          <w:rFonts w:ascii="arial" w:eastAsia="arial" w:hAnsi="arial" w:cs="arial"/>
          <w:color w:val="000000"/>
          <w:sz w:val="20"/>
          <w:lang w:val="en-US" w:eastAsia="en-US" w:bidi="ar-SA"/>
        </w:rPr>
        <w:t xml:space="preserve">. I am not persuaded, however, that Mr. Fabian's injuries, pain and suffering are of the same order of magnitude, nature, and scope as the plaintiffs in the cases relied upon by counsel for Mr. Fabian. The factual circumstances in </w:t>
      </w:r>
      <w:r>
        <w:rPr>
          <w:rFonts w:ascii="arial" w:eastAsia="arial" w:hAnsi="arial" w:cs="arial"/>
          <w:i/>
          <w:color w:val="000000"/>
          <w:sz w:val="20"/>
          <w:lang w:val="en-US" w:eastAsia="en-US" w:bidi="ar-SA"/>
        </w:rPr>
        <w:t>Mandra</w:t>
      </w:r>
      <w:r>
        <w:rPr>
          <w:rFonts w:ascii="arial" w:eastAsia="arial" w:hAnsi="arial" w:cs="arial"/>
          <w:color w:val="000000"/>
          <w:sz w:val="20"/>
          <w:lang w:val="en-US" w:eastAsia="en-US" w:bidi="ar-SA"/>
        </w:rPr>
        <w:t xml:space="preserve"> are also distinguishable on this basis as compared to those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xml:space="preserve">  In conclusion, having considered the particular evidence and circumstances before me, along with the cases cited by both parties, and applying the factors set out in </w:t>
      </w:r>
      <w:r>
        <w:rPr>
          <w:rFonts w:ascii="arial" w:eastAsia="arial" w:hAnsi="arial" w:cs="arial"/>
          <w:i/>
          <w:color w:val="000000"/>
          <w:sz w:val="20"/>
          <w:lang w:val="en-US" w:eastAsia="en-US" w:bidi="ar-SA"/>
        </w:rPr>
        <w:t>Stapley</w:t>
      </w:r>
      <w:r>
        <w:rPr>
          <w:rFonts w:ascii="arial" w:eastAsia="arial" w:hAnsi="arial" w:cs="arial"/>
          <w:color w:val="000000"/>
          <w:sz w:val="20"/>
          <w:lang w:val="en-US" w:eastAsia="en-US" w:bidi="ar-SA"/>
        </w:rPr>
        <w:t>, I am of the view that an award of $70,000 for non-pecuniary damages is appropriate in this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Past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xml:space="preserve">  Compensation for past wage loss or past loss of earning capacity is determined according to the loss in the value of the work that the injured plaintiff would have performed, but was unable to perform, because of injury: see </w:t>
      </w:r>
      <w:r>
        <w:rPr>
          <w:rFonts w:ascii="arial" w:eastAsia="arial" w:hAnsi="arial" w:cs="arial"/>
          <w:i/>
          <w:color w:val="000000"/>
          <w:sz w:val="20"/>
          <w:lang w:val="en-US" w:eastAsia="en-US" w:bidi="ar-SA"/>
        </w:rPr>
        <w:t>Rowe v. Bobell Express Ltd.</w:t>
      </w:r>
      <w:r>
        <w:rPr>
          <w:rFonts w:ascii="arial" w:eastAsia="arial" w:hAnsi="arial" w:cs="arial"/>
          <w:color w:val="000000"/>
          <w:sz w:val="20"/>
          <w:lang w:val="en-US" w:eastAsia="en-US" w:bidi="ar-SA"/>
        </w:rPr>
        <w:t xml:space="preserve">, </w:t>
      </w:r>
      <w:hyperlink r:id="rId29" w:history="1">
        <w:r>
          <w:rPr>
            <w:rFonts w:ascii="arial" w:eastAsia="arial" w:hAnsi="arial" w:cs="arial"/>
            <w:i/>
            <w:color w:val="0077CC"/>
            <w:sz w:val="20"/>
            <w:u w:val="single"/>
            <w:shd w:val="clear" w:color="auto" w:fill="FFFFFF"/>
            <w:lang w:val="en-US" w:eastAsia="en-US" w:bidi="ar-SA"/>
          </w:rPr>
          <w:t>2005 BCCA 141</w:t>
        </w:r>
      </w:hyperlink>
      <w:r>
        <w:rPr>
          <w:rFonts w:ascii="arial" w:eastAsia="arial" w:hAnsi="arial" w:cs="arial"/>
          <w:color w:val="000000"/>
          <w:sz w:val="20"/>
          <w:lang w:val="en-US" w:eastAsia="en-US" w:bidi="ar-SA"/>
        </w:rPr>
        <w:t xml:space="preserve"> at para. 30. In Kenneth D. Cooper-Stephenson, </w:t>
      </w:r>
      <w:r>
        <w:rPr>
          <w:rFonts w:ascii="arial" w:eastAsia="arial" w:hAnsi="arial" w:cs="arial"/>
          <w:i/>
          <w:color w:val="000000"/>
          <w:sz w:val="20"/>
          <w:lang w:val="en-US" w:eastAsia="en-US" w:bidi="ar-SA"/>
        </w:rPr>
        <w:t>Personal Injury Damages in Canada</w:t>
      </w:r>
      <w:r>
        <w:rPr>
          <w:rFonts w:ascii="arial" w:eastAsia="arial" w:hAnsi="arial" w:cs="arial"/>
          <w:color w:val="000000"/>
          <w:sz w:val="20"/>
          <w:lang w:val="en-US" w:eastAsia="en-US" w:bidi="ar-SA"/>
        </w:rPr>
        <w:t>, 2nd ed. (Scarborough, Ont.: Carswell, 1996) at 2015-06, the author states that such loss may be measured in a number of ways, including: (1) by reference to the earnings the plaintiff would have received; (2) by a replacement cost evaluation of tasks that the plaintiff is no longer able to perform; (3) by an assessment of reduced company profits; or (4) by the amount of secondary income lost, such as shared family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Smith v. Knudsen</w:t>
      </w:r>
      <w:r>
        <w:rPr>
          <w:rFonts w:ascii="arial" w:eastAsia="arial" w:hAnsi="arial" w:cs="arial"/>
          <w:color w:val="000000"/>
          <w:sz w:val="20"/>
          <w:lang w:val="en-US" w:eastAsia="en-US" w:bidi="ar-SA"/>
        </w:rPr>
        <w:t xml:space="preserve">, </w:t>
      </w:r>
      <w:hyperlink r:id="rId30" w:history="1">
        <w:r>
          <w:rPr>
            <w:rFonts w:ascii="arial" w:eastAsia="arial" w:hAnsi="arial" w:cs="arial"/>
            <w:i/>
            <w:color w:val="0077CC"/>
            <w:sz w:val="20"/>
            <w:u w:val="single"/>
            <w:shd w:val="clear" w:color="auto" w:fill="FFFFFF"/>
            <w:lang w:val="en-US" w:eastAsia="en-US" w:bidi="ar-SA"/>
          </w:rPr>
          <w:t>2004 BCCA 613</w:t>
        </w:r>
      </w:hyperlink>
      <w:r>
        <w:rPr>
          <w:rFonts w:ascii="arial" w:eastAsia="arial" w:hAnsi="arial" w:cs="arial"/>
          <w:color w:val="000000"/>
          <w:sz w:val="20"/>
          <w:lang w:val="en-US" w:eastAsia="en-US" w:bidi="ar-SA"/>
        </w:rPr>
        <w:t xml:space="preserve"> at paras. 24-28, the Court of Appeal confirmed the proper approach courts should take when assessing damages for hypothetical events such as loss of capacity for past and future earnings as follows: (1) a plaintiff is required to prove on a balance of probabilities that an injury had an effect on his or her ability to earn income; and (2) once that has been established, hypothetical events are given weight as to their likelihood and need not be established on a balance of probabilities: see also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Gill v. Probert</w:t>
      </w:r>
      <w:r>
        <w:rPr>
          <w:rFonts w:ascii="arial" w:eastAsia="arial" w:hAnsi="arial" w:cs="arial"/>
          <w:color w:val="000000"/>
          <w:sz w:val="20"/>
          <w:lang w:val="en-US" w:eastAsia="en-US" w:bidi="ar-SA"/>
        </w:rPr>
        <w:t xml:space="preserve">, </w:t>
      </w:r>
      <w:hyperlink r:id="rId31" w:history="1">
        <w:r>
          <w:rPr>
            <w:rFonts w:ascii="arial" w:eastAsia="arial" w:hAnsi="arial" w:cs="arial"/>
            <w:i/>
            <w:color w:val="0077CC"/>
            <w:sz w:val="20"/>
            <w:u w:val="single"/>
            <w:shd w:val="clear" w:color="auto" w:fill="FFFFFF"/>
            <w:lang w:val="en-US" w:eastAsia="en-US" w:bidi="ar-SA"/>
          </w:rPr>
          <w:t>2001 BCCA 331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xml:space="preserve">  More recently, in </w:t>
      </w:r>
      <w:r>
        <w:rPr>
          <w:rFonts w:ascii="arial" w:eastAsia="arial" w:hAnsi="arial" w:cs="arial"/>
          <w:i/>
          <w:color w:val="000000"/>
          <w:sz w:val="20"/>
          <w:lang w:val="en-US" w:eastAsia="en-US" w:bidi="ar-SA"/>
        </w:rPr>
        <w:t>Rousta v. MacKay</w:t>
      </w:r>
      <w:r>
        <w:rPr>
          <w:rFonts w:ascii="arial" w:eastAsia="arial" w:hAnsi="arial" w:cs="arial"/>
          <w:color w:val="000000"/>
          <w:sz w:val="20"/>
          <w:lang w:val="en-US" w:eastAsia="en-US" w:bidi="ar-SA"/>
        </w:rPr>
        <w:t xml:space="preserve">, </w:t>
      </w:r>
      <w:hyperlink r:id="rId32" w:history="1">
        <w:r>
          <w:rPr>
            <w:rFonts w:ascii="arial" w:eastAsia="arial" w:hAnsi="arial" w:cs="arial"/>
            <w:i/>
            <w:color w:val="0077CC"/>
            <w:sz w:val="20"/>
            <w:u w:val="single"/>
            <w:shd w:val="clear" w:color="auto" w:fill="FFFFFF"/>
            <w:lang w:val="en-US" w:eastAsia="en-US" w:bidi="ar-SA"/>
          </w:rPr>
          <w:t>2018 BCCA 29</w:t>
        </w:r>
      </w:hyperlink>
      <w:r>
        <w:rPr>
          <w:rFonts w:ascii="arial" w:eastAsia="arial" w:hAnsi="arial" w:cs="arial"/>
          <w:color w:val="000000"/>
          <w:sz w:val="20"/>
          <w:lang w:val="en-US" w:eastAsia="en-US" w:bidi="ar-SA"/>
        </w:rPr>
        <w:t>, our Court of Appeal has confirmed the standard of proof for hypothetical past events as follows at para. 17: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 ...the standard for the proof for hypothetical past events, like hypothetical future events, is the lesser "real and substantial possibility" threshold. This standard can be contrasted with the standard of proof for past events, which is on the ordinary civil balance of probabilities standard, and alleged events which do not rise to the "real and substantial possibility" standard because they constitute mere speculation.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xml:space="preserve">  Counsel for Mr. Fabian also advances the following passage in </w:t>
      </w:r>
      <w:r>
        <w:rPr>
          <w:rFonts w:ascii="arial" w:eastAsia="arial" w:hAnsi="arial" w:cs="arial"/>
          <w:i/>
          <w:color w:val="000000"/>
          <w:sz w:val="20"/>
          <w:lang w:val="en-US" w:eastAsia="en-US" w:bidi="ar-SA"/>
        </w:rPr>
        <w:t>Grewal v. Neumann</w:t>
      </w:r>
      <w:r>
        <w:rPr>
          <w:rFonts w:ascii="arial" w:eastAsia="arial" w:hAnsi="arial" w:cs="arial"/>
          <w:color w:val="000000"/>
          <w:sz w:val="20"/>
          <w:lang w:val="en-US" w:eastAsia="en-US" w:bidi="ar-SA"/>
        </w:rPr>
        <w:t xml:space="preserve">, </w:t>
      </w:r>
      <w:hyperlink r:id="rId33" w:history="1">
        <w:r>
          <w:rPr>
            <w:rFonts w:ascii="arial" w:eastAsia="arial" w:hAnsi="arial" w:cs="arial"/>
            <w:i/>
            <w:color w:val="0077CC"/>
            <w:sz w:val="20"/>
            <w:u w:val="single"/>
            <w:shd w:val="clear" w:color="auto" w:fill="FFFFFF"/>
            <w:lang w:val="en-US" w:eastAsia="en-US" w:bidi="ar-SA"/>
          </w:rPr>
          <w:t>2017 BCCA 158</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[45] The governing authority in this Court is </w:t>
      </w:r>
      <w:r>
        <w:rPr>
          <w:rFonts w:ascii="arial" w:eastAsia="arial" w:hAnsi="arial" w:cs="arial"/>
          <w:i/>
          <w:color w:val="000000"/>
          <w:sz w:val="20"/>
          <w:lang w:val="en-US" w:eastAsia="en-US" w:bidi="ar-SA"/>
        </w:rPr>
        <w:t>Smith v. Knudsen</w:t>
      </w:r>
      <w:r>
        <w:rPr>
          <w:rFonts w:ascii="arial" w:eastAsia="arial" w:hAnsi="arial" w:cs="arial"/>
          <w:color w:val="000000"/>
          <w:sz w:val="20"/>
          <w:lang w:val="en-US" w:eastAsia="en-US" w:bidi="ar-SA"/>
        </w:rPr>
        <w:t xml:space="preserve">, </w:t>
      </w:r>
      <w:hyperlink r:id="rId30" w:history="1">
        <w:r>
          <w:rPr>
            <w:rFonts w:ascii="arial" w:eastAsia="arial" w:hAnsi="arial" w:cs="arial"/>
            <w:i/>
            <w:color w:val="0077CC"/>
            <w:sz w:val="20"/>
            <w:u w:val="single"/>
            <w:shd w:val="clear" w:color="auto" w:fill="FFFFFF"/>
            <w:lang w:val="en-US" w:eastAsia="en-US" w:bidi="ar-SA"/>
          </w:rPr>
          <w:t>2004 BCCA 613</w:t>
        </w:r>
      </w:hyperlink>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Smith</w:t>
      </w:r>
      <w:r>
        <w:rPr>
          <w:rFonts w:ascii="arial" w:eastAsia="arial" w:hAnsi="arial" w:cs="arial"/>
          <w:color w:val="000000"/>
          <w:sz w:val="20"/>
          <w:lang w:val="en-US" w:eastAsia="en-US" w:bidi="ar-SA"/>
        </w:rPr>
        <w:t>, this Court, after an extensive review of the authorities, rejected the proposition that a claim for past loss of opportunity had to be established on a balance of probabilities...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[46] Rowles J.A. then went on to discuss the assessment of damages. She noted that the same test applies regardless of whether you are assessing past or future loss of earning capacity. In both situations the judge is considering hypothetical events. She reasoned: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[29] ... What would have happened in the past but for the injury is no more "knowable" than what will happen in the future and therefore it is appropriate to assess the likelihood of hypothetical and future events rather than applying the balance of probabilities test that is applied with respect to past actual events.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[48] In summary, an assessment of loss of both past and future earning capacity involves a consideration of hypothetical events. The plaintiff is not required to prove these hypothetical events on a balance of probabilities. A future or hypothetical possibility will be taken into consideration as long as it is a real and substantial possibility and not mere speculation. If the plaintiff establishes a real and substantial possibility, the Court must then determine the measure of damages by assessing the likelihood of the event. Depending on the facts of the case, a loss may be quantified either on an earnings approach or on a capital asset approach: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34"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at para. 32.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[49] The assessment of past or future loss requires the court to estimate a pecuniary loss by weighing possibilities and probabilities of hypothetical events. The use of economic and statistical evidence does not turn the assessment into a calculation but can be a helpful tool in determining what is fair and reasonable in the circumstances: </w:t>
      </w:r>
      <w:r>
        <w:rPr>
          <w:rFonts w:ascii="arial" w:eastAsia="arial" w:hAnsi="arial" w:cs="arial"/>
          <w:i/>
          <w:color w:val="000000"/>
          <w:sz w:val="20"/>
          <w:lang w:val="en-US" w:eastAsia="en-US" w:bidi="ar-SA"/>
        </w:rPr>
        <w:t>Dunbar v. Mendez</w:t>
      </w:r>
      <w:r>
        <w:rPr>
          <w:rFonts w:ascii="arial" w:eastAsia="arial" w:hAnsi="arial" w:cs="arial"/>
          <w:color w:val="000000"/>
          <w:sz w:val="20"/>
          <w:lang w:val="en-US" w:eastAsia="en-US" w:bidi="ar-SA"/>
        </w:rPr>
        <w:t xml:space="preserve">, </w:t>
      </w:r>
      <w:hyperlink r:id="rId35" w:history="1">
        <w:r>
          <w:rPr>
            <w:rFonts w:ascii="arial" w:eastAsia="arial" w:hAnsi="arial" w:cs="arial"/>
            <w:i/>
            <w:color w:val="0077CC"/>
            <w:sz w:val="20"/>
            <w:u w:val="single"/>
            <w:shd w:val="clear" w:color="auto" w:fill="FFFFFF"/>
            <w:lang w:val="en-US" w:eastAsia="en-US" w:bidi="ar-SA"/>
          </w:rPr>
          <w:t>2016 BCCA 211</w:t>
        </w:r>
      </w:hyperlink>
      <w:r>
        <w:rPr>
          <w:rFonts w:ascii="arial" w:eastAsia="arial" w:hAnsi="arial" w:cs="arial"/>
          <w:color w:val="000000"/>
          <w:sz w:val="20"/>
          <w:lang w:val="en-US" w:eastAsia="en-US" w:bidi="ar-SA"/>
        </w:rPr>
        <w:t xml:space="preserve"> at para.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xml:space="preserve">  As noted above, the economists tendered by both parties to assess business loss were in general agreement on the approach to be taken. While Mr. Hildebrand, testifying on behalf of the defendants, agreed with Mr. Benning's overall approach, he took issue with "adding back" or deducting 100% of Mr. Fabian's motor vehicle expenses. Mr. Hildebrand suggested an add back of 50% was appropriate instead, and on this basis calculated Mr. Fabian's loss at $26,906. Mr. Fabian gave evidence that he used the vehicle for work-related purposes around 80% of the time. Accordingly, I am of the view that the add-back of 50% is too low while 100% it too high. I will consider this conclusion in my final assessment; for present purposes, suffice it to say that I have relied on the guidance of previous authorities to the effect that Mr. Fabian need only establish a real and substantial possibility of his business loss and that economic evidence does not turn the assessment into a calculation but is, rather, a helpful tool in determining what is reasonable in the circumstances: see </w:t>
      </w:r>
      <w:r>
        <w:rPr>
          <w:rFonts w:ascii="arial" w:eastAsia="arial" w:hAnsi="arial" w:cs="arial"/>
          <w:i/>
          <w:color w:val="000000"/>
          <w:sz w:val="20"/>
          <w:lang w:val="en-US" w:eastAsia="en-US" w:bidi="ar-SA"/>
        </w:rPr>
        <w:t>Dunbar v. Mendez</w:t>
      </w:r>
      <w:r>
        <w:rPr>
          <w:rFonts w:ascii="arial" w:eastAsia="arial" w:hAnsi="arial" w:cs="arial"/>
          <w:color w:val="000000"/>
          <w:sz w:val="20"/>
          <w:lang w:val="en-US" w:eastAsia="en-US" w:bidi="ar-SA"/>
        </w:rPr>
        <w:t xml:space="preserve">, </w:t>
      </w:r>
      <w:hyperlink r:id="rId35" w:history="1">
        <w:r>
          <w:rPr>
            <w:rFonts w:ascii="arial" w:eastAsia="arial" w:hAnsi="arial" w:cs="arial"/>
            <w:i/>
            <w:color w:val="0077CC"/>
            <w:sz w:val="20"/>
            <w:u w:val="single"/>
            <w:shd w:val="clear" w:color="auto" w:fill="FFFFFF"/>
            <w:lang w:val="en-US" w:eastAsia="en-US" w:bidi="ar-SA"/>
          </w:rPr>
          <w:t>2016 BCCA 211</w:t>
        </w:r>
      </w:hyperlink>
      <w:r>
        <w:rPr>
          <w:rFonts w:ascii="arial" w:eastAsia="arial" w:hAnsi="arial" w:cs="arial"/>
          <w:color w:val="000000"/>
          <w:sz w:val="20"/>
          <w:lang w:val="en-US" w:eastAsia="en-US" w:bidi="ar-SA"/>
        </w:rPr>
        <w:t xml:space="preserve">, at para. 21 and </w:t>
      </w:r>
      <w:r>
        <w:rPr>
          <w:rFonts w:ascii="arial" w:eastAsia="arial" w:hAnsi="arial" w:cs="arial"/>
          <w:i/>
          <w:color w:val="000000"/>
          <w:sz w:val="20"/>
          <w:lang w:val="en-US" w:eastAsia="en-US" w:bidi="ar-SA"/>
        </w:rPr>
        <w:t>Grewal</w:t>
      </w:r>
      <w:r>
        <w:rPr>
          <w:rFonts w:ascii="arial" w:eastAsia="arial" w:hAnsi="arial" w:cs="arial"/>
          <w:color w:val="000000"/>
          <w:sz w:val="20"/>
          <w:lang w:val="en-US" w:eastAsia="en-US" w:bidi="ar-SA"/>
        </w:rPr>
        <w:t xml:space="preserve"> at para. 49.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I have considered the additional $7,277 earned by Mr. Fabian in 2014 identified by the defendants; that sum ought to be added to his income for that year. I also accept Mr. Fabian's evidence that his take home income from Dirt Devils in 2013 was shared with Mr. Jocko and therefore should be reduced by $2,195.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Based on Mr. Benning's calculations, Mr. Fabian submits that he would be entitled to a past loss of income of $39,393. However, he submits that Mr. Benning's calculation underestimates his wage loss. Notably, Mr. Benning's expert report expressly provides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Determination of income loss in personal injury cases is ultimately a matter for the court to determine, based on evidence tendered at trial and findings of fact in each individual case. For this reason, the estimates of loss found herein should be treated primarily as illustrative in 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Mr. Fabian submits that he is entitled to a greater award for wage loss than that calculated by Mr. Benning in order to reflect that Brothers Painting was growing faster than the Statistics Canada rate of inflation. His counsel argues that he is entitled to wage loss for the remainder of 2016 and for 2017 to the date of trial and that a sum of $5,000 per year is appropriate (i.e., 2013 - 2017 (1/2 year) x $5,000/year + $39,393) for a total loss of $61,893. In the alternative, Mr. Fabian claims his past wage loss should include a base of $39,393 plus $6,860.80 (representing the loss of the Walsh Contract) plus a loss of $5,000 (for November to December 2016 and January to July 2017 combined) for a total loss of $51,253.80.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The defendants submit that due to unpaid taxes and poor management of his business, Mr. Fabian was headed for a financial crisis, particularly in light of his outstanding tax debts, such that he would very likely have closed his business shortly after the Accident in any event. I am not persuaded on the evidence before me that this would have been a likely possibility or result. I accept Mr. Fabian's evidence that he has taken steps to address his tax liabilities and has come to a workable arrangement to pay his current tax debt.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The defendants also argue that in assessing past income loss, two approaches ought to be considered. The first approach is to examine what might have been earned and then to deduct what was earned. According to this method, Mr. Fabian would have a past income loss of $13,770. The second approach is that set out in the expert report of Mr. Benning, with the adjustments as noted in Mr. Hildebrand's report, coupled with other deductions, including a 15% income tax rate for a net figure of $22,870. The defendants further argue that this sum ought to be reduced to account for income earned by Mr. Fabian in 2013 and 2014 which Mr. Benning did not take into account. Based on this second method, the defendants submit Mr. Fabian's past income past income loss would be approximately $17,500. The defendants submit that the first method of loss calculation should be adopted and they further state that the loss should not extend beyond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After reviewing the evidence and submissions of the parties I am of the view that Mr. Benning's approach has greater merit and would more accurately and fairly reflect Mr. Fabian's past losses. Mr. Benning testified that the ability to deduct expenses that employees (rather than business owners) would otherwise pay out of "after tax dollars" was a significant benefit to Mr. Fabian and should be taken into account. I agree. I find there is a real and substantial possibility, notwithstanding the evidence and various arguments advanced by the defendants to the contrary, that Mr. Fabian would have continued to operate Brothers Painting had the Accident not occurred; this substantial possibility should in my view reflect the tax benefit of being a business owner as reflected in Mr. Benning's approach to calculating business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However, as noted above, I am of the view that Mr. Benning's calculations over-estimate Mr. Fabian's losses by assuming that 100% of his vehicle expenses were used for business purposes. In addition, while Mr. Benning indicated that Mr. Fabian's business appears to have grown above the rate of inflation in its first few years of operation, I am not persuaded that there was a real and substantial possibility that Mr. Fabian's business would have continued to grow at a greater rate than the inflation rate. As such, I do not agree with Mr. Fabian's submission that an additional $5,000 per year, above and beyond Mr. Bennings' calculations, should be added to his past income loss calculation in order to account for his business' growth above the inflation rate. A number of factors militate against a real and substantial possibility of such growth. First, Mr. Fabian acknowledged that at the time of the Accident he had no employees and was working on his own. While he explained that he was largely painting heritage homes in the New Westminster area and was "hoping" to expand into Marpole and Kerrisdale, he only referred to one contract, the Walsh Contract, that he had actually lined-up at the time of the Accident. While I am mindful of his evidence that the winter months tend to be slower months, the evidence of repeat or prospective clients was not strong. Second, Mr. Fabian acknowledged that hiring and keeping employees was a challenge in the industry as there was a high turn over rate and "a lot of addiction in the trade" which required him to be on site supervising. These factors, including his testimony that he "wanted to do the detailed work" himself and that he was not inclined to delegate work to subcontractors or to physically leave a job site for very long, limits the likely possibility of further business expansion, particularly when coupled with Mr. Fabian's evidence that before the Accident he was already working six days a week, 10 to 12 hours a day. In addition, I was not persuaded by Mr. Fabian's assertion, nor the evidence before me, that his physical and psychological injuries after the Accident prevented him from starting up his own painting business once again, after his substantial recovery. Simply put, but for the Accident his business would likely have grown to keep up with the rate of inflation as assumed by Mr. Benning; however, in my view and in light of the totality of the evidence before me, Mr. Fabian's assertion that his business would have grown beyond the inflation rate is unlikely and falls within the realm of speculation.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Having considered the applicable case law cited above and the circumstances of this case, I am of the view that Mr. Fabian's damages, in relation to his past loss of earning capacity, should be assessed at $36,000.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 Future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Pololos v. Cinnamon-Lopez</w:t>
      </w:r>
      <w:r>
        <w:rPr>
          <w:rFonts w:ascii="arial" w:eastAsia="arial" w:hAnsi="arial" w:cs="arial"/>
          <w:color w:val="000000"/>
          <w:sz w:val="20"/>
          <w:lang w:val="en-US" w:eastAsia="en-US" w:bidi="ar-SA"/>
        </w:rPr>
        <w:t xml:space="preserve">, </w:t>
      </w:r>
      <w:hyperlink r:id="rId36" w:history="1">
        <w:r>
          <w:rPr>
            <w:rFonts w:ascii="arial" w:eastAsia="arial" w:hAnsi="arial" w:cs="arial"/>
            <w:i/>
            <w:color w:val="0077CC"/>
            <w:sz w:val="20"/>
            <w:u w:val="single"/>
            <w:shd w:val="clear" w:color="auto" w:fill="FFFFFF"/>
            <w:lang w:val="en-US" w:eastAsia="en-US" w:bidi="ar-SA"/>
          </w:rPr>
          <w:t>2016 BCSC 81</w:t>
        </w:r>
      </w:hyperlink>
      <w:r>
        <w:rPr>
          <w:rFonts w:ascii="arial" w:eastAsia="arial" w:hAnsi="arial" w:cs="arial"/>
          <w:color w:val="000000"/>
          <w:sz w:val="20"/>
          <w:lang w:val="en-US" w:eastAsia="en-US" w:bidi="ar-SA"/>
        </w:rPr>
        <w:t>, Voith J. considered the leading cases on loss of future earning capacity and summarized the applicable legal principles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[133] The relevant legal principles are well-established:</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the extent possible, a plaintiff should be put in the position he/she would have been in, but for the injuries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Lines v. W &amp; D Logging Co. Ltd.</w:t>
      </w:r>
      <w:r>
        <w:rPr>
          <w:rFonts w:ascii="arial" w:eastAsia="arial" w:hAnsi="arial" w:cs="arial"/>
          <w:color w:val="000000"/>
          <w:sz w:val="20"/>
          <w:lang w:val="en-US" w:eastAsia="en-US" w:bidi="ar-SA"/>
        </w:rPr>
        <w:t xml:space="preserve">, </w:t>
      </w:r>
      <w:hyperlink r:id="rId37" w:history="1">
        <w:r>
          <w:rPr>
            <w:rFonts w:ascii="arial" w:eastAsia="arial" w:hAnsi="arial" w:cs="arial"/>
            <w:i/>
            <w:color w:val="0077CC"/>
            <w:sz w:val="20"/>
            <w:u w:val="single"/>
            <w:shd w:val="clear" w:color="auto" w:fill="FFFFFF"/>
            <w:lang w:val="en-US" w:eastAsia="en-US" w:bidi="ar-SA"/>
          </w:rPr>
          <w:t>2009 BCCA 106</w:t>
        </w:r>
      </w:hyperlink>
      <w:r>
        <w:rPr>
          <w:rFonts w:ascii="arial" w:eastAsia="arial" w:hAnsi="arial" w:cs="arial"/>
          <w:color w:val="000000"/>
          <w:sz w:val="20"/>
          <w:lang w:val="en-US" w:eastAsia="en-US" w:bidi="ar-SA"/>
        </w:rPr>
        <w:t xml:space="preserve"> at para. 185, leave to appeal ref'd </w:t>
      </w:r>
      <w:hyperlink r:id="rId38" w:history="1">
        <w:r>
          <w:rPr>
            <w:rFonts w:ascii="arial" w:eastAsia="arial" w:hAnsi="arial" w:cs="arial"/>
            <w:i/>
            <w:color w:val="0077CC"/>
            <w:sz w:val="20"/>
            <w:u w:val="single"/>
            <w:shd w:val="clear" w:color="auto" w:fill="FFFFFF"/>
            <w:lang w:val="en-US" w:eastAsia="en-US" w:bidi="ar-SA"/>
          </w:rPr>
          <w:t>[2009] S.C.C.A. No. 197</w:t>
        </w:r>
      </w:hyperlink>
      <w:r>
        <w:rPr>
          <w:rFonts w:ascii="arial" w:eastAsia="arial" w:hAnsi="arial" w:cs="arial"/>
          <w:color w:val="000000"/>
          <w:sz w:val="20"/>
          <w:lang w:val="en-US" w:eastAsia="en-US" w:bidi="ar-SA"/>
        </w:rPr>
        <w:t>;</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central task of the Court is to compare the likely future of the plaintiff's working life if the Accident had not occurred with the plaintiff's likely future working life after the Accident; </w:t>
      </w:r>
      <w:r>
        <w:rPr>
          <w:rFonts w:ascii="arial" w:eastAsia="arial" w:hAnsi="arial" w:cs="arial"/>
          <w:i/>
          <w:color w:val="000000"/>
          <w:sz w:val="20"/>
          <w:lang w:val="en-US" w:eastAsia="en-US" w:bidi="ar-SA"/>
        </w:rPr>
        <w:t>Gregory v. Insurance Corporation of British Columbia</w:t>
      </w:r>
      <w:r>
        <w:rPr>
          <w:rFonts w:ascii="arial" w:eastAsia="arial" w:hAnsi="arial" w:cs="arial"/>
          <w:color w:val="000000"/>
          <w:sz w:val="20"/>
          <w:lang w:val="en-US" w:eastAsia="en-US" w:bidi="ar-SA"/>
        </w:rPr>
        <w:t xml:space="preserve">, </w:t>
      </w:r>
      <w:hyperlink r:id="rId39" w:history="1">
        <w:r>
          <w:rPr>
            <w:rFonts w:ascii="arial" w:eastAsia="arial" w:hAnsi="arial" w:cs="arial"/>
            <w:i/>
            <w:color w:val="0077CC"/>
            <w:sz w:val="20"/>
            <w:u w:val="single"/>
            <w:shd w:val="clear" w:color="auto" w:fill="FFFFFF"/>
            <w:lang w:val="en-US" w:eastAsia="en-US" w:bidi="ar-SA"/>
          </w:rPr>
          <w:t>2011 BCCA 144</w:t>
        </w:r>
      </w:hyperlink>
      <w:r>
        <w:rPr>
          <w:rFonts w:ascii="arial" w:eastAsia="arial" w:hAnsi="arial" w:cs="arial"/>
          <w:color w:val="000000"/>
          <w:sz w:val="20"/>
          <w:lang w:val="en-US" w:eastAsia="en-US" w:bidi="ar-SA"/>
        </w:rPr>
        <w:t xml:space="preserve"> at para. 32;</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assessment of loss must be based on the evidence, but requires an exercise of judgment and is not a mathematical calculation;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40"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at para. 18;</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two possible approaches to assessment of loss of future earning capacity are the "earnings approach" and the "capital asset approach";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41"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at para. 7 (S.C.); and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34"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at paras. 11-12;</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Under either approach, the plaintiff must prove that there is a "real and substantial possibility" of various future events leading to an income loss;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xml:space="preserve"> at para. 33;</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earnings approach will be more appropriate when the loss is more easily measurable; </w:t>
      </w:r>
      <w:r>
        <w:rPr>
          <w:rFonts w:ascii="arial" w:eastAsia="arial" w:hAnsi="arial" w:cs="arial"/>
          <w:i/>
          <w:color w:val="000000"/>
          <w:sz w:val="20"/>
          <w:lang w:val="en-US" w:eastAsia="en-US" w:bidi="ar-SA"/>
        </w:rPr>
        <w:t>Westbroek v. Brizuela</w:t>
      </w:r>
      <w:r>
        <w:rPr>
          <w:rFonts w:ascii="arial" w:eastAsia="arial" w:hAnsi="arial" w:cs="arial"/>
          <w:color w:val="000000"/>
          <w:sz w:val="20"/>
          <w:lang w:val="en-US" w:eastAsia="en-US" w:bidi="ar-SA"/>
        </w:rPr>
        <w:t xml:space="preserve">, </w:t>
      </w:r>
      <w:hyperlink r:id="rId42" w:history="1">
        <w:r>
          <w:rPr>
            <w:rFonts w:ascii="arial" w:eastAsia="arial" w:hAnsi="arial" w:cs="arial"/>
            <w:i/>
            <w:color w:val="0077CC"/>
            <w:sz w:val="20"/>
            <w:u w:val="single"/>
            <w:shd w:val="clear" w:color="auto" w:fill="FFFFFF"/>
            <w:lang w:val="en-US" w:eastAsia="en-US" w:bidi="ar-SA"/>
          </w:rPr>
          <w:t>2014 BCCA 48</w:t>
        </w:r>
      </w:hyperlink>
      <w:r>
        <w:rPr>
          <w:rFonts w:ascii="arial" w:eastAsia="arial" w:hAnsi="arial" w:cs="arial"/>
          <w:color w:val="000000"/>
          <w:sz w:val="20"/>
          <w:lang w:val="en-US" w:eastAsia="en-US" w:bidi="ar-SA"/>
        </w:rPr>
        <w:t xml:space="preserve"> at para. 64. Furthermore, while assessing an award for future loss of income is not a purely mathematical exercise, the Court should endeavour to use factual mathematical anchors as a starting foundation to quantify such loss; </w:t>
      </w:r>
      <w:r>
        <w:rPr>
          <w:rFonts w:ascii="arial" w:eastAsia="arial" w:hAnsi="arial" w:cs="arial"/>
          <w:i/>
          <w:color w:val="000000"/>
          <w:sz w:val="20"/>
          <w:lang w:val="en-US" w:eastAsia="en-US" w:bidi="ar-SA"/>
        </w:rPr>
        <w:t>Jurczak v. Mauro</w:t>
      </w:r>
      <w:r>
        <w:rPr>
          <w:rFonts w:ascii="arial" w:eastAsia="arial" w:hAnsi="arial" w:cs="arial"/>
          <w:color w:val="000000"/>
          <w:sz w:val="20"/>
          <w:lang w:val="en-US" w:eastAsia="en-US" w:bidi="ar-SA"/>
        </w:rPr>
        <w:t xml:space="preserve">, </w:t>
      </w:r>
      <w:hyperlink r:id="rId43" w:history="1">
        <w:r>
          <w:rPr>
            <w:rFonts w:ascii="arial" w:eastAsia="arial" w:hAnsi="arial" w:cs="arial"/>
            <w:i/>
            <w:color w:val="0077CC"/>
            <w:sz w:val="20"/>
            <w:u w:val="single"/>
            <w:shd w:val="clear" w:color="auto" w:fill="FFFFFF"/>
            <w:lang w:val="en-US" w:eastAsia="en-US" w:bidi="ar-SA"/>
          </w:rPr>
          <w:t>2013 BCCA 507</w:t>
        </w:r>
      </w:hyperlink>
      <w:r>
        <w:rPr>
          <w:rFonts w:ascii="arial" w:eastAsia="arial" w:hAnsi="arial" w:cs="arial"/>
          <w:color w:val="000000"/>
          <w:sz w:val="20"/>
          <w:lang w:val="en-US" w:eastAsia="en-US" w:bidi="ar-SA"/>
        </w:rPr>
        <w:t xml:space="preserve"> at paras. 36-37.</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When relying on an "earnings approach", the Court must nevertheless always consider the overall fairness and reasonableness of the award, taking into account all of the evidence; </w:t>
      </w:r>
      <w:r>
        <w:rPr>
          <w:rFonts w:ascii="arial" w:eastAsia="arial" w:hAnsi="arial" w:cs="arial"/>
          <w:i/>
          <w:color w:val="000000"/>
          <w:sz w:val="20"/>
          <w:lang w:val="en-US" w:eastAsia="en-US" w:bidi="ar-SA"/>
        </w:rPr>
        <w:t>Rosvold</w:t>
      </w:r>
      <w:r>
        <w:rPr>
          <w:rFonts w:ascii="arial" w:eastAsia="arial" w:hAnsi="arial" w:cs="arial"/>
          <w:color w:val="000000"/>
          <w:sz w:val="20"/>
          <w:lang w:val="en-US" w:eastAsia="en-US" w:bidi="ar-SA"/>
        </w:rPr>
        <w:t xml:space="preserve"> at para. 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In light of my findings that Mr. Fabian has substantially recovered from his injuries, including both his physical and psychological injuries, I am of the view that he is once again capable of running his own painting business. Accordingly, no damages ought to be awarded for future loss of earning capacity. That is, I am satisfied on the totality of the evidence before me that Mr. Fabian's likely future earning capacity if the Accident had not occurred is the same as his likely future earning capacity after the Accident. In sum, Mr. Fabian has simply not proven that there is a real and substantial possibility of future events leading to future loss of earning capacity.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 Future Cost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xml:space="preserve">  Counsel for Mr. Fabian relies on the decision of the Supreme Court of Canada in </w:t>
      </w:r>
      <w:r>
        <w:rPr>
          <w:rFonts w:ascii="arial" w:eastAsia="arial" w:hAnsi="arial" w:cs="arial"/>
          <w:i/>
          <w:color w:val="000000"/>
          <w:sz w:val="20"/>
          <w:lang w:val="en-US" w:eastAsia="en-US" w:bidi="ar-SA"/>
        </w:rPr>
        <w:t>Krangle (Guardian ad litem of) v. Brisco</w:t>
      </w:r>
      <w:r>
        <w:rPr>
          <w:rFonts w:ascii="arial" w:eastAsia="arial" w:hAnsi="arial" w:cs="arial"/>
          <w:color w:val="000000"/>
          <w:sz w:val="20"/>
          <w:lang w:val="en-US" w:eastAsia="en-US" w:bidi="ar-SA"/>
        </w:rPr>
        <w:t xml:space="preserve">, </w:t>
      </w:r>
      <w:hyperlink r:id="rId44" w:history="1">
        <w:r>
          <w:rPr>
            <w:rFonts w:ascii="arial" w:eastAsia="arial" w:hAnsi="arial" w:cs="arial"/>
            <w:i/>
            <w:color w:val="0077CC"/>
            <w:sz w:val="20"/>
            <w:u w:val="single"/>
            <w:shd w:val="clear" w:color="auto" w:fill="FFFFFF"/>
            <w:lang w:val="en-US" w:eastAsia="en-US" w:bidi="ar-SA"/>
          </w:rPr>
          <w:t>2002 SCC 9</w:t>
        </w:r>
      </w:hyperlink>
      <w:r>
        <w:rPr>
          <w:rFonts w:ascii="arial" w:eastAsia="arial" w:hAnsi="arial" w:cs="arial"/>
          <w:color w:val="000000"/>
          <w:sz w:val="20"/>
          <w:lang w:val="en-US" w:eastAsia="en-US" w:bidi="ar-SA"/>
        </w:rPr>
        <w:t>, where the Court provides the following guidance on damages regarding the cost of future care: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[21] Damages for cost of future care are a matter of prediction. No one knows the future. Yet the rule that damages must be assessed once and for all at the time of trial (subject to modification on appeal) requires courts to peer into the future and fix the damages for future care as best they can. In doing so, courts rely on the evidence as to what care is likely to be in the injured person's best interest. Then they calculate the present costs of providing that care and may make an adjustment for the contingency that the future may differ from what the evidence at trial indicates.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[22] The resulting award may be said to reflect the reasonable or normal expectations of what the injured person will require . .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xml:space="preserve">  Counsel for Mr. Fabian also rely on </w:t>
      </w:r>
      <w:r>
        <w:rPr>
          <w:rFonts w:ascii="arial" w:eastAsia="arial" w:hAnsi="arial" w:cs="arial"/>
          <w:i/>
          <w:color w:val="000000"/>
          <w:sz w:val="20"/>
          <w:lang w:val="en-US" w:eastAsia="en-US" w:bidi="ar-SA"/>
        </w:rPr>
        <w:t>Loeppky v. Insurance Corporation of British Columbia</w:t>
      </w:r>
      <w:r>
        <w:rPr>
          <w:rFonts w:ascii="arial" w:eastAsia="arial" w:hAnsi="arial" w:cs="arial"/>
          <w:color w:val="000000"/>
          <w:sz w:val="20"/>
          <w:lang w:val="en-US" w:eastAsia="en-US" w:bidi="ar-SA"/>
        </w:rPr>
        <w:t xml:space="preserve">, </w:t>
      </w:r>
      <w:hyperlink r:id="rId45" w:history="1">
        <w:r>
          <w:rPr>
            <w:rFonts w:ascii="arial" w:eastAsia="arial" w:hAnsi="arial" w:cs="arial"/>
            <w:i/>
            <w:color w:val="0077CC"/>
            <w:sz w:val="20"/>
            <w:u w:val="single"/>
            <w:shd w:val="clear" w:color="auto" w:fill="FFFFFF"/>
            <w:lang w:val="en-US" w:eastAsia="en-US" w:bidi="ar-SA"/>
          </w:rPr>
          <w:t>2012 BCSC 7</w:t>
        </w:r>
      </w:hyperlink>
      <w:r>
        <w:rPr>
          <w:rFonts w:ascii="arial" w:eastAsia="arial" w:hAnsi="arial" w:cs="arial"/>
          <w:color w:val="000000"/>
          <w:sz w:val="20"/>
          <w:lang w:val="en-US" w:eastAsia="en-US" w:bidi="ar-SA"/>
        </w:rPr>
        <w:t>, wherein the Court affirmed: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[109] Awards for cost of future care must be reasonable, both in the sense of being medically required and in the sense of being costs that, on the evidence, the plaintiff will be likely to incur. . . . [Citations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xml:space="preserve">  Counsel for the defendants rely on the decision in </w:t>
      </w:r>
      <w:r>
        <w:rPr>
          <w:rFonts w:ascii="arial" w:eastAsia="arial" w:hAnsi="arial" w:cs="arial"/>
          <w:i/>
          <w:color w:val="000000"/>
          <w:sz w:val="20"/>
          <w:lang w:val="en-US" w:eastAsia="en-US" w:bidi="ar-SA"/>
        </w:rPr>
        <w:t>Peters v. Ortner</w:t>
      </w:r>
      <w:r>
        <w:rPr>
          <w:rFonts w:ascii="arial" w:eastAsia="arial" w:hAnsi="arial" w:cs="arial"/>
          <w:color w:val="000000"/>
          <w:sz w:val="20"/>
          <w:lang w:val="en-US" w:eastAsia="en-US" w:bidi="ar-SA"/>
        </w:rPr>
        <w:t xml:space="preserve">, </w:t>
      </w:r>
      <w:hyperlink r:id="rId46" w:history="1">
        <w:r>
          <w:rPr>
            <w:rFonts w:ascii="arial" w:eastAsia="arial" w:hAnsi="arial" w:cs="arial"/>
            <w:i/>
            <w:color w:val="0077CC"/>
            <w:sz w:val="20"/>
            <w:u w:val="single"/>
            <w:shd w:val="clear" w:color="auto" w:fill="FFFFFF"/>
            <w:lang w:val="en-US" w:eastAsia="en-US" w:bidi="ar-SA"/>
          </w:rPr>
          <w:t>2013 BCSC 1861</w:t>
        </w:r>
      </w:hyperlink>
      <w:r>
        <w:rPr>
          <w:rFonts w:ascii="arial" w:eastAsia="arial" w:hAnsi="arial" w:cs="arial"/>
          <w:color w:val="000000"/>
          <w:sz w:val="20"/>
          <w:lang w:val="en-US" w:eastAsia="en-US" w:bidi="ar-SA"/>
        </w:rPr>
        <w:t xml:space="preserve">, which underscores, among other things, that the test for determining the appropriate award for cost of future care is an objective one based on the medical evidence and such costs must be reasonably necessary to restore the plaintiff to his or her pre-accident condition insofar as possible: see also </w:t>
      </w:r>
      <w:r>
        <w:rPr>
          <w:rFonts w:ascii="arial" w:eastAsia="arial" w:hAnsi="arial" w:cs="arial"/>
          <w:i/>
          <w:color w:val="000000"/>
          <w:sz w:val="20"/>
          <w:lang w:val="en-US" w:eastAsia="en-US" w:bidi="ar-SA"/>
        </w:rPr>
        <w:t>Tsalamandris v. McLeod</w:t>
      </w:r>
      <w:r>
        <w:rPr>
          <w:rFonts w:ascii="arial" w:eastAsia="arial" w:hAnsi="arial" w:cs="arial"/>
          <w:color w:val="000000"/>
          <w:sz w:val="20"/>
          <w:lang w:val="en-US" w:eastAsia="en-US" w:bidi="ar-SA"/>
        </w:rPr>
        <w:t xml:space="preserve">, </w:t>
      </w:r>
      <w:hyperlink r:id="rId47" w:history="1">
        <w:r>
          <w:rPr>
            <w:rFonts w:ascii="arial" w:eastAsia="arial" w:hAnsi="arial" w:cs="arial"/>
            <w:i/>
            <w:color w:val="0077CC"/>
            <w:sz w:val="20"/>
            <w:u w:val="single"/>
            <w:shd w:val="clear" w:color="auto" w:fill="FFFFFF"/>
            <w:lang w:val="en-US" w:eastAsia="en-US" w:bidi="ar-SA"/>
          </w:rPr>
          <w:t>2012 BCCA 239</w:t>
        </w:r>
      </w:hyperlink>
      <w:r>
        <w:rPr>
          <w:rFonts w:ascii="arial" w:eastAsia="arial" w:hAnsi="arial" w:cs="arial"/>
          <w:color w:val="000000"/>
          <w:sz w:val="20"/>
          <w:lang w:val="en-US" w:eastAsia="en-US" w:bidi="ar-SA"/>
        </w:rPr>
        <w:t xml:space="preserve"> at paras. 62-63.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xml:space="preserve">  I would also add that each case must be determined on its unique evidentiary matrix and that the assessment of damages for cost of future care is not a precise accounting exercise: see </w:t>
      </w:r>
      <w:r>
        <w:rPr>
          <w:rFonts w:ascii="arial" w:eastAsia="arial" w:hAnsi="arial" w:cs="arial"/>
          <w:i/>
          <w:color w:val="000000"/>
          <w:sz w:val="20"/>
          <w:lang w:val="en-US" w:eastAsia="en-US" w:bidi="ar-SA"/>
        </w:rPr>
        <w:t>Krangle</w:t>
      </w:r>
      <w:r>
        <w:rPr>
          <w:rFonts w:ascii="arial" w:eastAsia="arial" w:hAnsi="arial" w:cs="arial"/>
          <w:color w:val="000000"/>
          <w:sz w:val="20"/>
          <w:lang w:val="en-US" w:eastAsia="en-US" w:bidi="ar-SA"/>
        </w:rPr>
        <w:t xml:space="preserve"> at para. 21 and </w:t>
      </w:r>
      <w:r>
        <w:rPr>
          <w:rFonts w:ascii="arial" w:eastAsia="arial" w:hAnsi="arial" w:cs="arial"/>
          <w:i/>
          <w:color w:val="000000"/>
          <w:sz w:val="20"/>
          <w:lang w:val="en-US" w:eastAsia="en-US" w:bidi="ar-SA"/>
        </w:rPr>
        <w:t>Peters</w:t>
      </w:r>
      <w:r>
        <w:rPr>
          <w:rFonts w:ascii="arial" w:eastAsia="arial" w:hAnsi="arial" w:cs="arial"/>
          <w:color w:val="000000"/>
          <w:sz w:val="20"/>
          <w:lang w:val="en-US" w:eastAsia="en-US" w:bidi="ar-SA"/>
        </w:rPr>
        <w:t xml:space="preserve"> at para. 144.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Counsel for Mr. Fabian submit he is entitled to an award for cost of future care on the basis of recommendations in the medical reports of Dr. Edwards, Dr. Waseem and Dr. Karapareddy. Dr. Edwards and Dr. Waseem recommended painkilling medication (e.g. Tylenol) and physical therapy. Dr. Karapareddy recommended cognitive behavioural therapy. In total, the plaintiff claims $27,900 for his future costs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I am not satisfied on the evidence before me that that Mr. Fabian is likely to require cognitive behavioural therapy. Mr. Fabian is seeking one therapy session per month at $200 per hour for two years for a total of $4,800. On Dr. Karapareddy's own evidence, Mr. Fabian does not meet the requisite indicia of depression and he is no longer using cocaine and has not done so for some time. Further, Mr. Fabian has successfully relied on his Recovery Community for support for a number of years, along with a regime of self-care such as routine visits to the gym and meditation.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In regard to painkilling medication, Mr. Fabian claims a cost of $40 per month or $480 per year, multiplied by 120 months until the age of 55, for a total of $4,800. The defendants assert there should be no costs awarded for "over the counter" medications such as Tylenol, Advil or Zantac (for stomach relief). They argue that there is not, in any event, any documentary evidence of expenditures for such medications. They point out that: (1) in the more than four years since the Accident, Mr. Fabian has spent approximately $4,500.25 on all medications, treatment and other Accident-related expenses, including physiotherapy, massage and prescription medications; and (2) had Mr. Fabian actually been spending $480 per year since the Accident on such medication, that would equate to 45% of the special damages claimed. In this light, I am also mindful of Dr. Gharsaa's opinion that Mr. Fabian has been overmedicating. While I have found that Mr. Fabian has substantially recovered from his injuries, given that he may continue to have flare-ups of his back pain, I am prepared to award $500 under this head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Mr. Fabian relies on the report of Dr. Waseem with regard to his claim for the cost of future massage therapy, intramuscular stimulation (which involves needling by a physiotherapist) and active release therapy (which involves contracting and expanding muscles to break up trouble areas). The defendants submit there is no medical need for such therapy. They note there were no records before the court of how frequently Mr. Fabian attended massage therapy over the past year or so, what symptoms he reported, what if any observations the massage therapist noted, or any evidence of the need for ongoing massage therapy generally. Similarly, with regard to the future cost of intramuscular therapy, counsel for the defendants notes that Dr. Waseem's report suggests that Mr. Fabian "</w:t>
      </w:r>
      <w:r>
        <w:rPr>
          <w:rFonts w:ascii="arial" w:eastAsia="arial" w:hAnsi="arial" w:cs="arial"/>
          <w:i/>
          <w:color w:val="000000"/>
          <w:sz w:val="20"/>
          <w:lang w:val="en-US" w:eastAsia="en-US" w:bidi="ar-SA"/>
        </w:rPr>
        <w:t>could try</w:t>
      </w:r>
      <w:r>
        <w:rPr>
          <w:rFonts w:ascii="arial" w:eastAsia="arial" w:hAnsi="arial" w:cs="arial"/>
          <w:color w:val="000000"/>
          <w:sz w:val="20"/>
          <w:lang w:val="en-US" w:eastAsia="en-US" w:bidi="ar-SA"/>
        </w:rPr>
        <w:t>" for four-six sessions to see if there was any benefit. However, they submit there is no evidence that Mr. Fabian followed or would follow this recommendation and it is instructive that Dr. Waseem was not 100% confident such treatment would be effective, presenting the option as a possibility, as opposed to a firm recommendation. The defendants also underscore Dr. Gharsaa's opinion that no further treatment was required other than that Mr. Fabian continue to remain active and follow the exercises he was shown at previous physical therapy and active rehabilitation sessions.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While I am largely in agreement with the defendants that Mr. Fabian's back injury has substantially resolved, I am prepared to award the sum of $2,500 for treatment to address occasional flare-ups in his back.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The parties agree that the sum of $4,599.25 is payable by way of special damages for treatment and other expenses incurred as a result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Mr. Fabian has also claimed special damages of $5,000 relating to the loss of his Ford truck which was repossessed following the Accident. Counsel for Mr. Fabian submit that because the Ford truck was damaged in the Accident, the Ford Motor Company was not able to realize its appropriate value "due to accelerated depreciation." As a result, Mr. Fabian owed a debt of $5,000 on the truck which he could not pay.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The defendants assert that there was no evidence before the Court of any loss incurred by Mr. Fabian or of any outstanding debt owed to the Ford Motor Company and, accordingly, this aspect of the claim should be dismissed. Further, the defendants submit that the Accident was not the proximate cause of the vehicle being repossessed; rather, the cause was Mr. Fabian's failure to pay the instalments and that his failure to do so was because he had no financial safety net or funds put aside for emergencies, such as not being able to work for a while. In addition, the defendants argue that such a claim would require evidence of the date of acquisition and the amount paid, the terms and conditions of the financing agreement, statements of instalments paid from inception to the date of the notice of intention to repossess, correspondence to and from Ford, amongst other things. They also argue that, based on the scant information before the Court, the "seize or sue" provisions would appear to apply meaning that the creditor had the choice either to seize the vehicle or sue for amounts due under the financing agreement; accordingly, the creditor chose to seize the vehicle, thereby ending any right to sue for any unpaid balance. Finally, the defendants argue that Mr. Fabian has belatedly claimed some form of accelerated depreciation, although this is not pled on the Notice of Civil Claim, nor is there any evidence whatsoever of the value of the vehicle at the time of repossession, what it was sold for and what a vehicle of that age and mileage would have been worth. Mr. Fabian recalled checking Craigslist for similar vehicles, but could not recall the details.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I am in agreement with the defendants that Mr. Fabian has not proven his loss in relation to the Ford truck. As such, special damages will be assessed at the agreed sum of $4,599.25.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G. Disposition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For the reasons set out above, I find that Mr. Fabian suffered soft tissue and psychological injuries as a result of the Accident that entitles him to the following damages, totaling $113,599.25:</w:t>
      </w:r>
      <w:r>
        <w:rPr>
          <w:rFonts w:ascii="arial" w:eastAsia="arial" w:hAnsi="arial" w:cs="arial"/>
          <w:sz w:val="20"/>
          <w:lang w:val="en-US" w:eastAsia="en-US" w:bidi="ar-SA"/>
        </w:rPr>
        <w:cr/>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 of $70,000;</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for past loss of earning capacity of $36,000;</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for future cost of care of $3,000; and</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 of $4,599.25.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Subject to any submissions the parties wish to make on costs, Mr. Fabian is also entitled to his costs at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 MORELLATO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28" style="position:absolute;z-index:25181184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8"/>
          <w:headerReference w:type="default" r:id="rId49"/>
          <w:footerReference w:type="even" r:id="rId50"/>
          <w:footerReference w:type="default" r:id="rId51"/>
          <w:headerReference w:type="first" r:id="rId52"/>
          <w:footerReference w:type="first" r:id="rId5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4" w:history="1">
        <w:r>
          <w:rPr>
            <w:rFonts w:ascii="arial" w:eastAsia="arial" w:hAnsi="arial" w:cs="arial"/>
            <w:b/>
            <w:bCs/>
            <w:i/>
            <w:color w:val="0077CC"/>
            <w:kern w:val="32"/>
            <w:sz w:val="28"/>
            <w:szCs w:val="32"/>
            <w:u w:val="single"/>
            <w:shd w:val="clear" w:color="auto" w:fill="FFFFFF"/>
            <w:lang w:val="en-US" w:eastAsia="en-US" w:bidi="ar-SA"/>
          </w:rPr>
          <w:t>Karim v. Li, [2015] B.C.J. No. 618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 Abrioux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26-30, and February 2-5,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1,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M130501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[2015] B.C.J. No. 618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55" w:history="1">
        <w:r>
          <w:rPr>
            <w:rFonts w:ascii="arial" w:eastAsia="arial" w:hAnsi="arial" w:cs="arial"/>
            <w:i/>
            <w:color w:val="0077CC"/>
            <w:sz w:val="20"/>
            <w:u w:val="single"/>
            <w:shd w:val="clear" w:color="auto" w:fill="FFFFFF"/>
            <w:lang w:val="en-US" w:eastAsia="en-US" w:bidi="ar-SA"/>
          </w:rPr>
          <w:t>2015 BCSC 498</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55" w:history="1">
        <w:r>
          <w:rPr>
            <w:rFonts w:ascii="arial" w:eastAsia="arial" w:hAnsi="arial" w:cs="arial"/>
            <w:i/>
            <w:color w:val="0077CC"/>
            <w:sz w:val="20"/>
            <w:u w:val="single"/>
            <w:shd w:val="clear" w:color="auto" w:fill="FFFFFF"/>
            <w:lang w:val="en-US" w:eastAsia="en-US" w:bidi="ar-SA"/>
          </w:rPr>
          <w:t>2015 CarswellBC 847</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55" w:history="1">
        <w:r>
          <w:rPr>
            <w:rFonts w:ascii="arial" w:eastAsia="arial" w:hAnsi="arial" w:cs="arial"/>
            <w:i/>
            <w:color w:val="0077CC"/>
            <w:sz w:val="20"/>
            <w:u w:val="single"/>
            <w:shd w:val="clear" w:color="auto" w:fill="FFFFFF"/>
            <w:lang w:val="en-US" w:eastAsia="en-US" w:bidi="ar-SA"/>
          </w:rPr>
          <w:t>252 A.C.W.S. (3d) 256</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55" w:history="1">
        <w:r>
          <w:rPr>
            <w:rFonts w:ascii="arial" w:eastAsia="arial" w:hAnsi="arial" w:cs="arial"/>
            <w:i/>
            <w:color w:val="0077CC"/>
            <w:sz w:val="20"/>
            <w:u w:val="single"/>
            <w:shd w:val="clear" w:color="auto" w:fill="FFFFFF"/>
            <w:lang w:val="en-US" w:eastAsia="en-US" w:bidi="ar-SA"/>
          </w:rPr>
          <w:t>19 C.C.L.T. (4th) 262</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Keyhan Ali Karim, Plaintiff, and Sang Li and Sen Qing Jiang,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(178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29" style="position:absolute;z-index:2516592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6" w:name="Keywords_0"/>
      <w:bookmarkEnd w:id="6"/>
      <w:r>
        <w:rPr>
          <w:rFonts w:ascii="arial" w:eastAsia="arial" w:hAnsi="arial" w:cs="arial"/>
          <w:b/>
          <w:color w:val="000000"/>
          <w:sz w:val="20"/>
          <w:lang w:val="en-US" w:eastAsia="en-US" w:bidi="ar-SA"/>
        </w:rPr>
        <w:t>Damages — Physical and psychological injuries — Physical injuries — Body injuries — Back and spine — Neck — Soft tissue — Psychological injuries — Considerations impacting on award — Degree of impairment — Age of claimant — Pre-existing injury — Determination of damages for injuries arising from motor vehicle accident — Plaintiff was awarded $100,000 in non-pecuniary damages and $100,000 for loss of future earning capacity — 29-year-old plaintiff's vehicle was stopped when it was struck from behind — He suffered neck and back pain — Plaintiff suffered moderate to moderately severe soft tissue injuries that had physical and psychological consequences — Stress of injuries aggravated stuttering condition — Injuries were instrumental in ending relationship — He should largely return to pre-accident level of functioning with treatment.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Considerations — Aggravation of pre-existing injury — Extent of incapacity — Loss of earning capacity — Non-pecuniary loss — Determination of damages for injuries arising from motor vehicle accident — Plaintiff was awarded $100,000 in non-pecuniary damages and $100,000 for loss of future earning capacity — 29-year-old plaintiff's vehicle was stopped when it was struck from behind — He suffered neck and back pain — Plaintiff suffered moderate to moderately severe soft tissue injuries that had physical and psychological consequences — Stress of injuries aggravated stuttering condition — Injuries were instrumental in ending relationship — He should largely return to pre-accident level of functioning with treatment.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7" w:name="Case Summary_0"/>
            <w:bookmarkEnd w:id="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Determination of damages for injuries arising from a motor vehicle accident. The 29-year-old plaintiff's vehicle was stopped at a stop light when it was struck from behind and pushed into the vehicle in front of it. He suffered neck and back pain as a result of the accident. He worked at a hotel at the time of the accident and had discussed marriage with his girlfriend. He was off work for a year as a result of the accident and his employment was terminated soon after his return because he was unable to do heavy duties. He found similar work at another hotel and asked for light duties, but none were available, so he was not working at the time of trial, but his position was still available to him. His relationship with the girlfriend ended and they lost the deposit that they paid for the wedding venue. He had a longstanding stuttering condition.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8" w:name="Holdings of Court_0"/>
            <w:bookmarkEnd w:id="8"/>
            <w:r>
              <w:rPr>
                <w:rFonts w:ascii="arial" w:eastAsia="arial" w:hAnsi="arial" w:cs="arial"/>
                <w:color w:val="000000"/>
                <w:sz w:val="20"/>
                <w:lang w:val="en-US" w:eastAsia="en-US" w:bidi="ar-SA"/>
              </w:rPr>
              <w:t>HELD: The plaintiff was awarded $100,000 in non-pecuniary damages, $41,600 for past loss of income, $100,000 for loss of future earning capacity, $16,960 for cost of future care and $2119 in special damages.</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 suffered moderate to moderately severe soft tissue injuries that had physical and psychological consequences. The stress of the injuries aggravated the stuttering condition. The injuries were instrumental in ending the relationship with the girlfriend, increasing his stress and greatly affecting his quality of life for a while. He should largely return to his pre-accident level of functioning with treatment. The award for loss of future earning capacity was assessed using the earnings approach and was equivalent to slightly more than two years' wages over his working life. The award for cost of future care included amounts for a residential multi-disciplinary pain clinic and an intensive speech therapy course. The wedding costs were too remote.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9" w:name="Legislation Cited"/>
      <w:bookmarkEnd w:id="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30" style="position:absolute;z-index:2517104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Insurance (Vehicle) Act, </w:t>
      </w:r>
      <w:hyperlink r:id="rId56" w:history="1">
        <w:r>
          <w:rPr>
            <w:rFonts w:ascii="arial" w:eastAsia="arial" w:hAnsi="arial" w:cs="arial"/>
            <w:i/>
            <w:color w:val="0077CC"/>
            <w:sz w:val="20"/>
            <w:u w:val="single"/>
            <w:shd w:val="clear" w:color="auto" w:fill="FFFFFF"/>
            <w:lang w:val="en-US" w:eastAsia="en-US" w:bidi="ar-SA"/>
          </w:rPr>
          <w:t>RSBC 1996, CHAPTER 231, s. 98</w:t>
        </w:r>
      </w:hyperlink>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0" w:name="Counsel_0"/>
      <w:bookmarkEnd w:id="10"/>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31" style="position:absolute;z-index:2517616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K. Sadler.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M.G. Murphy, J. Wittig.</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1" w:name="Judgment_0"/>
      <w:bookmarkEnd w:id="11"/>
      <w:r>
        <w:pict>
          <v:line id="_x0000_s1032" style="position:absolute;z-index:25181286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II: BACKGROUND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Pre-Accident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 The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 Injuries Sustained in the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 Post-Accident</w:t>
      </w:r>
    </w:p>
    <w:p>
      <w:pPr>
        <w:numPr>
          <w:numId w:val="1"/>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MEDICAL EVIDENCE</w:t>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Overview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 Dr. Eichhorst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 Dr. Gouws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 Dr. Paramonoff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E. Dr. Nader and Dr. Lau</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F. Dr. Riar and Dr. Miller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G. Wendy Duke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H. Derek Nordin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IV: THE PARTIES' POSITIONS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The Plaintiff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V: CREDIBILITY</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 CAUSATION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Principles of Causation B. Psychological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VII: DUTY TO MITIGATE</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VIII: FINDINGS OF FACT AND CONCLUSIONS ON THE EVIDENCE</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IX: ASSESSMENT OF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Introduction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 Non-pecuniary Damages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 Past Income Loss Including Past Loss of Earning Capacity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 Loss of Future Earning Capacity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E: Cost of Future Care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F: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X: CONCLUSION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2" w:name="P. ABRIOUX J."/>
            <w:bookmarkEnd w:id="12"/>
            <w:r>
              <w:rPr>
                <w:rFonts w:ascii="arial" w:eastAsia="arial" w:hAnsi="arial" w:cs="arial"/>
                <w:b/>
                <w:color w:val="000000"/>
                <w:sz w:val="30"/>
                <w:lang w:val="en-US" w:eastAsia="en-US" w:bidi="ar-SA"/>
              </w:rPr>
              <w:t>P. ABRIOUX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84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w:t>
            </w:r>
          </w:p>
        </w:tc>
        <w:tc>
          <w:tcPr>
            <w:tcW w:w="829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INTRODUCTION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Keyhan Ali Karim, was injured in a motor vehicle accident on August 10, 2011 (the "Accident"). The defendants have admitted liability so only damages are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Mr. Karim alleges he has chronic pain arising from neck and back injuries sustained in the Accident. These include both physical and psychological consequences. The stress caused by his injuries is said to have aggravated a serious stuttering condition that he has had for most of his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issues in this proceeding are:</w:t>
      </w:r>
      <w:r>
        <w:rPr>
          <w:rFonts w:ascii="arial" w:eastAsia="arial" w:hAnsi="arial" w:cs="arial"/>
          <w:sz w:val="20"/>
          <w:lang w:val="en-US" w:eastAsia="en-US" w:bidi="ar-SA"/>
        </w:rPr>
        <w:cr/>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of the plaintiff's injuries, which include determining his "original position" prior to the Accident;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to which his post-Accident difficulties were caused by the Accident;</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his damages to the date of trial; and</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how the injuries caused by the Accident will affect him in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seeks almost $1 million in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5"/>
        <w:gridCol w:w="836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II:</w:t>
            </w:r>
          </w:p>
        </w:tc>
        <w:tc>
          <w:tcPr>
            <w:tcW w:w="819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BACKGROUND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Much of the factual background is not in dispute. What follows includes certain edited excerpts from the parties' written submissions.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Pre-Accident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is 29 years old. He was born in Iraq and moved to England when he was approximately 17 years old. He has lived in Canada since July 2008 when he moved here with his first wife, Zara.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Karim was the subject of a gas attack when he was approximately two years old. He was kept in hospital for a few years recovering. The plaintiff remembers nothing of this gas attack and he believes he completely recovered from this incident while still a young boy.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was also hit in the head with the blunt side of an axe in an accident when he was young. He testified to having completely recovered from that incident with only residual pain to the back of his head and the occasional headache thereafter.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Karim has had a longstanding stuttering condition since he was a young boy. The cause of this condition remains unknown and he continues to stutter to date. In 2009, he engaged in a comprehensive remedial stuttering program and has undergone additional programs since then.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Karim has demonstrated a willingness to work over the years. He first began to earn an income while still a boy. As he reached his late teens, he was usually employed full-time while pursuing his education. He often had a second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 immigrated to England in 2002. There he completed his "O" Levels. He then completed two years of a four-year business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He also worked for several hotels in England. He worked reception and on night duties and attended school during the day. He also did some renovations for the owner.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 owned a restaurant in England with his aunt. He was in school at the time taking carpentry, plumbing, and electrical courses but did assist his aunt from time to time in the restaurant.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Karim immigrated to Canada when he was 25 years old. He and his wife separated thereafter and divorced in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During the first years following his immigration to Canada, the plaintiff's primary employment and primary work interest was in the renovation, maintenance, and construction industry. He was diligent in obtaining employment. At times he also had a second job in the evenings and on weekends. Such secondary work was often for family members and he testified he would receive a benefit such as reduced rent, for example, during the timeframe he assisted his former mother-in-law with certain real property she owned.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 had an interest in cameras and news reporting. He took some photography courses at Langara College and at BCIT. He did some camera work and report writing for his aunt in his spare time. He purchased some equipment in the amount of approximately $14,800 for this purpose. He testified that his aunt used the value of his work to purchase real estate in Iraq.</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May 2010, Mr. Karim commenced full-time employment at the Best Western Abercorn Inn ("Abercorn") in Richmond, British Columbia. His duties varied from simple tasks such as changing light bulbs to heavier tasks such as painting, repairing drywall, lifting furniture, and performing mattress rotations.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Ms. Meggy Ho, the plaintiff's manager at Abercorn, described his pre-Accident work as being very good. He would rarely refuse the extra shifts he was asked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plaintiff also worked at approximately three renovation jobs with a Mr. Basty Sophi prior to the Accident. Mr. Sophi testified that the plaintiff's work was of a very high quality. Mr. Sophi also observed the plaintiff playing soccer prior to the Accident. He described his ability to be "pretty good" and "physical" with "no complaints of physical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the beginning of 2010, during the timeframe the plaintiff and his first wife were divorcing, he met Ms. Tara Azimi. They enjoyed time together on evenings and weekends as time permitted. Ms. Azimi described the plaintiff's pre-Accident personality as "active, super calm, friendly, not easy to get angered and ambitious". Ms. Azimi testified that the plaintiff performed a large heavy granite tile installation job for her family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Ms. Azimi stated that, prior to the Accident, she and the plaintiff had discussed getting married and having a family. With the financial assistance of her family, they planned on purchasing an older home for them to live in which Mr. Karim would renovate.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plaintiff's recreational activities prior to the Accident included playing soccer and hiking with both Mr. Sophi and Ms. Azimi.</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plaintiff was stopped behind another vehicle at a stop light when he was struck from behind and pushed into the vehicle in front of him. Damage to his vehicle was assessed at approximately $14,500.00. Damage to the defendant's vehicle was assessed at approximately $12,000.00.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Injuries Sustained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plaintiff claims to have sustained physical and psychological/psychiatric injuries from the Accident. These include:</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his left arm and right leg, with tingling and numbing sensation in his left arm;</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chronic myofascial neck pain;</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chronic mechanical/discogenic low back pain;</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headaches and insomnia;</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exacerbation of his pre-Accident stuttering condition; and</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major depressive disorder and pain disorder.</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 Post-Accident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At the time of trial, the plaintiff's neck and back pain continued to be his most significant injuries. He testified they severely impacted his mood and his ability to sleep, work, and 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Soon after the Accident, the plaintiff attempted to return to work at Abercorn. He testified he was unable to perform his physical duties. He was off work for a total period of approximately one year. When he did return, he said he had considerable difficulty doing so. After a change in ownership at the hotel, he was terminated from his employment in May 2013. Ms. Ho, testified the reason for termination was performance-related in that, due to the plaintiff's back pain, he was unable to perform the heavy duties required of his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One month after leaving Abercorn, the plaintiff obtained a position working as a maintenance coordinator with Sunrise Senior Living ("Sunrise") in North Vancouver, British Columbia. This required him to supervise and manage the maintenance team. He testified he was not suited to a managerial position. The physical injuries sustained in the Accident made it difficult for him to perform that aspect of his job responsibilities. He testified that he was able to keep the position for as long as he did since he had a very supportive supervisor. When she left Sunrise, he was terminated soon thereafter. This was in March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September 2014, the plaintiff commenced employment with the Sandman Hotel ("Sandman") where his work is very similar to the job he had with Abercorn. His supervisor, Mr. Lopez, testified that heavy lifting is required from time to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Lopez also stated that the other maintenance worker had outperformed the plaintiff. For his part, the plaintiff stated that shortly before the trial he asked to be placed on light duties due to his ongoing problems with back pain. No such duties were available and he was not working at the time of trial, although his position is still available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Lopez expressed concern for the plaintiff's future at the Sandman and in the hotel maintenance industry in general since light duties are not available in that kind of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Ms. Azimi testified she began to notice a change in the plaintiff after the Accident when he was physically failing in his attempts to return to work. She testified he was no longer the happy, outgoing, active and ambitious man he was prior to the Accident. Rather, he became "hopeless and depressed". Ms. Azimi stated Mr. Karim was in pain, stressed, and irritable. He was suffering from financial pressures and physically he was not doing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Ms. Azimi stated these changes in the plaintiff caused them to grow apart. As such, they did not celebrate their wedding as they had planned and they lost the deposits paid for the venue and incurred out-of-pocket expenses. The venue is demanding further payment. Ms. Azimi said it is the plaintiff who is ultimately responsible for paying these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plaintiff's stuttering condition is an issue in this proceeding. He had received treatment prior to the Accident and he alleges that the Accident worsened this condition. In particular, it is a source of anxiety and contributed to difficulties when he was employed in a management position, attending staff meetings and the like.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plaintiff's stutter has been prevalent from infancy. Its onset may well have originated at about the time of the gas attack he suffered as a child. He spent a protracted period of time in and out of hospital and it was during this timeframe that he suffered the onset of an illness of unknown cause which affected his strength and sense of balance until he relocated to England. He told his speech therapist, Ms. Duke, that during this stage of his life he had difficulty walking and felt his bones were weak.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According to Mr. Karim, his stutter was present while he lived in England and he did want to have it cured. Notwithstanding this, he stated he was popular amongst his peers and that the stutter did not hold him back in the pursuit of his goals.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Ms. Duke's interview sheet includes historical interview questions, such as, "Has your stuttering hampered your educational and/or occupational progress? If so, how?" to which the recorded response is "Yes-dropped out of University". On cross-examination, Mr. Karim denied the suggestion that he dropped out of university due to his stutter and indicated that what he advised Ms. Duke is that he did not pursue a better degree due to his stutter.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2009, the plaintiff first attended Columbia Speech and Language Services ("Columbia"). His stutter was noted to be "severe". Upon completion of the course, the remedial treatment was considered successful, though "fragile". Columbia encourages those who attend its programs to maintain certain strategies in order to assist in dealing with the condition in the future. This includes attendance at regular "refresher" courses. Mr. Karim did attend some of these prior and subsequent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aggravation of the stutter post-Accident appears to have first manifested itself approximately ten months thereafter.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Mr. Karim testified that he had great difficulty expressing himself while working at Sunrise and speculated that this may have been a contributing factor to his dismissal.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He also told Ms. Duke that he was convinced he would never get a job if he were to advise a potential employer, during an interview, of his stuttering. The plaintiff's vocational consultant, Derek Nordin, was of the view that one of Mr. Karim's barriers to work is his stutter.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And yet Mr. Karim's evidence on cross-examination was that, notwithstanding his stuttering condition, he was the successful candidate for both the Sunrise and the Sandman positions.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According to the plaintiff, the stutter worsens with stress. One of the intriguing aspects of this issue is that the stutter markedly improves when Mr. Karim is angry or upset. The condition is variable and the plaintiff appears to have some real ability to control its effects.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 note that during the plaintiff's examination-in-chief there were occasions when the stutter had a significant impact on the manner in which Mr. Karim testified with long interruptions in the flow of his speech. And yet, during portions of his cross-examination when his evidence was being tested and he was upset or angry at the tenor of the questions, the stutter was almost non-existent for lengthy periods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It was the plaintiff's evidence that he is unable to perform many of the recreational activities he was involved in prior to the Accident. With the exception of going to the gym, he leads a sedentary existence since the pain he experiences every day prevents him from functioning the way he once did. He no longer associates with friends like he used to. He is also unable to take on extra work like he did prior to the Accident. He does not believe he has the capability to buy and renovate a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 Karim began attending counselling therapy sessions approximately 14 months after the Accident. He then discontinued the treatments. He resumed counselling a month prior to the trial. He plans on continuing this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THE MEDICAL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As a consequence of the Accident, Mr. Karim had a number of musculoskeletal complaints including headaches, right leg pain, and neck and back pain. The majority of these appear to have resolved except for the neck and back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These injuries have been diagnosed by Dr. Nicholas Eichhorst and Dr. Daniel Gouws as chronic myofascial neck and back pain. Dr. Catherine Paramonoff describes musculoligamentous neck pain and lower back pain from musculoligamentous sources at the lumbar sacral region.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There have also been certain psychological and/or psychiatric consequences arising from the Accident, although their duration and potential effect on Mr. Karim's functioning is very much in dispute.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Dr. Eichhorst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Dr. Eichhorst is the plaintiff's general practitioner. He was of the opinion that Mr. Karim had a chronic pain condition secondary to soft tissue injuries. He testified that he oversaw the plaintiff's treatment and his attempts to return to work since the Accident. He was of the view that Mr. Karim's efforts were reasonable in the circumstances. He stated that he recommended a course of physiotherapy and rehabilitation treatments which Mr. Karim followed. He also recommended psychological treatment. He stated that the plaintiff's presentation is consistent with 10% of individuals who do not recover from this type of injury.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Dr. Gouws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Dr. Gouws has an expertise in occupational health and performs medical fitness to work assessments.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He assessed the plaintiff in 2013 during his termination from Abercorn and before he obtained a position at Sunrise. He found Mr. Karim to be capable of employment with light physical demands rather than medium and/or heavy physical requirements as required for the job of a handyman or maintenance worker.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Dr. Gouws' physical examination demonstrated essentially normal findings with subjective complaints of pain. He administered a series of questionnaires the results of which, in part, he considered contradictory.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Dr. Gouws noted that the plaintiff had "developed a chronic pain condition with emotional comorbidities that significantly impacts his ability to work in a sustained and productive way and negatively impact his quality of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his report, Dr. Gouws was also of the opinion that:</w:t>
      </w:r>
      <w:r>
        <w:rPr>
          <w:rFonts w:ascii="arial" w:eastAsia="arial" w:hAnsi="arial" w:cs="arial"/>
          <w:sz w:val="20"/>
          <w:lang w:val="en-US" w:eastAsia="en-US" w:bidi="ar-SA"/>
        </w:rPr>
        <w:cr/>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Karim's lack of Canadian academic credentials represents a significant limitation in terms of his successful return to the workforce or ability to seek out alternative employment;</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"lack of physical abilities and the negative effects of his chronic pain condition (such as low energy, low mood and reduced tolerance for activity) will make it very difficult for him to find work in the open job market";</w:t>
      </w:r>
    </w:p>
    <w:p>
      <w:pPr>
        <w:numPr>
          <w:numId w:val="1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Karim scored highly on the pain catastrophization scale and pain disability index and scored in the very high range on the kinesiophobia scale. His overly negative perception of his own mental and physical abilities, his fixation on his problems and limitations, his pain focus and fear of re-injury are all associated with poor rehabilitation outcome. These perceptions are often due to the effects of the chronic pain condition itself and not the wilful response on the part of the injured individual; and</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has had extensive and appropriate treatments, investigations, therapies, rehabilitation, and counselling as well as appropriate attempts to return to work. In view of his significant degree of functional impairment, he is at high risk of becoming permanently disabled from returning to the type of work that he was capable of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Dr. Gouws recommended a multidisciplinary pain program and testified that the pain program is a full-time engagement. He stated that the goal is to assist the individual to deal with the pain, and that it "perhaps" could result in getting someone to return to work to earn an income; however, it is not possible that the participant will return to work at the same degree -- rather the participant would return at lighter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During his evidence, Dr. Gouws stated that:</w:t>
      </w:r>
      <w:r>
        <w:rPr>
          <w:rFonts w:ascii="arial" w:eastAsia="arial" w:hAnsi="arial" w:cs="arial"/>
          <w:sz w:val="20"/>
          <w:lang w:val="en-US" w:eastAsia="en-US" w:bidi="ar-SA"/>
        </w:rPr>
        <w:cr/>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notwithstanding his treatment, Mr. Karim had symptoms which did not get better and, in fact, some of them worsened, which "was not what one would expect with this type of injury";</w:t>
      </w:r>
    </w:p>
    <w:p>
      <w:pPr>
        <w:numPr>
          <w:numId w:val="1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cognitive distortion in that the plaintiff was "seeing things in the worst possible way";</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Karim sees himself as being very disabled throughout all functions of his life, family, recreational and work and... his perception of his own disabilities is a significant problem in terms of his rehabilitation";</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actual limitations are "slight" but they should be contrasted with his perceived limitations;</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"big problem" that has to be addressed is Mr. Karim's belief that "he has to be pain free [in relation to his chronic pain condition] before he can do anything else"; and</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although the plaintiff has been non-compliant with respect to some aspects of the recommended treatment, this is due to the cognitive difficulties associated with the chronic pain.</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 Dr. Paramonoff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plaintiff was assessed by the physiatrist Dr. Paramonoff in April 2012. Her opinions include the following:</w:t>
      </w:r>
      <w:r>
        <w:rPr>
          <w:rFonts w:ascii="arial" w:eastAsia="arial" w:hAnsi="arial" w:cs="arial"/>
          <w:sz w:val="20"/>
          <w:lang w:val="en-US" w:eastAsia="en-US" w:bidi="ar-SA"/>
        </w:rPr>
        <w:cr/>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physical injuries including those noted above;</w:t>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affective symptoms and psychological issues;</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given the plaintiff's pain presentation at the time of the assessment, he would not be able to tolerate his job duties;</w:t>
      </w:r>
    </w:p>
    <w:p>
      <w:pPr>
        <w:numPr>
          <w:numId w:val="2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based on the musculoskeletal injuries sustained in the Accident, Mr. Karim should not be permanently disabled from his job duties; and</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identified other factors playing a role in the plaintiff's symptomology and recommended that he be referred to psychiatry and/or a psychologist for counselling.</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 Dr. Nader and Dr. Lau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plaintiff was assessed by the psychologist Dr. Rami Nader in September 2012. At this time, Mr. Karim was returning to his employment at Abercorn. In his report, dated September 24, 2012, Dr. Nader diagnosed major depressive disorder and pain disorder associated with both psychological factors and a general medical condition. These were causally related to the Accident. The symptoms included inability to work and uncertainty about his vocational future, physical deconditioning, increase stress leading to exacerbations in his stuttering, cognitive difficulties, and conflict with his fiancé.</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It was Dr. Nader's opinion that Mr. Karim should receive at least 16 sessions of cognitive behavioural therapy. It was also his view that the prognosis for improvement was "reasonably good".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On Dr. Nader's recommendation, the plaintiff attended counselling with Dr. Mark Lau.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Mr. Karim began treatment with Dr. Lau on October 17, 2012. His first visit recorded his complaints with respect to his pain and the stresses related to his relationship with his fiancé. After one treatment, he expressed great improvement with respect to attitude and pain. On the third visit, Mr. Karim advised Dr. Lau that "he needed a second job to feel better" and that "if he still felt depressed after getting a second job he would contact [Dr. Nader] to continue therapy". He indicated he already knew all about cognitive behavioural therapy because he had been taught the basic principles during his program at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Mr. Karim did not contact Dr. Lau for further treatment. During his cross-examination, Dr. Gouws agreed that three visits with Dr. Lau was poor compliance on the plaintiff's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 Dr. Riar and Dr. Miller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Dr. Kulwant Riar is a psychiatrist who assessed the plaintiff in October 2014. He prepared a report dated November 4, 2014. He also authored a second report which commented on the report of Dr. Robert Miller, a psychiatrist who assessed the plaintiff on behalf of the defendants. Dr. Riar testified at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Dr. Riar's diagnosis was that the plaintiff suffers from a somatic symptom disorder, major depression, and anxiety disorder. These were all causally related to the Accident. He understood that the plaintiff had lost his employment due to his inability to do what was required of him. This led to a sense of loss of control and feelings of helplessness which were then transformed into symptoms of major depression and anxiety. He stated that the ending of his engagement was probably indirectly related to the psychological consequences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Dr. Riar was of the view that his and Dr. Miller's opinions were very similar. The plaintiff would, with assistance, achieve remission of his psychiatric symptoms but there was interplay between pain and depression. He could not say if future exacerbations of pain would result in a relapse of the depressive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On cross-examination, he stated that three to four sessions of counselling did not constitute sufficient treatment. He was also of the view that anti-depressants should be prescribed and this had not yet occurred. It would take approximately one month to see their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Dr. Miller assessed the plaintiff on October 23, 2014. In his report, dated November 7, 2014, he diagnosed Mr. Karim as having a major depressive disorder with symptoms of chronic pain and a somatic symptom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He was of the opinion that the termination of the plaintiff's relationship with Ms. Azimi may be indirectly attributable to the Accident. He opined Mr. Karim would likely not have suffered from depressive symptoms when the relationship ended but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It was Dr. Miller's view that Mr. Karim's prognosis was dependent on his ability to maintain employment despite his limitations of physical function. It was likely that he would continue to struggle to maintain employment. Even with treatment, the plaintiff would probably continue to suffer from exacerbations of his depressive mood symptoms.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G. Wendy Duke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Ms. Duke is an expert in speech pathology and speech conditions such as stuttering. She treated the plaintiff both before and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She stated that Mr. Karim, as a result of the treatments he had received, had developed a "fragile" hold on fluency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Ms. Duke testified that, prior to the Accident, the plaintiff, due to his motivation, was a good candidate for her program. She testified the goal was not to eliminate the stutter since there is no cure, but rather to increase fluency in speech.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She stated she used cognitive behaviour techniques in her treatment and described this as "the power of positive thinking". It was her opinion that, but for the Accident, Mr. Karim would have maintained control over his speech and not regressed to the extent he did.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H. Derek Nordin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Mr. Nordin is a vocational consultant who assessed the plaintiff on September 19, 2013. At the time Mr. Karim was employed at Sunrise.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Mr. Nordin's opinions in his report, dated October 17, 2013, included:</w:t>
      </w:r>
      <w:r>
        <w:rPr>
          <w:rFonts w:ascii="arial" w:eastAsia="arial" w:hAnsi="arial" w:cs="arial"/>
          <w:sz w:val="20"/>
          <w:lang w:val="en-US" w:eastAsia="en-US" w:bidi="ar-SA"/>
        </w:rPr>
        <w:cr/>
      </w:r>
    </w:p>
    <w:p>
      <w:pPr>
        <w:numPr>
          <w:numId w:val="2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Karim was not a good candidate for formal post-secondary retraining;</w:t>
      </w:r>
    </w:p>
    <w:p>
      <w:pPr>
        <w:numPr>
          <w:numId w:val="2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was a "realistic" individual with a strong interest in areas including construction and repair activities;</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absent the Accident, the plaintiff could have continued with his established pre-injury pattern of employment for the foreseeable future;</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based on what had been reported to him, Mr. Karim is no longer capable of renovation, construction, and camera operator work;</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had considered alternative employment possibilities for the plaintiff, but had been unable to identify any he would be suited for. He was of the view that Mr. Karim's employment at Sunrise was tenuous at best; and</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his expectation of the plaintiff's future employment prospects was that: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[H]e will have a series of jobs which he will be able to obtain relying on his maintenance background but which he will struggle to </w:t>
      </w:r>
      <w:r>
        <w:rPr>
          <w:rFonts w:ascii="arial" w:eastAsia="arial" w:hAnsi="arial" w:cs="arial"/>
          <w:color w:val="000000"/>
          <w:sz w:val="20"/>
          <w:u w:val="single"/>
          <w:lang w:val="en-US" w:eastAsia="en-US" w:bidi="ar-SA"/>
        </w:rPr>
        <w:t>maintain</w:t>
      </w:r>
      <w:r>
        <w:rPr>
          <w:rFonts w:ascii="arial" w:eastAsia="arial" w:hAnsi="arial" w:cs="arial"/>
          <w:color w:val="000000"/>
          <w:sz w:val="20"/>
          <w:lang w:val="en-US" w:eastAsia="en-US" w:bidi="ar-SA"/>
        </w:rPr>
        <w:t xml:space="preserve"> because of his inability to meet the physical demands of the job. Ultimately, if this pattern develops, he will eventually find it difficult to even market himself to these types of jobs...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as he presented at our office (including results of his testing), I am concerned about Mr. Karim's ability to successfully re[-]establish himself in the workforce over the long term (at least at the level he was prior to being injured).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[Emphasis in the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5"/>
        <w:gridCol w:w="836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IV:</w:t>
            </w:r>
          </w:p>
        </w:tc>
        <w:tc>
          <w:tcPr>
            <w:tcW w:w="819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THE PARTIES' POSITIONS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941"/>
        <w:gridCol w:w="784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9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A:</w:t>
            </w:r>
          </w:p>
        </w:tc>
        <w:tc>
          <w:tcPr>
            <w:tcW w:w="768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The Plaintiff</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plaintiff's position is that he sustained significant injuries to his neck and back which have not resolved to any real degree over time. He is now in a position of chronic pain. In addition, the stresses associated with these injuries have resulted in the aggravation of a significant stuttering condition which was largely under control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He submits that these injuries have had a profound effect on his personal and vocational life. He has done his best to cope with the situation in which he finds himself. Specifically, he has been diligent in attempting to find work when he was terminated from employment due to his injuries. He says the effects of his injuries will negatively affect his future vocational capabilities.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plaintiff submits that his claim for damages for income loss to the date of the Accident and loss of earning capacity relating to future employment should be based on an annual salary of $40,600 per year, being the approximate amount earned at Abercorn and Sandman after factoring in provincial and federal income taxes.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Mr. Karim claims the following damages:</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style="width:375pt;height:270pt">
            <v:imagedata r:id="rId57" o:title=""/>
          </v:shape>
        </w:pict>
      </w:r>
      <w:r>
        <w:rPr>
          <w:rFonts w:ascii="arial" w:eastAsia="arial" w:hAnsi="arial" w:cs="arial"/>
          <w:sz w:val="20"/>
          <w:lang w:val="en-US" w:eastAsia="en-US" w:bidi="ar-SA"/>
        </w:rPr>
        <w:t xml:space="preser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941"/>
        <w:gridCol w:w="784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9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B:</w:t>
            </w:r>
          </w:p>
        </w:tc>
        <w:tc>
          <w:tcPr>
            <w:tcW w:w="768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The Defendants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defendants submit that the plaintiff sustained soft-tissue injuries to his neck and back which resolved within approximately one year of the Accident. They say that any ongoing disability past that point in time is not their responsibility.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defendants say that the plaintiff's complaints worsened over time which, as Dr. Gouws acknowledged on cross-examination, is contrary to the usual progress of musculoskeletal injuries. They argue that there is no objective evidence of injury, all complaints of pain being subjective.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They point to portions of the medical and expert evidence which they argue is to the effect that Mr. Karim has not availed himself of opportunities to mitigate his damages, specifically speech and psychological counselling. They also submit that, from a physical perspective, the plaintiff is not as functionally disabled as he says; in other words, his perception of his ongoing pain is just that, a perception.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defendants base their argument on several points of evidence, including Mr. Karim's work experience with the public prior to the treatment of his stutter in 2009, that the regression of his stuttering symptomology is temporary, and that his complaints of physical limitations are inconsistent.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A key point from the defendants' perspective is the medical and expert evidence which is to the effect that it is not the plaintiff's actual physical limitations that affect his ability to function, but rather his perception that he must be pain free before he can effectively perform his day-to-day activities. They submit it is unreasonable for the plaintiff to expect that they should pay the significant damages claimed on this perception rather than what is the reality.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defendants say that with the appropriate psychological, speech, and pain clinic treatments which they are prepared to fund, a reasonable range of damages is as follows:</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 id="_x0000_i1034" type="#_x0000_t75" style="width:356.25pt;height:214.5pt">
            <v:imagedata r:id="rId58" o:title=""/>
          </v:shape>
        </w:pict>
      </w:r>
      <w:r>
        <w:rPr>
          <w:rFonts w:ascii="arial" w:eastAsia="arial" w:hAnsi="arial" w:cs="arial"/>
          <w:sz w:val="20"/>
          <w:lang w:val="en-US" w:eastAsia="en-US" w:bidi="ar-SA"/>
        </w:rPr>
        <w:t xml:space="preser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84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V:</w:t>
            </w:r>
          </w:p>
        </w:tc>
        <w:tc>
          <w:tcPr>
            <w:tcW w:w="829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CREDIBILITY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As is common in these types of cases, the medical and expert evidence in this proceeding is based to a significant degree on the history provided to the various professionals by Mr. Karim and his account with respect to his physical and speech condition prior to the Accident and its effects thereafter.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In this case, there are little, if any, objective findings. In light of this, it is necessary to assess Mr. Karim's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As Madam Justice Dillon noted in </w:t>
      </w:r>
      <w:r>
        <w:rPr>
          <w:rFonts w:ascii="arial" w:eastAsia="arial" w:hAnsi="arial" w:cs="arial"/>
          <w:i/>
          <w:color w:val="000000"/>
          <w:sz w:val="20"/>
          <w:lang w:val="en-US" w:eastAsia="en-US" w:bidi="ar-SA"/>
        </w:rPr>
        <w:t>Bradshaw v. Stenner,</w:t>
      </w:r>
      <w:r>
        <w:rPr>
          <w:rFonts w:ascii="arial" w:eastAsia="arial" w:hAnsi="arial" w:cs="arial"/>
          <w:color w:val="000000"/>
          <w:sz w:val="20"/>
          <w:lang w:val="en-US" w:eastAsia="en-US" w:bidi="ar-SA"/>
        </w:rPr>
        <w:t xml:space="preserve"> </w:t>
      </w:r>
      <w:hyperlink r:id="rId59" w:history="1">
        <w:r>
          <w:rPr>
            <w:rFonts w:ascii="arial" w:eastAsia="arial" w:hAnsi="arial" w:cs="arial"/>
            <w:i/>
            <w:color w:val="0077CC"/>
            <w:sz w:val="20"/>
            <w:u w:val="single"/>
            <w:shd w:val="clear" w:color="auto" w:fill="FFFFFF"/>
            <w:lang w:val="en-US" w:eastAsia="en-US" w:bidi="ar-SA"/>
          </w:rPr>
          <w:t>2010 BCSC 1398</w:t>
        </w:r>
      </w:hyperlink>
      <w:r>
        <w:rPr>
          <w:rFonts w:ascii="arial" w:eastAsia="arial" w:hAnsi="arial" w:cs="arial"/>
          <w:color w:val="000000"/>
          <w:sz w:val="20"/>
          <w:lang w:val="en-US" w:eastAsia="en-US" w:bidi="ar-SA"/>
        </w:rPr>
        <w:t xml:space="preserve"> at para. 186, aff'd </w:t>
      </w:r>
      <w:hyperlink r:id="rId60" w:history="1">
        <w:r>
          <w:rPr>
            <w:rFonts w:ascii="arial" w:eastAsia="arial" w:hAnsi="arial" w:cs="arial"/>
            <w:i/>
            <w:color w:val="0077CC"/>
            <w:sz w:val="20"/>
            <w:u w:val="single"/>
            <w:shd w:val="clear" w:color="auto" w:fill="FFFFFF"/>
            <w:lang w:val="en-US" w:eastAsia="en-US" w:bidi="ar-SA"/>
          </w:rPr>
          <w:t>2012 BCCA 296</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[186] Credibility involves an assessment of the trustworthiness of a witness' testimony based upon the veracity or sincerity of a witness and the accuracy of the evidence that the witness provides (</w:t>
      </w:r>
      <w:r>
        <w:rPr>
          <w:rFonts w:ascii="arial" w:eastAsia="arial" w:hAnsi="arial" w:cs="arial"/>
          <w:i/>
          <w:color w:val="000000"/>
          <w:sz w:val="20"/>
          <w:lang w:val="en-US" w:eastAsia="en-US" w:bidi="ar-SA"/>
        </w:rPr>
        <w:t>Raymond v. Bosanquet (Township)</w:t>
      </w:r>
      <w:r>
        <w:rPr>
          <w:rFonts w:ascii="arial" w:eastAsia="arial" w:hAnsi="arial" w:cs="arial"/>
          <w:color w:val="000000"/>
          <w:sz w:val="20"/>
          <w:lang w:val="en-US" w:eastAsia="en-US" w:bidi="ar-SA"/>
        </w:rPr>
        <w:t xml:space="preserve"> </w:t>
      </w:r>
      <w:hyperlink r:id="rId61" w:history="1">
        <w:r>
          <w:rPr>
            <w:rFonts w:ascii="arial" w:eastAsia="arial" w:hAnsi="arial" w:cs="arial"/>
            <w:i/>
            <w:color w:val="0077CC"/>
            <w:sz w:val="20"/>
            <w:u w:val="single"/>
            <w:shd w:val="clear" w:color="auto" w:fill="FFFFFF"/>
            <w:lang w:val="en-US" w:eastAsia="en-US" w:bidi="ar-SA"/>
          </w:rPr>
          <w:t>(1919), 59 S.C.R. 452</w:t>
        </w:r>
      </w:hyperlink>
      <w:r>
        <w:rPr>
          <w:rFonts w:ascii="arial" w:eastAsia="arial" w:hAnsi="arial" w:cs="arial"/>
          <w:color w:val="000000"/>
          <w:sz w:val="20"/>
          <w:lang w:val="en-US" w:eastAsia="en-US" w:bidi="ar-SA"/>
        </w:rPr>
        <w:t xml:space="preserve">, </w:t>
      </w:r>
      <w:hyperlink r:id="rId62" w:history="1">
        <w:r>
          <w:rPr>
            <w:rFonts w:ascii="arial" w:eastAsia="arial" w:hAnsi="arial" w:cs="arial"/>
            <w:i/>
            <w:color w:val="0077CC"/>
            <w:sz w:val="20"/>
            <w:u w:val="single"/>
            <w:shd w:val="clear" w:color="auto" w:fill="FFFFFF"/>
            <w:lang w:val="en-US" w:eastAsia="en-US" w:bidi="ar-SA"/>
          </w:rPr>
          <w:t>50 D.L.R. 560</w:t>
        </w:r>
      </w:hyperlink>
      <w:r>
        <w:rPr>
          <w:rFonts w:ascii="arial" w:eastAsia="arial" w:hAnsi="arial" w:cs="arial"/>
          <w:color w:val="000000"/>
          <w:sz w:val="20"/>
          <w:lang w:val="en-US" w:eastAsia="en-US" w:bidi="ar-SA"/>
        </w:rPr>
        <w:t xml:space="preserve"> (S.C.C.)). The art of assessment involves examination of various factors such as the ability and opportunity to observe events, the firmness of his memory, the ability to resist the influence of interest to modify his recollection, whether the witness' evidence harmonizes with independent evidence that has been accepted, whether the witness changes his testimony during direct and cross-examination, whether the witness' testimony seems unreasonable, impossible, or unlikely, whether a witness has a motive to lie, and the demeanour of a witness generally (</w:t>
      </w:r>
      <w:r>
        <w:rPr>
          <w:rFonts w:ascii="arial" w:eastAsia="arial" w:hAnsi="arial" w:cs="arial"/>
          <w:i/>
          <w:color w:val="000000"/>
          <w:sz w:val="20"/>
          <w:lang w:val="en-US" w:eastAsia="en-US" w:bidi="ar-SA"/>
        </w:rPr>
        <w:t>Wallace v. Davis</w:t>
      </w:r>
      <w:r>
        <w:rPr>
          <w:rFonts w:ascii="arial" w:eastAsia="arial" w:hAnsi="arial" w:cs="arial"/>
          <w:color w:val="000000"/>
          <w:sz w:val="20"/>
          <w:lang w:val="en-US" w:eastAsia="en-US" w:bidi="ar-SA"/>
        </w:rPr>
        <w:t xml:space="preserve"> </w:t>
      </w:r>
      <w:hyperlink r:id="rId63" w:history="1">
        <w:r>
          <w:rPr>
            <w:rFonts w:ascii="arial" w:eastAsia="arial" w:hAnsi="arial" w:cs="arial"/>
            <w:i/>
            <w:color w:val="0077CC"/>
            <w:sz w:val="20"/>
            <w:u w:val="single"/>
            <w:shd w:val="clear" w:color="auto" w:fill="FFFFFF"/>
            <w:lang w:val="en-US" w:eastAsia="en-US" w:bidi="ar-SA"/>
          </w:rPr>
          <w:t>(1926), 31 O.W.N. 202</w:t>
        </w:r>
      </w:hyperlink>
      <w:r>
        <w:rPr>
          <w:rFonts w:ascii="arial" w:eastAsia="arial" w:hAnsi="arial" w:cs="arial"/>
          <w:color w:val="000000"/>
          <w:sz w:val="20"/>
          <w:lang w:val="en-US" w:eastAsia="en-US" w:bidi="ar-SA"/>
        </w:rPr>
        <w:t xml:space="preserve"> (Ont. H.C.); </w:t>
      </w:r>
      <w:r>
        <w:rPr>
          <w:rFonts w:ascii="arial" w:eastAsia="arial" w:hAnsi="arial" w:cs="arial"/>
          <w:i/>
          <w:color w:val="000000"/>
          <w:sz w:val="20"/>
          <w:lang w:val="en-US" w:eastAsia="en-US" w:bidi="ar-SA"/>
        </w:rPr>
        <w:t>Faryna v. Chorny</w:t>
      </w:r>
      <w:r>
        <w:rPr>
          <w:rFonts w:ascii="arial" w:eastAsia="arial" w:hAnsi="arial" w:cs="arial"/>
          <w:color w:val="000000"/>
          <w:sz w:val="20"/>
          <w:lang w:val="en-US" w:eastAsia="en-US" w:bidi="ar-SA"/>
        </w:rPr>
        <w:t xml:space="preserve"> (1951), </w:t>
      </w:r>
      <w:hyperlink r:id="rId64" w:history="1">
        <w:r>
          <w:rPr>
            <w:rFonts w:ascii="arial" w:eastAsia="arial" w:hAnsi="arial" w:cs="arial"/>
            <w:i/>
            <w:color w:val="0077CC"/>
            <w:sz w:val="20"/>
            <w:u w:val="single"/>
            <w:shd w:val="clear" w:color="auto" w:fill="FFFFFF"/>
            <w:lang w:val="en-US" w:eastAsia="en-US" w:bidi="ar-SA"/>
          </w:rPr>
          <w:t>[1952] 2 D.L.R. 354</w:t>
        </w:r>
      </w:hyperlink>
      <w:r>
        <w:rPr>
          <w:rFonts w:ascii="arial" w:eastAsia="arial" w:hAnsi="arial" w:cs="arial"/>
          <w:color w:val="000000"/>
          <w:sz w:val="20"/>
          <w:lang w:val="en-US" w:eastAsia="en-US" w:bidi="ar-SA"/>
        </w:rPr>
        <w:t xml:space="preserve"> (B.C.C.A.) [</w:t>
      </w:r>
      <w:r>
        <w:rPr>
          <w:rFonts w:ascii="arial" w:eastAsia="arial" w:hAnsi="arial" w:cs="arial"/>
          <w:i/>
          <w:color w:val="000000"/>
          <w:sz w:val="20"/>
          <w:lang w:val="en-US" w:eastAsia="en-US" w:bidi="ar-SA"/>
        </w:rPr>
        <w:t>Faryna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 v. S. (R.D.)</w:t>
      </w:r>
      <w:r>
        <w:rPr>
          <w:rFonts w:ascii="arial" w:eastAsia="arial" w:hAnsi="arial" w:cs="arial"/>
          <w:color w:val="000000"/>
          <w:sz w:val="20"/>
          <w:lang w:val="en-US" w:eastAsia="en-US" w:bidi="ar-SA"/>
        </w:rPr>
        <w:t xml:space="preserve">, </w:t>
      </w:r>
      <w:hyperlink r:id="rId65" w:history="1">
        <w:r>
          <w:rPr>
            <w:rFonts w:ascii="arial" w:eastAsia="arial" w:hAnsi="arial" w:cs="arial"/>
            <w:i/>
            <w:color w:val="0077CC"/>
            <w:sz w:val="20"/>
            <w:u w:val="single"/>
            <w:shd w:val="clear" w:color="auto" w:fill="FFFFFF"/>
            <w:lang w:val="en-US" w:eastAsia="en-US" w:bidi="ar-SA"/>
          </w:rPr>
          <w:t>[1997] 3 S.C.R. 484</w:t>
        </w:r>
      </w:hyperlink>
      <w:r>
        <w:rPr>
          <w:rFonts w:ascii="arial" w:eastAsia="arial" w:hAnsi="arial" w:cs="arial"/>
          <w:color w:val="000000"/>
          <w:sz w:val="20"/>
          <w:lang w:val="en-US" w:eastAsia="en-US" w:bidi="ar-SA"/>
        </w:rPr>
        <w:t xml:space="preserve"> (S.C.C.) at para.128). Ultimately, the validity of the evidence depends on whether the evidence is consistent with the probabilities affecting the case as a whole and shown to be in existence at the time (</w:t>
      </w:r>
      <w:r>
        <w:rPr>
          <w:rFonts w:ascii="arial" w:eastAsia="arial" w:hAnsi="arial" w:cs="arial"/>
          <w:i/>
          <w:color w:val="000000"/>
          <w:sz w:val="20"/>
          <w:lang w:val="en-US" w:eastAsia="en-US" w:bidi="ar-SA"/>
        </w:rPr>
        <w:t>Faryna</w:t>
      </w:r>
      <w:r>
        <w:rPr>
          <w:rFonts w:ascii="arial" w:eastAsia="arial" w:hAnsi="arial" w:cs="arial"/>
          <w:color w:val="000000"/>
          <w:sz w:val="20"/>
          <w:lang w:val="en-US" w:eastAsia="en-US" w:bidi="ar-SA"/>
        </w:rPr>
        <w:t xml:space="preserve"> at para. 356).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In addition, the following principles should be taken into account by the trier of fact:</w:t>
      </w:r>
      <w:r>
        <w:rPr>
          <w:rFonts w:ascii="arial" w:eastAsia="arial" w:hAnsi="arial" w:cs="arial"/>
          <w:sz w:val="20"/>
          <w:lang w:val="en-US" w:eastAsia="en-US" w:bidi="ar-SA"/>
        </w:rPr>
        <w:cr/>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no one can expect compensation in the absence of convincing evidence that complaints of pain are true reflections of a continuing injury: </w:t>
      </w:r>
      <w:r>
        <w:rPr>
          <w:rFonts w:ascii="arial" w:eastAsia="arial" w:hAnsi="arial" w:cs="arial"/>
          <w:i/>
          <w:color w:val="000000"/>
          <w:sz w:val="20"/>
          <w:lang w:val="en-US" w:eastAsia="en-US" w:bidi="ar-SA"/>
        </w:rPr>
        <w:t>Price v. Kostryba</w:t>
      </w:r>
      <w:r>
        <w:rPr>
          <w:rFonts w:ascii="arial" w:eastAsia="arial" w:hAnsi="arial" w:cs="arial"/>
          <w:color w:val="000000"/>
          <w:sz w:val="20"/>
          <w:lang w:val="en-US" w:eastAsia="en-US" w:bidi="ar-SA"/>
        </w:rPr>
        <w:t xml:space="preserve"> </w:t>
      </w:r>
      <w:hyperlink r:id="rId66" w:history="1">
        <w:r>
          <w:rPr>
            <w:rFonts w:ascii="arial" w:eastAsia="arial" w:hAnsi="arial" w:cs="arial"/>
            <w:i/>
            <w:color w:val="0077CC"/>
            <w:sz w:val="20"/>
            <w:u w:val="single"/>
            <w:shd w:val="clear" w:color="auto" w:fill="FFFFFF"/>
            <w:lang w:val="en-US" w:eastAsia="en-US" w:bidi="ar-SA"/>
          </w:rPr>
          <w:t>(1982), 70 B.C.L.R. 397</w:t>
        </w:r>
      </w:hyperlink>
      <w:r>
        <w:rPr>
          <w:rFonts w:ascii="arial" w:eastAsia="arial" w:hAnsi="arial" w:cs="arial"/>
          <w:color w:val="000000"/>
          <w:sz w:val="20"/>
          <w:lang w:val="en-US" w:eastAsia="en-US" w:bidi="ar-SA"/>
        </w:rPr>
        <w:t xml:space="preserve"> at 399 (S.C.);</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every injured person has a different understanding of his or her own complaints and injuries and it falls to judges to translate injuries to damages: </w:t>
      </w:r>
      <w:r>
        <w:rPr>
          <w:rFonts w:ascii="arial" w:eastAsia="arial" w:hAnsi="arial" w:cs="arial"/>
          <w:i/>
          <w:color w:val="000000"/>
          <w:sz w:val="20"/>
          <w:lang w:val="en-US" w:eastAsia="en-US" w:bidi="ar-SA"/>
        </w:rPr>
        <w:t>Price</w:t>
      </w:r>
      <w:r>
        <w:rPr>
          <w:rFonts w:ascii="arial" w:eastAsia="arial" w:hAnsi="arial" w:cs="arial"/>
          <w:color w:val="000000"/>
          <w:sz w:val="20"/>
          <w:lang w:val="en-US" w:eastAsia="en-US" w:bidi="ar-SA"/>
        </w:rPr>
        <w:t xml:space="preserve"> at 397;</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where there is little or no objective evidence of continuing injury and where complaints of pain persist for long periods extending beyond the expected resolution, the court should be exceedingly careful to assess assertions in light of the surrounding circumstances including the medical evidence: </w:t>
      </w:r>
      <w:r>
        <w:rPr>
          <w:rFonts w:ascii="arial" w:eastAsia="arial" w:hAnsi="arial" w:cs="arial"/>
          <w:i/>
          <w:color w:val="000000"/>
          <w:sz w:val="20"/>
          <w:lang w:val="en-US" w:eastAsia="en-US" w:bidi="ar-SA"/>
        </w:rPr>
        <w:t>Price</w:t>
      </w:r>
      <w:r>
        <w:rPr>
          <w:rFonts w:ascii="arial" w:eastAsia="arial" w:hAnsi="arial" w:cs="arial"/>
          <w:color w:val="000000"/>
          <w:sz w:val="20"/>
          <w:lang w:val="en-US" w:eastAsia="en-US" w:bidi="ar-SA"/>
        </w:rPr>
        <w:t xml:space="preserve"> at 399; </w:t>
      </w:r>
      <w:r>
        <w:rPr>
          <w:rFonts w:ascii="arial" w:eastAsia="arial" w:hAnsi="arial" w:cs="arial"/>
          <w:i/>
          <w:color w:val="000000"/>
          <w:sz w:val="20"/>
          <w:lang w:val="en-US" w:eastAsia="en-US" w:bidi="ar-SA"/>
        </w:rPr>
        <w:t>Tai v. De Busscher</w:t>
      </w:r>
      <w:r>
        <w:rPr>
          <w:rFonts w:ascii="arial" w:eastAsia="arial" w:hAnsi="arial" w:cs="arial"/>
          <w:color w:val="000000"/>
          <w:sz w:val="20"/>
          <w:lang w:val="en-US" w:eastAsia="en-US" w:bidi="ar-SA"/>
        </w:rPr>
        <w:t xml:space="preserve">, </w:t>
      </w:r>
      <w:hyperlink r:id="rId67" w:history="1">
        <w:r>
          <w:rPr>
            <w:rFonts w:ascii="arial" w:eastAsia="arial" w:hAnsi="arial" w:cs="arial"/>
            <w:i/>
            <w:color w:val="0077CC"/>
            <w:sz w:val="20"/>
            <w:u w:val="single"/>
            <w:shd w:val="clear" w:color="auto" w:fill="FFFFFF"/>
            <w:lang w:val="en-US" w:eastAsia="en-US" w:bidi="ar-SA"/>
          </w:rPr>
          <w:t>2007 BCCA 371</w:t>
        </w:r>
      </w:hyperlink>
      <w:r>
        <w:rPr>
          <w:rFonts w:ascii="arial" w:eastAsia="arial" w:hAnsi="arial" w:cs="arial"/>
          <w:color w:val="000000"/>
          <w:sz w:val="20"/>
          <w:lang w:val="en-US" w:eastAsia="en-US" w:bidi="ar-SA"/>
        </w:rPr>
        <w:t xml:space="preserve"> at para. 41;</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the doctor's function to take the patient's complaints at face value and offer an opinion based on them and it is for the court to assess credibility. If there is a medical or other reason for the doctor to suspect the plaintiff's complaints are not genuine, are inconsistent with the clinical picture or are inconsistent with the known course of such an injury, the court must be told of that. But it is not the doctor's job to conduct an investigation beyond the confines of the examining room: </w:t>
      </w:r>
      <w:r>
        <w:rPr>
          <w:rFonts w:ascii="arial" w:eastAsia="arial" w:hAnsi="arial" w:cs="arial"/>
          <w:i/>
          <w:color w:val="000000"/>
          <w:sz w:val="20"/>
          <w:lang w:val="en-US" w:eastAsia="en-US" w:bidi="ar-SA"/>
        </w:rPr>
        <w:t>Edmondson v. Payer</w:t>
      </w:r>
      <w:r>
        <w:rPr>
          <w:rFonts w:ascii="arial" w:eastAsia="arial" w:hAnsi="arial" w:cs="arial"/>
          <w:color w:val="000000"/>
          <w:sz w:val="20"/>
          <w:lang w:val="en-US" w:eastAsia="en-US" w:bidi="ar-SA"/>
        </w:rPr>
        <w:t xml:space="preserve">, </w:t>
      </w:r>
      <w:hyperlink r:id="rId68" w:history="1">
        <w:r>
          <w:rPr>
            <w:rFonts w:ascii="arial" w:eastAsia="arial" w:hAnsi="arial" w:cs="arial"/>
            <w:i/>
            <w:color w:val="0077CC"/>
            <w:sz w:val="20"/>
            <w:u w:val="single"/>
            <w:shd w:val="clear" w:color="auto" w:fill="FFFFFF"/>
            <w:lang w:val="en-US" w:eastAsia="en-US" w:bidi="ar-SA"/>
          </w:rPr>
          <w:t>2011 BCSC 118</w:t>
        </w:r>
      </w:hyperlink>
      <w:r>
        <w:rPr>
          <w:rFonts w:ascii="arial" w:eastAsia="arial" w:hAnsi="arial" w:cs="arial"/>
          <w:color w:val="000000"/>
          <w:sz w:val="20"/>
          <w:lang w:val="en-US" w:eastAsia="en-US" w:bidi="ar-SA"/>
        </w:rPr>
        <w:t xml:space="preserve"> at para. 77, aff'd </w:t>
      </w:r>
      <w:hyperlink r:id="rId69" w:history="1">
        <w:r>
          <w:rPr>
            <w:rFonts w:ascii="arial" w:eastAsia="arial" w:hAnsi="arial" w:cs="arial"/>
            <w:i/>
            <w:color w:val="0077CC"/>
            <w:sz w:val="20"/>
            <w:u w:val="single"/>
            <w:shd w:val="clear" w:color="auto" w:fill="FFFFFF"/>
            <w:lang w:val="en-US" w:eastAsia="en-US" w:bidi="ar-SA"/>
          </w:rPr>
          <w:t>2012 BCCA 114</w:t>
        </w:r>
      </w:hyperlink>
      <w:r>
        <w:rPr>
          <w:rFonts w:ascii="arial" w:eastAsia="arial" w:hAnsi="arial" w:cs="arial"/>
          <w:color w:val="000000"/>
          <w:sz w:val="20"/>
          <w:lang w:val="en-US" w:eastAsia="en-US" w:bidi="ar-SA"/>
        </w:rPr>
        <w:t>; and</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absence of objective signs of injury, the court's reliance on the medical profession must proceed from the facts it finds, and must seek congruence between those facts and the advice offered by the medical witnesses as to the possible medical consequences and the potential duration of the injuries: </w:t>
      </w:r>
      <w:r>
        <w:rPr>
          <w:rFonts w:ascii="arial" w:eastAsia="arial" w:hAnsi="arial" w:cs="arial"/>
          <w:i/>
          <w:color w:val="000000"/>
          <w:sz w:val="20"/>
          <w:lang w:val="en-US" w:eastAsia="en-US" w:bidi="ar-SA"/>
        </w:rPr>
        <w:t>Fan (Guardian ad litem of</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v. Chana</w:t>
      </w:r>
      <w:r>
        <w:rPr>
          <w:rFonts w:ascii="arial" w:eastAsia="arial" w:hAnsi="arial" w:cs="arial"/>
          <w:color w:val="000000"/>
          <w:sz w:val="20"/>
          <w:lang w:val="en-US" w:eastAsia="en-US" w:bidi="ar-SA"/>
        </w:rPr>
        <w:t xml:space="preserve">, </w:t>
      </w:r>
      <w:hyperlink r:id="rId70" w:history="1">
        <w:r>
          <w:rPr>
            <w:rFonts w:ascii="arial" w:eastAsia="arial" w:hAnsi="arial" w:cs="arial"/>
            <w:i/>
            <w:color w:val="0077CC"/>
            <w:sz w:val="20"/>
            <w:u w:val="single"/>
            <w:shd w:val="clear" w:color="auto" w:fill="FFFFFF"/>
            <w:lang w:val="en-US" w:eastAsia="en-US" w:bidi="ar-SA"/>
          </w:rPr>
          <w:t>2009 BCSC 1127</w:t>
        </w:r>
      </w:hyperlink>
      <w:r>
        <w:rPr>
          <w:rFonts w:ascii="arial" w:eastAsia="arial" w:hAnsi="arial" w:cs="arial"/>
          <w:color w:val="000000"/>
          <w:sz w:val="20"/>
          <w:lang w:val="en-US" w:eastAsia="en-US" w:bidi="ar-SA"/>
        </w:rPr>
        <w:t xml:space="preserve"> at para. 73, aff'd </w:t>
      </w:r>
      <w:hyperlink r:id="rId71" w:history="1">
        <w:r>
          <w:rPr>
            <w:rFonts w:ascii="arial" w:eastAsia="arial" w:hAnsi="arial" w:cs="arial"/>
            <w:i/>
            <w:color w:val="0077CC"/>
            <w:sz w:val="20"/>
            <w:u w:val="single"/>
            <w:shd w:val="clear" w:color="auto" w:fill="FFFFFF"/>
            <w:lang w:val="en-US" w:eastAsia="en-US" w:bidi="ar-SA"/>
          </w:rPr>
          <w:t>2011 BCCA 516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See also </w:t>
      </w:r>
      <w:r>
        <w:rPr>
          <w:rFonts w:ascii="arial" w:eastAsia="arial" w:hAnsi="arial" w:cs="arial"/>
          <w:i/>
          <w:color w:val="000000"/>
          <w:sz w:val="20"/>
          <w:lang w:val="en-US" w:eastAsia="en-US" w:bidi="ar-SA"/>
        </w:rPr>
        <w:t>Buttar v. Brennan</w:t>
      </w:r>
      <w:r>
        <w:rPr>
          <w:rFonts w:ascii="arial" w:eastAsia="arial" w:hAnsi="arial" w:cs="arial"/>
          <w:color w:val="000000"/>
          <w:sz w:val="20"/>
          <w:lang w:val="en-US" w:eastAsia="en-US" w:bidi="ar-SA"/>
        </w:rPr>
        <w:t xml:space="preserve">, </w:t>
      </w:r>
      <w:hyperlink r:id="rId72" w:history="1">
        <w:r>
          <w:rPr>
            <w:rFonts w:ascii="arial" w:eastAsia="arial" w:hAnsi="arial" w:cs="arial"/>
            <w:i/>
            <w:color w:val="0077CC"/>
            <w:sz w:val="20"/>
            <w:u w:val="single"/>
            <w:shd w:val="clear" w:color="auto" w:fill="FFFFFF"/>
            <w:lang w:val="en-US" w:eastAsia="en-US" w:bidi="ar-SA"/>
          </w:rPr>
          <w:t>2012 BCSC 531</w:t>
        </w:r>
      </w:hyperlink>
      <w:r>
        <w:rPr>
          <w:rFonts w:ascii="arial" w:eastAsia="arial" w:hAnsi="arial" w:cs="arial"/>
          <w:color w:val="000000"/>
          <w:sz w:val="20"/>
          <w:lang w:val="en-US" w:eastAsia="en-US" w:bidi="ar-SA"/>
        </w:rPr>
        <w:t xml:space="preserve"> at paras. 23-25.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Where injuries contain a psychological component -- which is often the case in situations of chronic pain -- the principles set out in </w:t>
      </w:r>
      <w:r>
        <w:rPr>
          <w:rFonts w:ascii="arial" w:eastAsia="arial" w:hAnsi="arial" w:cs="arial"/>
          <w:i/>
          <w:color w:val="000000"/>
          <w:sz w:val="20"/>
          <w:lang w:val="en-US" w:eastAsia="en-US" w:bidi="ar-SA"/>
        </w:rPr>
        <w:t>Maslen v. Rubinstein</w:t>
      </w:r>
      <w:r>
        <w:rPr>
          <w:rFonts w:ascii="arial" w:eastAsia="arial" w:hAnsi="arial" w:cs="arial"/>
          <w:color w:val="000000"/>
          <w:sz w:val="20"/>
          <w:lang w:val="en-US" w:eastAsia="en-US" w:bidi="ar-SA"/>
        </w:rPr>
        <w:t xml:space="preserve"> </w:t>
      </w:r>
      <w:hyperlink r:id="rId73" w:history="1">
        <w:r>
          <w:rPr>
            <w:rFonts w:ascii="arial" w:eastAsia="arial" w:hAnsi="arial" w:cs="arial"/>
            <w:i/>
            <w:color w:val="0077CC"/>
            <w:sz w:val="20"/>
            <w:u w:val="single"/>
            <w:shd w:val="clear" w:color="auto" w:fill="FFFFFF"/>
            <w:lang w:val="en-US" w:eastAsia="en-US" w:bidi="ar-SA"/>
          </w:rPr>
          <w:t>(1993), 83 B.C.L.R. (2d) 131</w:t>
        </w:r>
      </w:hyperlink>
      <w:r>
        <w:rPr>
          <w:rFonts w:ascii="arial" w:eastAsia="arial" w:hAnsi="arial" w:cs="arial"/>
          <w:color w:val="000000"/>
          <w:sz w:val="20"/>
          <w:lang w:val="en-US" w:eastAsia="en-US" w:bidi="ar-SA"/>
        </w:rPr>
        <w:t xml:space="preserve"> at 133-135 (C.A.), should also be considered. These will be dealt with below in the analysis of the causation of a psychological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In making the findings of fact set out below, I have taken the following into account:</w:t>
      </w:r>
      <w:r>
        <w:rPr>
          <w:rFonts w:ascii="arial" w:eastAsia="arial" w:hAnsi="arial" w:cs="arial"/>
          <w:sz w:val="20"/>
          <w:lang w:val="en-US" w:eastAsia="en-US" w:bidi="ar-SA"/>
        </w:rPr>
        <w:cr/>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Karim generally testified in an honest and forthright manner and I find this was also his intention when providing his personal history to the various physicians and experts who assessed him from time to time;</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were, however, some instances of embellishment that will be described in more detail below; and</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Karim's perceptions of his pain and disability should be contrasted with whether he has established that his level of functioning is in reality as dire as he considers it to be and whether he has the ability to overcome them with the application of his own inherent resources or willpower.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 CAUSATION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Principles of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A defendant is liable for any injuries caused or contributed to by his or 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If the defendants' conduct is found to be a cause of the injury, the presence of other non-tortious contributing causes does not reduce the extent of the defendants' liability. However, if the defendant did not cause an injury, the defendant will not be liable for any losses or damages flowing from that injury: </w:t>
      </w:r>
      <w:r>
        <w:rPr>
          <w:rFonts w:ascii="arial" w:eastAsia="arial" w:hAnsi="arial" w:cs="arial"/>
          <w:i/>
          <w:color w:val="000000"/>
          <w:sz w:val="20"/>
          <w:lang w:val="en-US" w:eastAsia="en-US" w:bidi="ar-SA"/>
        </w:rPr>
        <w:t>Brewster v. Li</w:t>
      </w:r>
      <w:r>
        <w:rPr>
          <w:rFonts w:ascii="arial" w:eastAsia="arial" w:hAnsi="arial" w:cs="arial"/>
          <w:color w:val="000000"/>
          <w:sz w:val="20"/>
          <w:lang w:val="en-US" w:eastAsia="en-US" w:bidi="ar-SA"/>
        </w:rPr>
        <w:t xml:space="preserve">, </w:t>
      </w:r>
      <w:hyperlink r:id="rId74" w:history="1">
        <w:r>
          <w:rPr>
            <w:rFonts w:ascii="arial" w:eastAsia="arial" w:hAnsi="arial" w:cs="arial"/>
            <w:i/>
            <w:color w:val="0077CC"/>
            <w:sz w:val="20"/>
            <w:u w:val="single"/>
            <w:shd w:val="clear" w:color="auto" w:fill="FFFFFF"/>
            <w:lang w:val="en-US" w:eastAsia="en-US" w:bidi="ar-SA"/>
          </w:rPr>
          <w:t>2013 BCSC 774</w:t>
        </w:r>
      </w:hyperlink>
      <w:r>
        <w:rPr>
          <w:rFonts w:ascii="arial" w:eastAsia="arial" w:hAnsi="arial" w:cs="arial"/>
          <w:color w:val="000000"/>
          <w:sz w:val="20"/>
          <w:lang w:val="en-US" w:eastAsia="en-US" w:bidi="ar-SA"/>
        </w:rPr>
        <w:t xml:space="preserve"> at para. 78;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75" w:history="1">
        <w:r>
          <w:rPr>
            <w:rFonts w:ascii="arial" w:eastAsia="arial" w:hAnsi="arial" w:cs="arial"/>
            <w:i/>
            <w:color w:val="0077CC"/>
            <w:sz w:val="20"/>
            <w:u w:val="single"/>
            <w:shd w:val="clear" w:color="auto" w:fill="FFFFFF"/>
            <w:lang w:val="en-US" w:eastAsia="en-US" w:bidi="ar-SA"/>
          </w:rPr>
          <w:t>2005 SCC 58</w:t>
        </w:r>
      </w:hyperlink>
      <w:r>
        <w:rPr>
          <w:rFonts w:ascii="arial" w:eastAsia="arial" w:hAnsi="arial" w:cs="arial"/>
          <w:color w:val="000000"/>
          <w:sz w:val="20"/>
          <w:lang w:val="en-US" w:eastAsia="en-US" w:bidi="ar-SA"/>
        </w:rPr>
        <w:t xml:space="preserve"> at para. 78.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In cases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law requires a causal link between an act or omission and the harm suffered by the plaintiff. The onus is on the plaintiff to prove that: (i) the defendant was the "cause in fact" of the harm suffered, and (ii) that "but for" the defendant's wrongful act, the plaintiff's loss would not have occurred. This second component is a remoteness analysis. See </w:t>
      </w:r>
      <w:r>
        <w:rPr>
          <w:rFonts w:ascii="arial" w:eastAsia="arial" w:hAnsi="arial" w:cs="arial"/>
          <w:i/>
          <w:color w:val="000000"/>
          <w:sz w:val="20"/>
          <w:lang w:val="en-US" w:eastAsia="en-US" w:bidi="ar-SA"/>
        </w:rPr>
        <w:t>Brewster</w:t>
      </w:r>
      <w:r>
        <w:rPr>
          <w:rFonts w:ascii="arial" w:eastAsia="arial" w:hAnsi="arial" w:cs="arial"/>
          <w:color w:val="000000"/>
          <w:sz w:val="20"/>
          <w:lang w:val="en-US" w:eastAsia="en-US" w:bidi="ar-SA"/>
        </w:rPr>
        <w:t xml:space="preserve"> at para. 77; </w:t>
      </w:r>
      <w:r>
        <w:rPr>
          <w:rFonts w:ascii="arial" w:eastAsia="arial" w:hAnsi="arial" w:cs="arial"/>
          <w:i/>
          <w:color w:val="000000"/>
          <w:sz w:val="20"/>
          <w:lang w:val="en-US" w:eastAsia="en-US" w:bidi="ar-SA"/>
        </w:rPr>
        <w:t>Hussack v. Chilliwack School District No. 33</w:t>
      </w:r>
      <w:r>
        <w:rPr>
          <w:rFonts w:ascii="arial" w:eastAsia="arial" w:hAnsi="arial" w:cs="arial"/>
          <w:color w:val="000000"/>
          <w:sz w:val="20"/>
          <w:lang w:val="en-US" w:eastAsia="en-US" w:bidi="ar-SA"/>
        </w:rPr>
        <w:t xml:space="preserve">, </w:t>
      </w:r>
      <w:hyperlink r:id="rId76" w:history="1">
        <w:r>
          <w:rPr>
            <w:rFonts w:ascii="arial" w:eastAsia="arial" w:hAnsi="arial" w:cs="arial"/>
            <w:i/>
            <w:color w:val="0077CC"/>
            <w:sz w:val="20"/>
            <w:u w:val="single"/>
            <w:shd w:val="clear" w:color="auto" w:fill="FFFFFF"/>
            <w:lang w:val="en-US" w:eastAsia="en-US" w:bidi="ar-SA"/>
          </w:rPr>
          <w:t>2011 BCCA 258</w:t>
        </w:r>
      </w:hyperlink>
      <w:r>
        <w:rPr>
          <w:rFonts w:ascii="arial" w:eastAsia="arial" w:hAnsi="arial" w:cs="arial"/>
          <w:color w:val="000000"/>
          <w:sz w:val="20"/>
          <w:lang w:val="en-US" w:eastAsia="en-US" w:bidi="ar-SA"/>
        </w:rPr>
        <w:t xml:space="preserve"> at para. 54.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The primary test for causation in Canada is the "but-for" test: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77"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xml:space="preserve"> at paras. 21-22; </w:t>
      </w:r>
      <w:r>
        <w:rPr>
          <w:rFonts w:ascii="arial" w:eastAsia="arial" w:hAnsi="arial" w:cs="arial"/>
          <w:i/>
          <w:color w:val="000000"/>
          <w:sz w:val="20"/>
          <w:lang w:val="en-US" w:eastAsia="en-US" w:bidi="ar-SA"/>
        </w:rPr>
        <w:t>Clements (Litigation Guardian of) v. Clements</w:t>
      </w:r>
      <w:r>
        <w:rPr>
          <w:rFonts w:ascii="arial" w:eastAsia="arial" w:hAnsi="arial" w:cs="arial"/>
          <w:color w:val="000000"/>
          <w:sz w:val="20"/>
          <w:lang w:val="en-US" w:eastAsia="en-US" w:bidi="ar-SA"/>
        </w:rPr>
        <w:t xml:space="preserve">, </w:t>
      </w:r>
      <w:hyperlink r:id="rId11" w:history="1">
        <w:r>
          <w:rPr>
            <w:rFonts w:ascii="arial" w:eastAsia="arial" w:hAnsi="arial" w:cs="arial"/>
            <w:i/>
            <w:color w:val="0077CC"/>
            <w:sz w:val="20"/>
            <w:u w:val="single"/>
            <w:shd w:val="clear" w:color="auto" w:fill="FFFFFF"/>
            <w:lang w:val="en-US" w:eastAsia="en-US" w:bidi="ar-SA"/>
          </w:rPr>
          <w:t>2012 SCC 32</w:t>
        </w:r>
      </w:hyperlink>
      <w:r>
        <w:rPr>
          <w:rFonts w:ascii="arial" w:eastAsia="arial" w:hAnsi="arial" w:cs="arial"/>
          <w:color w:val="000000"/>
          <w:sz w:val="20"/>
          <w:lang w:val="en-US" w:eastAsia="en-US" w:bidi="ar-SA"/>
        </w:rPr>
        <w:t xml:space="preserve"> at para. 8. To determine whether the defendant caused an injury, the trier of fact asks if the injury would have resulted but for the action of the defendant.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3"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466. If a substantial connection is made, the defendant is liable to the plaintiff for the whole of the losses flowing from the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The losses that flow from an injury are those that the plaintiff proves would not have occurred but for the injury (caused by the defendant): </w:t>
      </w:r>
      <w:r>
        <w:rPr>
          <w:rFonts w:ascii="arial" w:eastAsia="arial" w:hAnsi="arial" w:cs="arial"/>
          <w:i/>
          <w:color w:val="000000"/>
          <w:sz w:val="20"/>
          <w:lang w:val="en-US" w:eastAsia="en-US" w:bidi="ar-SA"/>
        </w:rPr>
        <w:t>Brewster</w:t>
      </w:r>
      <w:r>
        <w:rPr>
          <w:rFonts w:ascii="arial" w:eastAsia="arial" w:hAnsi="arial" w:cs="arial"/>
          <w:color w:val="000000"/>
          <w:sz w:val="20"/>
          <w:lang w:val="en-US" w:eastAsia="en-US" w:bidi="ar-SA"/>
        </w:rPr>
        <w:t xml:space="preserve"> at para. 82; </w:t>
      </w:r>
      <w:r>
        <w:rPr>
          <w:rFonts w:ascii="arial" w:eastAsia="arial" w:hAnsi="arial" w:cs="arial"/>
          <w:i/>
          <w:color w:val="000000"/>
          <w:sz w:val="20"/>
          <w:lang w:val="en-US" w:eastAsia="en-US" w:bidi="ar-SA"/>
        </w:rPr>
        <w:t>Blackwater</w:t>
      </w:r>
      <w:r>
        <w:rPr>
          <w:rFonts w:ascii="arial" w:eastAsia="arial" w:hAnsi="arial" w:cs="arial"/>
          <w:color w:val="000000"/>
          <w:sz w:val="20"/>
          <w:lang w:val="en-US" w:eastAsia="en-US" w:bidi="ar-SA"/>
        </w:rPr>
        <w:t xml:space="preserve"> at para. 78.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In special circumstances, the "but for" test proves unworkable, and the law has applied a "material contribution" test. Application of the "material contribution" test has two requirements: (i) for reasons outside of the plaintiff's control it is impossible to prove that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the injury using the "but-for" test, and (ii) the defendant breached a duty of care owed the plaintiff, thereby exposing the plaintiff to an unreasonable risk of injury, and the injury falls within the ambit of the risk created: </w:t>
      </w:r>
      <w:r>
        <w:rPr>
          <w:rFonts w:ascii="arial" w:eastAsia="arial" w:hAnsi="arial" w:cs="arial"/>
          <w:i/>
          <w:color w:val="000000"/>
          <w:sz w:val="20"/>
          <w:lang w:val="en-US" w:eastAsia="en-US" w:bidi="ar-SA"/>
        </w:rPr>
        <w:t>Resurfice Corp.</w:t>
      </w:r>
      <w:r>
        <w:rPr>
          <w:rFonts w:ascii="arial" w:eastAsia="arial" w:hAnsi="arial" w:cs="arial"/>
          <w:color w:val="000000"/>
          <w:sz w:val="20"/>
          <w:lang w:val="en-US" w:eastAsia="en-US" w:bidi="ar-SA"/>
        </w:rPr>
        <w:t xml:space="preserve"> at paras. 24-28.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In these circumstances, a "but for" analysis is appropriate. As noted above, the plaintiff must establish causation for both injury </w:t>
      </w:r>
      <w:r>
        <w:rPr>
          <w:rFonts w:ascii="arial" w:eastAsia="arial" w:hAnsi="arial" w:cs="arial"/>
          <w:i/>
          <w:color w:val="000000"/>
          <w:sz w:val="20"/>
          <w:lang w:val="en-US" w:eastAsia="en-US" w:bidi="ar-SA"/>
        </w:rPr>
        <w:t>and</w:t>
      </w:r>
      <w:r>
        <w:rPr>
          <w:rFonts w:ascii="arial" w:eastAsia="arial" w:hAnsi="arial" w:cs="arial"/>
          <w:color w:val="000000"/>
          <w:sz w:val="20"/>
          <w:lang w:val="en-US" w:eastAsia="en-US" w:bidi="ar-SA"/>
        </w:rPr>
        <w:t xml:space="preserve"> loss: </w:t>
      </w:r>
      <w:r>
        <w:rPr>
          <w:rFonts w:ascii="arial" w:eastAsia="arial" w:hAnsi="arial" w:cs="arial"/>
          <w:i/>
          <w:color w:val="000000"/>
          <w:sz w:val="20"/>
          <w:lang w:val="en-US" w:eastAsia="en-US" w:bidi="ar-SA"/>
        </w:rPr>
        <w:t>Brewster</w:t>
      </w:r>
      <w:r>
        <w:rPr>
          <w:rFonts w:ascii="arial" w:eastAsia="arial" w:hAnsi="arial" w:cs="arial"/>
          <w:color w:val="000000"/>
          <w:sz w:val="20"/>
          <w:lang w:val="en-US" w:eastAsia="en-US" w:bidi="ar-SA"/>
        </w:rPr>
        <w:t xml:space="preserve"> at para. 78. In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78" w:history="1">
        <w:r>
          <w:rPr>
            <w:rFonts w:ascii="arial" w:eastAsia="arial" w:hAnsi="arial" w:cs="arial"/>
            <w:i/>
            <w:color w:val="0077CC"/>
            <w:sz w:val="20"/>
            <w:u w:val="single"/>
            <w:shd w:val="clear" w:color="auto" w:fill="FFFFFF"/>
            <w:lang w:val="en-US" w:eastAsia="en-US" w:bidi="ar-SA"/>
          </w:rPr>
          <w:t>2001 BCSC 997</w:t>
        </w:r>
      </w:hyperlink>
      <w:r>
        <w:rPr>
          <w:rFonts w:ascii="arial" w:eastAsia="arial" w:hAnsi="arial" w:cs="arial"/>
          <w:color w:val="000000"/>
          <w:sz w:val="20"/>
          <w:lang w:val="en-US" w:eastAsia="en-US" w:bidi="ar-SA"/>
        </w:rPr>
        <w:t xml:space="preserve"> at para. 364, Chief Justice Brenner, as he then was, described the difference between "injury" and "loss" 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"injury" refers to the initial physical or mental impairment of the plaintiff's person as a result of the [defendant's act], while "loss" refers to the pecuniary or non-pecuniary consequences of that impairment.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In proving both an injury </w:t>
      </w:r>
      <w:r>
        <w:rPr>
          <w:rFonts w:ascii="arial" w:eastAsia="arial" w:hAnsi="arial" w:cs="arial"/>
          <w:i/>
          <w:color w:val="000000"/>
          <w:sz w:val="20"/>
          <w:lang w:val="en-US" w:eastAsia="en-US" w:bidi="ar-SA"/>
        </w:rPr>
        <w:t>and</w:t>
      </w:r>
      <w:r>
        <w:rPr>
          <w:rFonts w:ascii="arial" w:eastAsia="arial" w:hAnsi="arial" w:cs="arial"/>
          <w:color w:val="000000"/>
          <w:sz w:val="20"/>
          <w:lang w:val="en-US" w:eastAsia="en-US" w:bidi="ar-SA"/>
        </w:rPr>
        <w:t xml:space="preserve"> loss, the plaintiff must establish the existence of liability and then the extent of that liability: </w:t>
      </w:r>
      <w:r>
        <w:rPr>
          <w:rFonts w:ascii="arial" w:eastAsia="arial" w:hAnsi="arial" w:cs="arial"/>
          <w:i/>
          <w:color w:val="000000"/>
          <w:sz w:val="20"/>
          <w:lang w:val="en-US" w:eastAsia="en-US" w:bidi="ar-SA"/>
        </w:rPr>
        <w:t>Brewster</w:t>
      </w:r>
      <w:r>
        <w:rPr>
          <w:rFonts w:ascii="arial" w:eastAsia="arial" w:hAnsi="arial" w:cs="arial"/>
          <w:color w:val="000000"/>
          <w:sz w:val="20"/>
          <w:lang w:val="en-US" w:eastAsia="en-US" w:bidi="ar-SA"/>
        </w:rPr>
        <w:t xml:space="preserve"> at para. 80.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ml:space="preserve">  It is a basic principle of tort law that the plaintiff must be placed in the position he or she would have been in had the defendant's tortious act not occurred: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466; </w:t>
      </w:r>
      <w:r>
        <w:rPr>
          <w:rFonts w:ascii="arial" w:eastAsia="arial" w:hAnsi="arial" w:cs="arial"/>
          <w:i/>
          <w:color w:val="000000"/>
          <w:sz w:val="20"/>
          <w:lang w:val="en-US" w:eastAsia="en-US" w:bidi="ar-SA"/>
        </w:rPr>
        <w:t>Blackwater</w:t>
      </w:r>
      <w:r>
        <w:rPr>
          <w:rFonts w:ascii="arial" w:eastAsia="arial" w:hAnsi="arial" w:cs="arial"/>
          <w:color w:val="000000"/>
          <w:sz w:val="20"/>
          <w:lang w:val="en-US" w:eastAsia="en-US" w:bidi="ar-SA"/>
        </w:rPr>
        <w:t xml:space="preserve"> (SCC) at para. 81. The thin skull rule provides that a defendant must take his or her victim as they find them, even if the plaintiff's injuries are more severe than they would be for a normal person. However, the crumbling skull rule provides that the defendant need not compensate the plaintiff for any debilitating effects of a pre-existing condition which the plaintiff would have experienced whether or not injury was sustained by the defendant's tortious act. See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473.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The name "crumbling skull" doctrine can be misleading and it should not be assumed to contrast manifest and disabling conditions with latent conditions triggered by the tort: </w:t>
      </w:r>
      <w:r>
        <w:rPr>
          <w:rFonts w:ascii="arial" w:eastAsia="arial" w:hAnsi="arial" w:cs="arial"/>
          <w:i/>
          <w:color w:val="000000"/>
          <w:sz w:val="20"/>
          <w:lang w:val="en-US" w:eastAsia="en-US" w:bidi="ar-SA"/>
        </w:rPr>
        <w:t>T.W.N.A. v. Canada (Ministry of Indian Affairs) (sub nom A. (T.W.N.) v. Clarke)</w:t>
      </w:r>
      <w:r>
        <w:rPr>
          <w:rFonts w:ascii="arial" w:eastAsia="arial" w:hAnsi="arial" w:cs="arial"/>
          <w:color w:val="000000"/>
          <w:sz w:val="20"/>
          <w:lang w:val="en-US" w:eastAsia="en-US" w:bidi="ar-SA"/>
        </w:rPr>
        <w:t xml:space="preserve">, </w:t>
      </w:r>
      <w:hyperlink r:id="rId79" w:history="1">
        <w:r>
          <w:rPr>
            <w:rFonts w:ascii="arial" w:eastAsia="arial" w:hAnsi="arial" w:cs="arial"/>
            <w:i/>
            <w:color w:val="0077CC"/>
            <w:sz w:val="20"/>
            <w:u w:val="single"/>
            <w:shd w:val="clear" w:color="auto" w:fill="FFFFFF"/>
            <w:lang w:val="en-US" w:eastAsia="en-US" w:bidi="ar-SA"/>
          </w:rPr>
          <w:t>2003 BCCA 670</w:t>
        </w:r>
      </w:hyperlink>
      <w:r>
        <w:rPr>
          <w:rFonts w:ascii="arial" w:eastAsia="arial" w:hAnsi="arial" w:cs="arial"/>
          <w:color w:val="000000"/>
          <w:sz w:val="20"/>
          <w:lang w:val="en-US" w:eastAsia="en-US" w:bidi="ar-SA"/>
        </w:rPr>
        <w:t xml:space="preserve"> at para. 26. In </w:t>
      </w:r>
      <w:r>
        <w:rPr>
          <w:rFonts w:ascii="arial" w:eastAsia="arial" w:hAnsi="arial" w:cs="arial"/>
          <w:i/>
          <w:color w:val="000000"/>
          <w:sz w:val="20"/>
          <w:lang w:val="en-US" w:eastAsia="en-US" w:bidi="ar-SA"/>
        </w:rPr>
        <w:t>T.W.N.A.</w:t>
      </w:r>
      <w:r>
        <w:rPr>
          <w:rFonts w:ascii="arial" w:eastAsia="arial" w:hAnsi="arial" w:cs="arial"/>
          <w:color w:val="000000"/>
          <w:sz w:val="20"/>
          <w:lang w:val="en-US" w:eastAsia="en-US" w:bidi="ar-SA"/>
        </w:rPr>
        <w:t xml:space="preserve">, Smith J.A. for the Court of Appeal observed that both latent and active pre-existing conditions must be considered in assessing the plaintiff's original position and the difference between the two conditions only arises in the assessment of damages: paras. 29-30. See also </w:t>
      </w:r>
      <w:r>
        <w:rPr>
          <w:rFonts w:ascii="arial" w:eastAsia="arial" w:hAnsi="arial" w:cs="arial"/>
          <w:i/>
          <w:color w:val="000000"/>
          <w:sz w:val="20"/>
          <w:lang w:val="en-US" w:eastAsia="en-US" w:bidi="ar-SA"/>
        </w:rPr>
        <w:t>York v. Johnston</w:t>
      </w:r>
      <w:r>
        <w:rPr>
          <w:rFonts w:ascii="arial" w:eastAsia="arial" w:hAnsi="arial" w:cs="arial"/>
          <w:color w:val="000000"/>
          <w:sz w:val="20"/>
          <w:lang w:val="en-US" w:eastAsia="en-US" w:bidi="ar-SA"/>
        </w:rPr>
        <w:t xml:space="preserve"> </w:t>
      </w:r>
      <w:hyperlink r:id="rId80" w:history="1">
        <w:r>
          <w:rPr>
            <w:rFonts w:ascii="arial" w:eastAsia="arial" w:hAnsi="arial" w:cs="arial"/>
            <w:i/>
            <w:color w:val="0077CC"/>
            <w:sz w:val="20"/>
            <w:u w:val="single"/>
            <w:shd w:val="clear" w:color="auto" w:fill="FFFFFF"/>
            <w:lang w:val="en-US" w:eastAsia="en-US" w:bidi="ar-SA"/>
          </w:rPr>
          <w:t>(1997), 37 B.C.L.R. (3d) 235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Unrelated intervening events must be considered in the same manner as pre-existing conditions: </w:t>
      </w:r>
      <w:r>
        <w:rPr>
          <w:rFonts w:ascii="arial" w:eastAsia="arial" w:hAnsi="arial" w:cs="arial"/>
          <w:i/>
          <w:color w:val="000000"/>
          <w:sz w:val="20"/>
          <w:lang w:val="en-US" w:eastAsia="en-US" w:bidi="ar-SA"/>
        </w:rPr>
        <w:t>T.W.N.A.</w:t>
      </w:r>
      <w:r>
        <w:rPr>
          <w:rFonts w:ascii="arial" w:eastAsia="arial" w:hAnsi="arial" w:cs="arial"/>
          <w:color w:val="000000"/>
          <w:sz w:val="20"/>
          <w:lang w:val="en-US" w:eastAsia="en-US" w:bidi="ar-SA"/>
        </w:rPr>
        <w:t xml:space="preserve"> at para. 36.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Psychological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xml:space="preserve">  The principles to be applied in assessing claims of psychological injury are set out in </w:t>
      </w:r>
      <w:r>
        <w:rPr>
          <w:rFonts w:ascii="arial" w:eastAsia="arial" w:hAnsi="arial" w:cs="arial"/>
          <w:i/>
          <w:color w:val="000000"/>
          <w:sz w:val="20"/>
          <w:lang w:val="en-US" w:eastAsia="en-US" w:bidi="ar-SA"/>
        </w:rPr>
        <w:t>Maslen</w:t>
      </w:r>
      <w:r>
        <w:rPr>
          <w:rFonts w:ascii="arial" w:eastAsia="arial" w:hAnsi="arial" w:cs="arial"/>
          <w:color w:val="000000"/>
          <w:sz w:val="20"/>
          <w:lang w:val="en-US" w:eastAsia="en-US" w:bidi="ar-SA"/>
        </w:rPr>
        <w:t xml:space="preserve"> at 133-135 and summarized in </w:t>
      </w:r>
      <w:r>
        <w:rPr>
          <w:rFonts w:ascii="arial" w:eastAsia="arial" w:hAnsi="arial" w:cs="arial"/>
          <w:i/>
          <w:color w:val="000000"/>
          <w:sz w:val="20"/>
          <w:lang w:val="en-US" w:eastAsia="en-US" w:bidi="ar-SA"/>
        </w:rPr>
        <w:t>Yoshikawa v. Yu</w:t>
      </w:r>
      <w:r>
        <w:rPr>
          <w:rFonts w:ascii="arial" w:eastAsia="arial" w:hAnsi="arial" w:cs="arial"/>
          <w:color w:val="000000"/>
          <w:sz w:val="20"/>
          <w:lang w:val="en-US" w:eastAsia="en-US" w:bidi="ar-SA"/>
        </w:rPr>
        <w:t xml:space="preserve">, </w:t>
      </w:r>
      <w:hyperlink r:id="rId81" w:history="1">
        <w:r>
          <w:rPr>
            <w:rFonts w:ascii="arial" w:eastAsia="arial" w:hAnsi="arial" w:cs="arial"/>
            <w:i/>
            <w:color w:val="0077CC"/>
            <w:sz w:val="20"/>
            <w:u w:val="single"/>
            <w:shd w:val="clear" w:color="auto" w:fill="FFFFFF"/>
            <w:lang w:val="en-US" w:eastAsia="en-US" w:bidi="ar-SA"/>
          </w:rPr>
          <w:t>[1996] 21 B.C.L.R. (3d) 318</w:t>
        </w:r>
      </w:hyperlink>
      <w:r>
        <w:rPr>
          <w:rFonts w:ascii="arial" w:eastAsia="arial" w:hAnsi="arial" w:cs="arial"/>
          <w:color w:val="000000"/>
          <w:sz w:val="20"/>
          <w:lang w:val="en-US" w:eastAsia="en-US" w:bidi="ar-SA"/>
        </w:rPr>
        <w:t xml:space="preserve"> at 325-326 (C.A.). They are:</w:t>
      </w:r>
      <w:r>
        <w:rPr>
          <w:rFonts w:ascii="arial" w:eastAsia="arial" w:hAnsi="arial" w:cs="arial"/>
          <w:sz w:val="20"/>
          <w:lang w:val="en-US" w:eastAsia="en-US" w:bidi="ar-SA"/>
        </w:rPr>
        <w:cr/>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pain, discomfort, or weakness must be genuine;</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psychological problems must have their cause in the defendant's wrongful act and not be rooted in desires for sympathy or compensation or be such that the plaintiff could be expected to overcome them through his or her inherent resources;</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psychological problems will be found to be subjective or internal if their existence or continuation stems from the plaintiff's desire for their existence or continuation;</w:t>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causation is not established unless the court can say whether the plaintiff really desired to be free of the psychological problems;</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identification of the symptoms as "chronic benign pain syndrome" does not resolve the questions of legal liability or the question of assessment of damages;</w:t>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unlikely expert opinion can resolve the ultimate questions on which these cases turn;</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psychological problems will attract damages where the psychological mechanism is beyond the plaintiff's power to control and was set in motion by the defendant's wrongful act; and</w:t>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evidence of psychological problems must be of a "convincing nature" but the plaintiff's own evidence, if consistent with the surrounding circumstances, may suffice for the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This list is not intended to be exhaustive: </w:t>
      </w:r>
      <w:r>
        <w:rPr>
          <w:rFonts w:ascii="arial" w:eastAsia="arial" w:hAnsi="arial" w:cs="arial"/>
          <w:i/>
          <w:color w:val="000000"/>
          <w:sz w:val="20"/>
          <w:lang w:val="en-US" w:eastAsia="en-US" w:bidi="ar-SA"/>
        </w:rPr>
        <w:t>Yoshikawa</w:t>
      </w:r>
      <w:r>
        <w:rPr>
          <w:rFonts w:ascii="arial" w:eastAsia="arial" w:hAnsi="arial" w:cs="arial"/>
          <w:color w:val="000000"/>
          <w:sz w:val="20"/>
          <w:lang w:val="en-US" w:eastAsia="en-US" w:bidi="ar-SA"/>
        </w:rPr>
        <w:t xml:space="preserve"> at 326.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When determining whether or not a psychological injury has occurred, some expert medical evidence is necessary. The trier of fact should not rely only on a plaintiff's own perception of disability: </w:t>
      </w:r>
      <w:r>
        <w:rPr>
          <w:rFonts w:ascii="arial" w:eastAsia="arial" w:hAnsi="arial" w:cs="arial"/>
          <w:i/>
          <w:color w:val="000000"/>
          <w:sz w:val="20"/>
          <w:lang w:val="en-US" w:eastAsia="en-US" w:bidi="ar-SA"/>
        </w:rPr>
        <w:t>D.E. v. Unum Life Insurance Co. of America</w:t>
      </w:r>
      <w:r>
        <w:rPr>
          <w:rFonts w:ascii="arial" w:eastAsia="arial" w:hAnsi="arial" w:cs="arial"/>
          <w:color w:val="000000"/>
          <w:sz w:val="20"/>
          <w:lang w:val="en-US" w:eastAsia="en-US" w:bidi="ar-SA"/>
        </w:rPr>
        <w:t xml:space="preserve">, </w:t>
      </w:r>
      <w:hyperlink r:id="rId82" w:history="1">
        <w:r>
          <w:rPr>
            <w:rFonts w:ascii="arial" w:eastAsia="arial" w:hAnsi="arial" w:cs="arial"/>
            <w:i/>
            <w:color w:val="0077CC"/>
            <w:sz w:val="20"/>
            <w:u w:val="single"/>
            <w:shd w:val="clear" w:color="auto" w:fill="FFFFFF"/>
            <w:lang w:val="en-US" w:eastAsia="en-US" w:bidi="ar-SA"/>
          </w:rPr>
          <w:t>1999 BCCA 507</w:t>
        </w:r>
      </w:hyperlink>
      <w:r>
        <w:rPr>
          <w:rFonts w:ascii="arial" w:eastAsia="arial" w:hAnsi="arial" w:cs="arial"/>
          <w:color w:val="000000"/>
          <w:sz w:val="20"/>
          <w:lang w:val="en-US" w:eastAsia="en-US" w:bidi="ar-SA"/>
        </w:rPr>
        <w:t xml:space="preserve"> at para. 86.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Consideration should also be given to whether the plaintiff's pre-existing condition was caused by significant tortious, as opposed to non-tortious, factors. If the plaintiff's original position consisted of anxiety, depression, and stress related to a prior tortious cause then that must be taken into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xml:space="preserve">  To calculate damages owing where psychological injury is found, the Court of Appeal in </w:t>
      </w:r>
      <w:r>
        <w:rPr>
          <w:rFonts w:ascii="arial" w:eastAsia="arial" w:hAnsi="arial" w:cs="arial"/>
          <w:i/>
          <w:color w:val="000000"/>
          <w:sz w:val="20"/>
          <w:lang w:val="en-US" w:eastAsia="en-US" w:bidi="ar-SA"/>
        </w:rPr>
        <w:t>Perdomo-Flores v. Gurney</w:t>
      </w:r>
      <w:r>
        <w:rPr>
          <w:rFonts w:ascii="arial" w:eastAsia="arial" w:hAnsi="arial" w:cs="arial"/>
          <w:color w:val="000000"/>
          <w:sz w:val="20"/>
          <w:lang w:val="en-US" w:eastAsia="en-US" w:bidi="ar-SA"/>
        </w:rPr>
        <w:t xml:space="preserve"> </w:t>
      </w:r>
      <w:hyperlink r:id="rId83" w:history="1">
        <w:r>
          <w:rPr>
            <w:rFonts w:ascii="arial" w:eastAsia="arial" w:hAnsi="arial" w:cs="arial"/>
            <w:i/>
            <w:color w:val="0077CC"/>
            <w:sz w:val="20"/>
            <w:u w:val="single"/>
            <w:shd w:val="clear" w:color="auto" w:fill="FFFFFF"/>
            <w:lang w:val="en-US" w:eastAsia="en-US" w:bidi="ar-SA"/>
          </w:rPr>
          <w:t>(1998), 49 B.C.L.R. (3d) 1</w:t>
        </w:r>
      </w:hyperlink>
      <w:r>
        <w:rPr>
          <w:rFonts w:ascii="arial" w:eastAsia="arial" w:hAnsi="arial" w:cs="arial"/>
          <w:color w:val="000000"/>
          <w:sz w:val="20"/>
          <w:lang w:val="en-US" w:eastAsia="en-US" w:bidi="ar-SA"/>
        </w:rPr>
        <w:t xml:space="preserve"> at 3 (C.A.) held: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the plaintiff would never have suffered the problems if the accident had not occurred, or if he or she would have suffered some problems if the accident had not occurred but those problems would have been less irksome, or would have been deferred, then the plaintiff is entitled to recover damages either measured by the entire loss caused by the psychological problems if they would not have occurred at all but for the accident, or measured by the increase in the psychological problems where some psychological problems would have occurred in any event but an increase in the psychological difficulties experienced by the plaintiff, either in intensity or in time of occurrence, was brought about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xml:space="preserve">  Any question of mitigation can only arise after causation has been established. If it is established that the psychological injury was caused by the unlawful conduct of the defendant and mitigation issues are raised, the court must decide whether the defendant has established that by following advice which the plaintiff received or ought to have obtained, the plaintiff could have overcome the problem, or could in the future overcome it: </w:t>
      </w:r>
      <w:r>
        <w:rPr>
          <w:rFonts w:ascii="arial" w:eastAsia="arial" w:hAnsi="arial" w:cs="arial"/>
          <w:i/>
          <w:color w:val="000000"/>
          <w:sz w:val="20"/>
          <w:lang w:val="en-US" w:eastAsia="en-US" w:bidi="ar-SA"/>
        </w:rPr>
        <w:t>Maslen</w:t>
      </w:r>
      <w:r>
        <w:rPr>
          <w:rFonts w:ascii="arial" w:eastAsia="arial" w:hAnsi="arial" w:cs="arial"/>
          <w:color w:val="000000"/>
          <w:sz w:val="20"/>
          <w:lang w:val="en-US" w:eastAsia="en-US" w:bidi="ar-SA"/>
        </w:rPr>
        <w:t xml:space="preserve"> at 135.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9"/>
        <w:gridCol w:w="826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VII:</w:t>
            </w:r>
          </w:p>
        </w:tc>
        <w:tc>
          <w:tcPr>
            <w:tcW w:w="809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DUTY TO MITIGATE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Prior to setting out my findings of fact and assessing the plaintiff's damages, I will deal with the defendants' submissions that the plaintiff has failed to mitigate his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The defendants submit that the plaintiff failed to seek appropriate treatment in a timely fashion, in particular psychological counselling including cognitive behavioral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xml:space="preserve">  A plaintiff has an obligation to take all reasonable measures to reduce his or her loss, including undergoing treatment to alleviate or cure injuries: </w:t>
      </w:r>
      <w:r>
        <w:rPr>
          <w:rFonts w:ascii="arial" w:eastAsia="arial" w:hAnsi="arial" w:cs="arial"/>
          <w:i/>
          <w:color w:val="000000"/>
          <w:sz w:val="20"/>
          <w:lang w:val="en-US" w:eastAsia="en-US" w:bidi="ar-SA"/>
        </w:rPr>
        <w:t>Danicek v. Alexander Holburn Beaudin &amp; Lang</w:t>
      </w:r>
      <w:r>
        <w:rPr>
          <w:rFonts w:ascii="arial" w:eastAsia="arial" w:hAnsi="arial" w:cs="arial"/>
          <w:color w:val="000000"/>
          <w:sz w:val="20"/>
          <w:lang w:val="en-US" w:eastAsia="en-US" w:bidi="ar-SA"/>
        </w:rPr>
        <w:t xml:space="preserve">, </w:t>
      </w:r>
      <w:hyperlink r:id="rId84" w:history="1">
        <w:r>
          <w:rPr>
            <w:rFonts w:ascii="arial" w:eastAsia="arial" w:hAnsi="arial" w:cs="arial"/>
            <w:i/>
            <w:color w:val="0077CC"/>
            <w:sz w:val="20"/>
            <w:u w:val="single"/>
            <w:shd w:val="clear" w:color="auto" w:fill="FFFFFF"/>
            <w:lang w:val="en-US" w:eastAsia="en-US" w:bidi="ar-SA"/>
          </w:rPr>
          <w:t>2010 BCSC 1111</w:t>
        </w:r>
      </w:hyperlink>
      <w:r>
        <w:rPr>
          <w:rFonts w:ascii="arial" w:eastAsia="arial" w:hAnsi="arial" w:cs="arial"/>
          <w:color w:val="000000"/>
          <w:sz w:val="20"/>
          <w:lang w:val="en-US" w:eastAsia="en-US" w:bidi="ar-SA"/>
        </w:rPr>
        <w:t xml:space="preserve"> at para. 234.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xml:space="preserve">  Once the plaintiff has proven the defendant's liability for his or her injuries, the defendant must prove that the plaintiff acted unreasonably and that reasonable conduct would have reduced or eliminated the loss. Whether the plaintiff acted reasonably is a factual question and it involves a consideration of all of the circumstances: </w:t>
      </w:r>
      <w:r>
        <w:rPr>
          <w:rFonts w:ascii="arial" w:eastAsia="arial" w:hAnsi="arial" w:cs="arial"/>
          <w:i/>
          <w:color w:val="000000"/>
          <w:sz w:val="20"/>
          <w:lang w:val="en-US" w:eastAsia="en-US" w:bidi="ar-SA"/>
        </w:rPr>
        <w:t>Gilbert v. Bottle</w:t>
      </w:r>
      <w:r>
        <w:rPr>
          <w:rFonts w:ascii="arial" w:eastAsia="arial" w:hAnsi="arial" w:cs="arial"/>
          <w:color w:val="000000"/>
          <w:sz w:val="20"/>
          <w:lang w:val="en-US" w:eastAsia="en-US" w:bidi="ar-SA"/>
        </w:rPr>
        <w:t xml:space="preserve">, </w:t>
      </w:r>
      <w:hyperlink r:id="rId85" w:history="1">
        <w:r>
          <w:rPr>
            <w:rFonts w:ascii="arial" w:eastAsia="arial" w:hAnsi="arial" w:cs="arial"/>
            <w:i/>
            <w:color w:val="0077CC"/>
            <w:sz w:val="20"/>
            <w:u w:val="single"/>
            <w:shd w:val="clear" w:color="auto" w:fill="FFFFFF"/>
            <w:lang w:val="en-US" w:eastAsia="en-US" w:bidi="ar-SA"/>
          </w:rPr>
          <w:t>2011 BCSC 1389</w:t>
        </w:r>
      </w:hyperlink>
      <w:r>
        <w:rPr>
          <w:rFonts w:ascii="arial" w:eastAsia="arial" w:hAnsi="arial" w:cs="arial"/>
          <w:color w:val="000000"/>
          <w:sz w:val="20"/>
          <w:lang w:val="en-US" w:eastAsia="en-US" w:bidi="ar-SA"/>
        </w:rPr>
        <w:t xml:space="preserve"> at para. 202.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xml:space="preserve">  The three elements to be proven by the defendants were set out in </w:t>
      </w:r>
      <w:r>
        <w:rPr>
          <w:rFonts w:ascii="arial" w:eastAsia="arial" w:hAnsi="arial" w:cs="arial"/>
          <w:i/>
          <w:color w:val="000000"/>
          <w:sz w:val="20"/>
          <w:lang w:val="en-US" w:eastAsia="en-US" w:bidi="ar-SA"/>
        </w:rPr>
        <w:t>Frers v. De Moulin</w:t>
      </w:r>
      <w:r>
        <w:rPr>
          <w:rFonts w:ascii="arial" w:eastAsia="arial" w:hAnsi="arial" w:cs="arial"/>
          <w:color w:val="000000"/>
          <w:sz w:val="20"/>
          <w:lang w:val="en-US" w:eastAsia="en-US" w:bidi="ar-SA"/>
        </w:rPr>
        <w:t xml:space="preserve">, </w:t>
      </w:r>
      <w:hyperlink r:id="rId86" w:history="1">
        <w:r>
          <w:rPr>
            <w:rFonts w:ascii="arial" w:eastAsia="arial" w:hAnsi="arial" w:cs="arial"/>
            <w:i/>
            <w:color w:val="0077CC"/>
            <w:sz w:val="20"/>
            <w:u w:val="single"/>
            <w:shd w:val="clear" w:color="auto" w:fill="FFFFFF"/>
            <w:lang w:val="en-US" w:eastAsia="en-US" w:bidi="ar-SA"/>
          </w:rPr>
          <w:t>2002 BCSC 408</w:t>
        </w:r>
      </w:hyperlink>
      <w:r>
        <w:rPr>
          <w:rFonts w:ascii="arial" w:eastAsia="arial" w:hAnsi="arial" w:cs="arial"/>
          <w:color w:val="000000"/>
          <w:sz w:val="20"/>
          <w:lang w:val="en-US" w:eastAsia="en-US" w:bidi="ar-SA"/>
        </w:rPr>
        <w:t xml:space="preserve"> at para. 217:</w:t>
      </w:r>
      <w:r>
        <w:rPr>
          <w:rFonts w:ascii="arial" w:eastAsia="arial" w:hAnsi="arial" w:cs="arial"/>
          <w:sz w:val="20"/>
          <w:lang w:val="en-US" w:eastAsia="en-US" w:bidi="ar-SA"/>
        </w:rPr>
        <w:cr/>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were steps that the plaintiff could have taken that might have avoided or reduced the loss;</w:t>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those steps were reasonable; and</w:t>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 by which those steps would have avoided or reduced the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See also </w:t>
      </w:r>
      <w:r>
        <w:rPr>
          <w:rFonts w:ascii="arial" w:eastAsia="arial" w:hAnsi="arial" w:cs="arial"/>
          <w:i/>
          <w:color w:val="000000"/>
          <w:sz w:val="20"/>
          <w:lang w:val="en-US" w:eastAsia="en-US" w:bidi="ar-SA"/>
        </w:rPr>
        <w:t>Chiu (Guardian ad litem of) v. Chiu</w:t>
      </w:r>
      <w:r>
        <w:rPr>
          <w:rFonts w:ascii="arial" w:eastAsia="arial" w:hAnsi="arial" w:cs="arial"/>
          <w:color w:val="000000"/>
          <w:sz w:val="20"/>
          <w:lang w:val="en-US" w:eastAsia="en-US" w:bidi="ar-SA"/>
        </w:rPr>
        <w:t xml:space="preserve">, </w:t>
      </w:r>
      <w:hyperlink r:id="rId87" w:history="1">
        <w:r>
          <w:rPr>
            <w:rFonts w:ascii="arial" w:eastAsia="arial" w:hAnsi="arial" w:cs="arial"/>
            <w:i/>
            <w:color w:val="0077CC"/>
            <w:sz w:val="20"/>
            <w:u w:val="single"/>
            <w:shd w:val="clear" w:color="auto" w:fill="FFFFFF"/>
            <w:lang w:val="en-US" w:eastAsia="en-US" w:bidi="ar-SA"/>
          </w:rPr>
          <w:t>2002 BCCA 618</w:t>
        </w:r>
      </w:hyperlink>
      <w:r>
        <w:rPr>
          <w:rFonts w:ascii="arial" w:eastAsia="arial" w:hAnsi="arial" w:cs="arial"/>
          <w:color w:val="000000"/>
          <w:sz w:val="20"/>
          <w:lang w:val="en-US" w:eastAsia="en-US" w:bidi="ar-SA"/>
        </w:rPr>
        <w:t xml:space="preserve"> at para. 57.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I find that the defendants have not established that the plaintiff failed to mitigate his damages. While it is true that Mr. Karim stopped attending counselling sessions with Mr. Lau in the fall of 2012, that was in the context of his returning to work which he, understandably, believed to be a positive development. In addition, he did follow recommendations insofar as resuming physical exercise was concerned. He also did receive some form of counselling while taking refresher courses at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It may well be that commencing a comprehensive rehabilitation plan within a year or so of the Accident would have achieved greater success in assisting the plaintiff's perception of his pain and its impact on his functioning. I will comment further on such a plan below when I consider the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However, insofar as mitigation is concerned, the defendants have not established that the plaintiff can be faulted in the manner in which he attempted to deal with his pain post-Accident.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VIII:</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FINDINGS OF FACT AND CONCLUSIONS ON THE EVIDENCE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When I apply the principles to which I have referred to the evidence in this case, I make the following findings of fact and reach certain conclusions:</w:t>
      </w:r>
      <w:r>
        <w:rPr>
          <w:rFonts w:ascii="arial" w:eastAsia="arial" w:hAnsi="arial" w:cs="arial"/>
          <w:sz w:val="20"/>
          <w:lang w:val="en-US" w:eastAsia="en-US" w:bidi="ar-SA"/>
        </w:rPr>
        <w:cr/>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prior to the Accident, Mr. Karim was a hard-working and industrious man who had overcome significant obstacles in his past. He was satisfied with his life both personally and professionally;</w:t>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Karim's "original position" included a significant difficulty with stuttering which, although considerably improved from what it had been in the past, was in a fragile or vulnerable state. Had the Accident not occurred, regression was likely were he faced with stressful conditions either in his personal or vocational life;</w:t>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although I found the plaintiff generally to be credible, he has embellished certain events. For example, he advised Dr. Nader that the defendants' vehicle was travelling at approximately 80 kph when it struck him. Common sense leads to the conclusion that his vehicle would not have been drivable after the Accident had this been the case and that emergency vehicles would have attended the Accident scene, neither of which occurred. There are also examples of embellishment in his work and educational history;</w:t>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a tendency to see things in their worst light. Dr. Gouws characterized this as "pain catastrophization". This has resulted in the perception that he is much more disabled from a pain and functioning perspective than he is in reality;</w:t>
      </w:r>
    </w:p>
    <w:p>
      <w:pPr>
        <w:numPr>
          <w:numId w:val="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sustained moderate to moderately-severe soft tissue injuries in the Accident. He was essentially totally incapacitated from a physical perspective for a period of approximately one year and at intermittent times thereafter. As such, his condition, which includes psychological factors, does satisfy the criteria for "chronic pain" being pain that persists for more than six months. The psychological factors have had a significant negative effect on his ability to recover;</w:t>
      </w:r>
    </w:p>
    <w:p>
      <w:pPr>
        <w:numPr>
          <w:numId w:val="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despite the plaintiff's presentation and the history he has provided to the various professionals who have assessed him, he is capable of much more than what he perceives. I accept Dr. Gouws evidence in cross-examination to that effect;</w:t>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component of the plaintiff's perception of his inability to function may be his psychological makeup. He has, however, demonstrated the ability to overcome disability through his own resources or willpower. An example is his ability to control his stuttering to which I have referred above;</w:t>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 appropriate professional assistance including a further intensive course at Columbia together with a 16 session cognitive behavioural therapy program as recommended by Dr. Riar, Mr. Karim will largely return to his level of personal and professional functioning experienced prior to the Accident; and</w:t>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that regard, I accept Dr. Gouws' and Dr. Paramonoff's opinions which identified "catastrophization" and "confounding factors" as the main limitation to Mr. Karim's recovery. This is the basis for their recommendation that he obtain psychological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5"/>
        <w:gridCol w:w="836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IX:</w:t>
            </w:r>
          </w:p>
        </w:tc>
        <w:tc>
          <w:tcPr>
            <w:tcW w:w="819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ASSESSMENT OF DAMAGES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941"/>
        <w:gridCol w:w="784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9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A:</w:t>
            </w:r>
          </w:p>
        </w:tc>
        <w:tc>
          <w:tcPr>
            <w:tcW w:w="768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Introduction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The purpose of awarding damages in an action for tort is to compensate the injured party as completely as possible for the loss suffered as a result of the negligent action or inaction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Compensation is intended to return the plaintiff to his or her original position and there is no obligation on the defendant to put the plaintiff in a better condition than he or she was in: </w:t>
      </w:r>
      <w:r>
        <w:rPr>
          <w:rFonts w:ascii="arial" w:eastAsia="arial" w:hAnsi="arial" w:cs="arial"/>
          <w:i/>
          <w:color w:val="000000"/>
          <w:sz w:val="20"/>
          <w:lang w:val="en-US" w:eastAsia="en-US" w:bidi="ar-SA"/>
        </w:rPr>
        <w:t>Dhaliwal v. Tomelden</w:t>
      </w:r>
      <w:r>
        <w:rPr>
          <w:rFonts w:ascii="arial" w:eastAsia="arial" w:hAnsi="arial" w:cs="arial"/>
          <w:color w:val="000000"/>
          <w:sz w:val="20"/>
          <w:lang w:val="en-US" w:eastAsia="en-US" w:bidi="ar-SA"/>
        </w:rPr>
        <w:t xml:space="preserve">, </w:t>
      </w:r>
      <w:hyperlink r:id="rId88" w:history="1">
        <w:r>
          <w:rPr>
            <w:rFonts w:ascii="arial" w:eastAsia="arial" w:hAnsi="arial" w:cs="arial"/>
            <w:i/>
            <w:color w:val="0077CC"/>
            <w:sz w:val="20"/>
            <w:u w:val="single"/>
            <w:shd w:val="clear" w:color="auto" w:fill="FFFFFF"/>
            <w:lang w:val="en-US" w:eastAsia="en-US" w:bidi="ar-SA"/>
          </w:rPr>
          <w:t>2010 BCSC 612</w:t>
        </w:r>
      </w:hyperlink>
      <w:r>
        <w:rPr>
          <w:rFonts w:ascii="arial" w:eastAsia="arial" w:hAnsi="arial" w:cs="arial"/>
          <w:color w:val="000000"/>
          <w:sz w:val="20"/>
          <w:lang w:val="en-US" w:eastAsia="en-US" w:bidi="ar-SA"/>
        </w:rPr>
        <w:t xml:space="preserve"> at para. 148;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473-474.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xml:space="preserve">  A pre-existing condition is part of the plaintiff's original position: </w:t>
      </w:r>
      <w:r>
        <w:rPr>
          <w:rFonts w:ascii="arial" w:eastAsia="arial" w:hAnsi="arial" w:cs="arial"/>
          <w:i/>
          <w:color w:val="000000"/>
          <w:sz w:val="20"/>
          <w:lang w:val="en-US" w:eastAsia="en-US" w:bidi="ar-SA"/>
        </w:rPr>
        <w:t>T.W.N.A.</w:t>
      </w:r>
      <w:r>
        <w:rPr>
          <w:rFonts w:ascii="arial" w:eastAsia="arial" w:hAnsi="arial" w:cs="arial"/>
          <w:color w:val="000000"/>
          <w:sz w:val="20"/>
          <w:lang w:val="en-US" w:eastAsia="en-US" w:bidi="ar-SA"/>
        </w:rPr>
        <w:t xml:space="preserve"> at para. 28. Pre-existing weaknesses inherent in a plaintiff are contingencies that should be accounted for in the assessment of damages. It is not necessary that contingencies be proven to a certainty but rather that they are given weight according to their relative likelihood: </w:t>
      </w:r>
      <w:r>
        <w:rPr>
          <w:rFonts w:ascii="arial" w:eastAsia="arial" w:hAnsi="arial" w:cs="arial"/>
          <w:i/>
          <w:color w:val="000000"/>
          <w:sz w:val="20"/>
          <w:lang w:val="en-US" w:eastAsia="en-US" w:bidi="ar-SA"/>
        </w:rPr>
        <w:t>T.W.N.A.</w:t>
      </w:r>
      <w:r>
        <w:rPr>
          <w:rFonts w:ascii="arial" w:eastAsia="arial" w:hAnsi="arial" w:cs="arial"/>
          <w:color w:val="000000"/>
          <w:sz w:val="20"/>
          <w:lang w:val="en-US" w:eastAsia="en-US" w:bidi="ar-SA"/>
        </w:rPr>
        <w:t xml:space="preserve"> at para. 48.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It is within this context of legal principles and the findings of fact and conclusions on the evidence that I have made above that the plaintiff's damages should be assessed.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941"/>
        <w:gridCol w:w="784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9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B:</w:t>
            </w:r>
          </w:p>
        </w:tc>
        <w:tc>
          <w:tcPr>
            <w:tcW w:w="768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Non-pecuniary Damages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xml:space="preserve">  Non-pecuniary damages are awarded to compensate the plaintiff for pain, suffering, loss of enjoyment of life, and loss of amenities. The compensation awarded should be fair to all parties and fairness is measured against awards made in comparable cases. Such cases, though helpful, serve only as a rough guide as each case depends on its own unique facts: </w:t>
      </w:r>
      <w:r>
        <w:rPr>
          <w:rFonts w:ascii="arial" w:eastAsia="arial" w:hAnsi="arial" w:cs="arial"/>
          <w:i/>
          <w:color w:val="000000"/>
          <w:sz w:val="20"/>
          <w:lang w:val="en-US" w:eastAsia="en-US" w:bidi="ar-SA"/>
        </w:rPr>
        <w:t>Trites v. Penner</w:t>
      </w:r>
      <w:r>
        <w:rPr>
          <w:rFonts w:ascii="arial" w:eastAsia="arial" w:hAnsi="arial" w:cs="arial"/>
          <w:color w:val="000000"/>
          <w:sz w:val="20"/>
          <w:lang w:val="en-US" w:eastAsia="en-US" w:bidi="ar-SA"/>
        </w:rPr>
        <w:t xml:space="preserve">, </w:t>
      </w:r>
      <w:hyperlink r:id="rId89" w:history="1">
        <w:r>
          <w:rPr>
            <w:rFonts w:ascii="arial" w:eastAsia="arial" w:hAnsi="arial" w:cs="arial"/>
            <w:i/>
            <w:color w:val="0077CC"/>
            <w:sz w:val="20"/>
            <w:u w:val="single"/>
            <w:shd w:val="clear" w:color="auto" w:fill="FFFFFF"/>
            <w:lang w:val="en-US" w:eastAsia="en-US" w:bidi="ar-SA"/>
          </w:rPr>
          <w:t>2010 BCSC 882</w:t>
        </w:r>
      </w:hyperlink>
      <w:r>
        <w:rPr>
          <w:rFonts w:ascii="arial" w:eastAsia="arial" w:hAnsi="arial" w:cs="arial"/>
          <w:color w:val="000000"/>
          <w:sz w:val="20"/>
          <w:lang w:val="en-US" w:eastAsia="en-US" w:bidi="ar-SA"/>
        </w:rPr>
        <w:t xml:space="preserve"> at paras. 188-189.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xml:space="preserve">  The framework for the assessment of non-pecuniary damages was outlined by the Court of Appeal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14"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[46] The inexhaustive list of common factors cited in </w:t>
      </w:r>
      <w:r>
        <w:rPr>
          <w:rFonts w:ascii="arial" w:eastAsia="arial" w:hAnsi="arial" w:cs="arial"/>
          <w:i/>
          <w:color w:val="000000"/>
          <w:sz w:val="20"/>
          <w:lang w:val="en-US" w:eastAsia="en-US" w:bidi="ar-SA"/>
        </w:rPr>
        <w:t>Boyd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v. Harris</w:t>
      </w:r>
      <w:r>
        <w:rPr>
          <w:rFonts w:ascii="arial" w:eastAsia="arial" w:hAnsi="arial" w:cs="arial"/>
          <w:color w:val="000000"/>
          <w:sz w:val="20"/>
          <w:lang w:val="en-US" w:eastAsia="en-US" w:bidi="ar-SA"/>
        </w:rPr>
        <w:t xml:space="preserve">, </w:t>
      </w:r>
      <w:hyperlink r:id="rId15" w:history="1">
        <w:r>
          <w:rPr>
            <w:rFonts w:ascii="arial" w:eastAsia="arial" w:hAnsi="arial" w:cs="arial"/>
            <w:i/>
            <w:color w:val="0077CC"/>
            <w:sz w:val="20"/>
            <w:u w:val="single"/>
            <w:shd w:val="clear" w:color="auto" w:fill="FFFFFF"/>
            <w:lang w:val="en-US" w:eastAsia="en-US" w:bidi="ar-SA"/>
          </w:rPr>
          <w:t>2004 BCCA 146</w:t>
        </w:r>
      </w:hyperlink>
      <w:r>
        <w:rPr>
          <w:rFonts w:ascii="arial" w:eastAsia="arial" w:hAnsi="arial" w:cs="arial"/>
          <w:color w:val="000000"/>
          <w:sz w:val="20"/>
          <w:lang w:val="en-US" w:eastAsia="en-US" w:bidi="ar-SA"/>
        </w:rPr>
        <w:t>] that influence an award of non-pecuniary damages includes:</w:t>
      </w:r>
    </w:p>
    <w:p>
      <w:pPr>
        <w:numPr>
          <w:numId w:val="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age of the plaintiff;</w:t>
      </w:r>
    </w:p>
    <w:p>
      <w:pPr>
        <w:numPr>
          <w:numId w:val="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the injury;</w:t>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severity and duration of pain;</w:t>
      </w:r>
    </w:p>
    <w:p>
      <w:pPr>
        <w:numPr>
          <w:numId w:val="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disability;</w:t>
      </w:r>
    </w:p>
    <w:p>
      <w:pPr>
        <w:numPr>
          <w:numId w:val="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emotional suffering; and</w:t>
      </w:r>
    </w:p>
    <w:p>
      <w:pPr>
        <w:numPr>
          <w:numId w:val="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or impairment of life;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add the following factors, although they may arguably be subsumed in the above list:</w:t>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family, marital and social relationships;</w:t>
      </w:r>
    </w:p>
    <w:p>
      <w:pPr>
        <w:numPr>
          <w:numId w:val="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physical and mental abilities;</w:t>
      </w:r>
    </w:p>
    <w:p>
      <w:pPr>
        <w:numPr>
          <w:numId w:val="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lifestyle; and</w:t>
      </w:r>
    </w:p>
    <w:p>
      <w:pPr>
        <w:numPr>
          <w:numId w:val="7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stoicism (as a factor that should not, generally speaking, penalize the plaintiff): </w:t>
      </w:r>
      <w:r>
        <w:rPr>
          <w:rFonts w:ascii="arial" w:eastAsia="arial" w:hAnsi="arial" w:cs="arial"/>
          <w:i/>
          <w:color w:val="000000"/>
          <w:sz w:val="20"/>
          <w:lang w:val="en-US" w:eastAsia="en-US" w:bidi="ar-SA"/>
        </w:rPr>
        <w:t>Giang v. Clayton</w:t>
      </w:r>
      <w:r>
        <w:rPr>
          <w:rFonts w:ascii="arial" w:eastAsia="arial" w:hAnsi="arial" w:cs="arial"/>
          <w:color w:val="000000"/>
          <w:sz w:val="20"/>
          <w:lang w:val="en-US" w:eastAsia="en-US" w:bidi="ar-SA"/>
        </w:rPr>
        <w:t xml:space="preserve">, </w:t>
      </w:r>
      <w:hyperlink r:id="rId16" w:history="1">
        <w:r>
          <w:rPr>
            <w:rFonts w:ascii="arial" w:eastAsia="arial" w:hAnsi="arial" w:cs="arial"/>
            <w:i/>
            <w:color w:val="0077CC"/>
            <w:sz w:val="20"/>
            <w:u w:val="single"/>
            <w:shd w:val="clear" w:color="auto" w:fill="FFFFFF"/>
            <w:lang w:val="en-US" w:eastAsia="en-US" w:bidi="ar-SA"/>
          </w:rPr>
          <w:t>2005 BCCA 54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xml:space="preserve">  The assessment of non-pecuniary damages is necessarily influenced by the individual plaintiff's personal experiences in dealing with his or her injuries and their consequences and ability to articulate that: </w:t>
      </w:r>
      <w:r>
        <w:rPr>
          <w:rFonts w:ascii="arial" w:eastAsia="arial" w:hAnsi="arial" w:cs="arial"/>
          <w:i/>
          <w:color w:val="000000"/>
          <w:sz w:val="20"/>
          <w:lang w:val="en-US" w:eastAsia="en-US" w:bidi="ar-SA"/>
        </w:rPr>
        <w:t>Dilello v. Montgomery</w:t>
      </w:r>
      <w:r>
        <w:rPr>
          <w:rFonts w:ascii="arial" w:eastAsia="arial" w:hAnsi="arial" w:cs="arial"/>
          <w:color w:val="000000"/>
          <w:sz w:val="20"/>
          <w:lang w:val="en-US" w:eastAsia="en-US" w:bidi="ar-SA"/>
        </w:rPr>
        <w:t xml:space="preserve">, </w:t>
      </w:r>
      <w:hyperlink r:id="rId90" w:history="1">
        <w:r>
          <w:rPr>
            <w:rFonts w:ascii="arial" w:eastAsia="arial" w:hAnsi="arial" w:cs="arial"/>
            <w:i/>
            <w:color w:val="0077CC"/>
            <w:sz w:val="20"/>
            <w:u w:val="single"/>
            <w:shd w:val="clear" w:color="auto" w:fill="FFFFFF"/>
            <w:lang w:val="en-US" w:eastAsia="en-US" w:bidi="ar-SA"/>
          </w:rPr>
          <w:t>2005 BCCA 56</w:t>
        </w:r>
      </w:hyperlink>
      <w:r>
        <w:rPr>
          <w:rFonts w:ascii="arial" w:eastAsia="arial" w:hAnsi="arial" w:cs="arial"/>
          <w:color w:val="000000"/>
          <w:sz w:val="20"/>
          <w:lang w:val="en-US" w:eastAsia="en-US" w:bidi="ar-SA"/>
        </w:rPr>
        <w:t xml:space="preserve"> at para.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xml:space="preserve">  Further, as mentioned above, care should be taken where there is little objective evidence of continuing injury and when complaints persist well-beyond the usual recovery period: </w:t>
      </w:r>
      <w:r>
        <w:rPr>
          <w:rFonts w:ascii="arial" w:eastAsia="arial" w:hAnsi="arial" w:cs="arial"/>
          <w:i/>
          <w:color w:val="000000"/>
          <w:sz w:val="20"/>
          <w:lang w:val="en-US" w:eastAsia="en-US" w:bidi="ar-SA"/>
        </w:rPr>
        <w:t>Price</w:t>
      </w:r>
      <w:r>
        <w:rPr>
          <w:rFonts w:ascii="arial" w:eastAsia="arial" w:hAnsi="arial" w:cs="arial"/>
          <w:color w:val="000000"/>
          <w:sz w:val="20"/>
          <w:lang w:val="en-US" w:eastAsia="en-US" w:bidi="ar-SA"/>
        </w:rPr>
        <w:t xml:space="preserve"> at 399.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See </w:t>
      </w:r>
      <w:r>
        <w:rPr>
          <w:rFonts w:ascii="arial" w:eastAsia="arial" w:hAnsi="arial" w:cs="arial"/>
          <w:i/>
          <w:color w:val="000000"/>
          <w:sz w:val="20"/>
          <w:lang w:val="en-US" w:eastAsia="en-US" w:bidi="ar-SA"/>
        </w:rPr>
        <w:t>Jackson v. Jeffries</w:t>
      </w:r>
      <w:r>
        <w:rPr>
          <w:rFonts w:ascii="arial" w:eastAsia="arial" w:hAnsi="arial" w:cs="arial"/>
          <w:color w:val="000000"/>
          <w:sz w:val="20"/>
          <w:lang w:val="en-US" w:eastAsia="en-US" w:bidi="ar-SA"/>
        </w:rPr>
        <w:t xml:space="preserve">, </w:t>
      </w:r>
      <w:hyperlink r:id="rId91" w:history="1">
        <w:r>
          <w:rPr>
            <w:rFonts w:ascii="arial" w:eastAsia="arial" w:hAnsi="arial" w:cs="arial"/>
            <w:i/>
            <w:color w:val="0077CC"/>
            <w:sz w:val="20"/>
            <w:u w:val="single"/>
            <w:shd w:val="clear" w:color="auto" w:fill="FFFFFF"/>
            <w:lang w:val="en-US" w:eastAsia="en-US" w:bidi="ar-SA"/>
          </w:rPr>
          <w:t>2012 BCSC 814</w:t>
        </w:r>
      </w:hyperlink>
      <w:r>
        <w:rPr>
          <w:rFonts w:ascii="arial" w:eastAsia="arial" w:hAnsi="arial" w:cs="arial"/>
          <w:color w:val="000000"/>
          <w:sz w:val="20"/>
          <w:lang w:val="en-US" w:eastAsia="en-US" w:bidi="ar-SA"/>
        </w:rPr>
        <w:t xml:space="preserve"> at paras. 77-79; </w:t>
      </w:r>
      <w:r>
        <w:rPr>
          <w:rFonts w:ascii="arial" w:eastAsia="arial" w:hAnsi="arial" w:cs="arial"/>
          <w:i/>
          <w:color w:val="000000"/>
          <w:sz w:val="20"/>
          <w:lang w:val="en-US" w:eastAsia="en-US" w:bidi="ar-SA"/>
        </w:rPr>
        <w:t>Mirsaeidi v. Coleman</w:t>
      </w:r>
      <w:r>
        <w:rPr>
          <w:rFonts w:ascii="arial" w:eastAsia="arial" w:hAnsi="arial" w:cs="arial"/>
          <w:color w:val="000000"/>
          <w:sz w:val="20"/>
          <w:lang w:val="en-US" w:eastAsia="en-US" w:bidi="ar-SA"/>
        </w:rPr>
        <w:t xml:space="preserve">, </w:t>
      </w:r>
      <w:hyperlink r:id="rId92" w:history="1">
        <w:r>
          <w:rPr>
            <w:rFonts w:ascii="arial" w:eastAsia="arial" w:hAnsi="arial" w:cs="arial"/>
            <w:i/>
            <w:color w:val="0077CC"/>
            <w:sz w:val="20"/>
            <w:u w:val="single"/>
            <w:shd w:val="clear" w:color="auto" w:fill="FFFFFF"/>
            <w:lang w:val="en-US" w:eastAsia="en-US" w:bidi="ar-SA"/>
          </w:rPr>
          <w:t>2014 BCSC 415</w:t>
        </w:r>
      </w:hyperlink>
      <w:r>
        <w:rPr>
          <w:rFonts w:ascii="arial" w:eastAsia="arial" w:hAnsi="arial" w:cs="arial"/>
          <w:color w:val="000000"/>
          <w:sz w:val="20"/>
          <w:lang w:val="en-US" w:eastAsia="en-US" w:bidi="ar-SA"/>
        </w:rPr>
        <w:t xml:space="preserve"> at paras. 60-62; </w:t>
      </w:r>
      <w:r>
        <w:rPr>
          <w:rFonts w:ascii="arial" w:eastAsia="arial" w:hAnsi="arial" w:cs="arial"/>
          <w:i/>
          <w:color w:val="000000"/>
          <w:sz w:val="20"/>
          <w:lang w:val="en-US" w:eastAsia="en-US" w:bidi="ar-SA"/>
        </w:rPr>
        <w:t>Hodgson v. Saeed</w:t>
      </w:r>
      <w:r>
        <w:rPr>
          <w:rFonts w:ascii="arial" w:eastAsia="arial" w:hAnsi="arial" w:cs="arial"/>
          <w:color w:val="000000"/>
          <w:sz w:val="20"/>
          <w:lang w:val="en-US" w:eastAsia="en-US" w:bidi="ar-SA"/>
        </w:rPr>
        <w:t xml:space="preserve">, </w:t>
      </w:r>
      <w:hyperlink r:id="rId93" w:history="1">
        <w:r>
          <w:rPr>
            <w:rFonts w:ascii="arial" w:eastAsia="arial" w:hAnsi="arial" w:cs="arial"/>
            <w:i/>
            <w:color w:val="0077CC"/>
            <w:sz w:val="20"/>
            <w:u w:val="single"/>
            <w:shd w:val="clear" w:color="auto" w:fill="FFFFFF"/>
            <w:lang w:val="en-US" w:eastAsia="en-US" w:bidi="ar-SA"/>
          </w:rPr>
          <w:t>2015 BCSC 147</w:t>
        </w:r>
      </w:hyperlink>
      <w:r>
        <w:rPr>
          <w:rFonts w:ascii="arial" w:eastAsia="arial" w:hAnsi="arial" w:cs="arial"/>
          <w:color w:val="000000"/>
          <w:sz w:val="20"/>
          <w:lang w:val="en-US" w:eastAsia="en-US" w:bidi="ar-SA"/>
        </w:rPr>
        <w:t xml:space="preserve"> at paras. 99-101.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xml:space="preserve">  The plaintiff relies on </w:t>
      </w:r>
      <w:r>
        <w:rPr>
          <w:rFonts w:ascii="arial" w:eastAsia="arial" w:hAnsi="arial" w:cs="arial"/>
          <w:i/>
          <w:color w:val="000000"/>
          <w:sz w:val="20"/>
          <w:lang w:val="en-US" w:eastAsia="en-US" w:bidi="ar-SA"/>
        </w:rPr>
        <w:t>Morena v. Dhillon,</w:t>
      </w:r>
      <w:r>
        <w:rPr>
          <w:rFonts w:ascii="arial" w:eastAsia="arial" w:hAnsi="arial" w:cs="arial"/>
          <w:color w:val="000000"/>
          <w:sz w:val="20"/>
          <w:lang w:val="en-US" w:eastAsia="en-US" w:bidi="ar-SA"/>
        </w:rPr>
        <w:t xml:space="preserve"> </w:t>
      </w:r>
      <w:hyperlink r:id="rId94" w:history="1">
        <w:r>
          <w:rPr>
            <w:rFonts w:ascii="arial" w:eastAsia="arial" w:hAnsi="arial" w:cs="arial"/>
            <w:i/>
            <w:color w:val="0077CC"/>
            <w:sz w:val="20"/>
            <w:u w:val="single"/>
            <w:shd w:val="clear" w:color="auto" w:fill="FFFFFF"/>
            <w:lang w:val="en-US" w:eastAsia="en-US" w:bidi="ar-SA"/>
          </w:rPr>
          <w:t>2014 BCSC 141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S.R. v. Trasolini</w:t>
      </w:r>
      <w:r>
        <w:rPr>
          <w:rFonts w:ascii="arial" w:eastAsia="arial" w:hAnsi="arial" w:cs="arial"/>
          <w:color w:val="000000"/>
          <w:sz w:val="20"/>
          <w:lang w:val="en-US" w:eastAsia="en-US" w:bidi="ar-SA"/>
        </w:rPr>
        <w:t xml:space="preserve">, </w:t>
      </w:r>
      <w:hyperlink r:id="rId95" w:history="1">
        <w:r>
          <w:rPr>
            <w:rFonts w:ascii="arial" w:eastAsia="arial" w:hAnsi="arial" w:cs="arial"/>
            <w:i/>
            <w:color w:val="0077CC"/>
            <w:sz w:val="20"/>
            <w:u w:val="single"/>
            <w:shd w:val="clear" w:color="auto" w:fill="FFFFFF"/>
            <w:lang w:val="en-US" w:eastAsia="en-US" w:bidi="ar-SA"/>
          </w:rPr>
          <w:t>2013 BCSC 1135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Ashcroft v. Dhaliwal</w:t>
      </w:r>
      <w:r>
        <w:rPr>
          <w:rFonts w:ascii="arial" w:eastAsia="arial" w:hAnsi="arial" w:cs="arial"/>
          <w:color w:val="000000"/>
          <w:sz w:val="20"/>
          <w:lang w:val="en-US" w:eastAsia="en-US" w:bidi="ar-SA"/>
        </w:rPr>
        <w:t xml:space="preserve">, </w:t>
      </w:r>
      <w:hyperlink r:id="rId96" w:history="1">
        <w:r>
          <w:rPr>
            <w:rFonts w:ascii="arial" w:eastAsia="arial" w:hAnsi="arial" w:cs="arial"/>
            <w:i/>
            <w:color w:val="0077CC"/>
            <w:sz w:val="20"/>
            <w:u w:val="single"/>
            <w:shd w:val="clear" w:color="auto" w:fill="FFFFFF"/>
            <w:lang w:val="en-US" w:eastAsia="en-US" w:bidi="ar-SA"/>
          </w:rPr>
          <w:t>2007 BCSC 533</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Eccleston v. Dresen</w:t>
      </w:r>
      <w:r>
        <w:rPr>
          <w:rFonts w:ascii="arial" w:eastAsia="arial" w:hAnsi="arial" w:cs="arial"/>
          <w:color w:val="000000"/>
          <w:sz w:val="20"/>
          <w:lang w:val="en-US" w:eastAsia="en-US" w:bidi="ar-SA"/>
        </w:rPr>
        <w:t xml:space="preserve">, </w:t>
      </w:r>
      <w:hyperlink r:id="rId97" w:history="1">
        <w:r>
          <w:rPr>
            <w:rFonts w:ascii="arial" w:eastAsia="arial" w:hAnsi="arial" w:cs="arial"/>
            <w:i/>
            <w:color w:val="0077CC"/>
            <w:sz w:val="20"/>
            <w:u w:val="single"/>
            <w:shd w:val="clear" w:color="auto" w:fill="FFFFFF"/>
            <w:lang w:val="en-US" w:eastAsia="en-US" w:bidi="ar-SA"/>
          </w:rPr>
          <w:t>2009 BCSC 332</w:t>
        </w:r>
      </w:hyperlink>
      <w:r>
        <w:rPr>
          <w:rFonts w:ascii="arial" w:eastAsia="arial" w:hAnsi="arial" w:cs="arial"/>
          <w:color w:val="000000"/>
          <w:sz w:val="20"/>
          <w:lang w:val="en-US" w:eastAsia="en-US" w:bidi="ar-SA"/>
        </w:rPr>
        <w:t>, as the basis for his submission that the range for non-pecuniary damages in this case is $110,000 to $130,000. These cases involve moderate to severe soft tissue injuries with various degrees of physical and psychological symptoms. All involved female individuals older than Mr. Karim with ages ranging from 43-54.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xml:space="preserve">  In submitting that the appropriate range under this head of damages should be in the range of $75,000 to $90,000, the defendants rely on </w:t>
      </w:r>
      <w:r>
        <w:rPr>
          <w:rFonts w:ascii="arial" w:eastAsia="arial" w:hAnsi="arial" w:cs="arial"/>
          <w:i/>
          <w:color w:val="000000"/>
          <w:sz w:val="20"/>
          <w:lang w:val="en-US" w:eastAsia="en-US" w:bidi="ar-SA"/>
        </w:rPr>
        <w:t>Andrusko v. Alexander</w:t>
      </w:r>
      <w:r>
        <w:rPr>
          <w:rFonts w:ascii="arial" w:eastAsia="arial" w:hAnsi="arial" w:cs="arial"/>
          <w:color w:val="000000"/>
          <w:sz w:val="20"/>
          <w:lang w:val="en-US" w:eastAsia="en-US" w:bidi="ar-SA"/>
        </w:rPr>
        <w:t xml:space="preserve">, </w:t>
      </w:r>
      <w:hyperlink r:id="rId98" w:history="1">
        <w:r>
          <w:rPr>
            <w:rFonts w:ascii="arial" w:eastAsia="arial" w:hAnsi="arial" w:cs="arial"/>
            <w:i/>
            <w:color w:val="0077CC"/>
            <w:sz w:val="20"/>
            <w:u w:val="single"/>
            <w:shd w:val="clear" w:color="auto" w:fill="FFFFFF"/>
            <w:lang w:val="en-US" w:eastAsia="en-US" w:bidi="ar-SA"/>
          </w:rPr>
          <w:t>2013 BCSC 985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Bearpark v. Lakhanpal</w:t>
      </w:r>
      <w:r>
        <w:rPr>
          <w:rFonts w:ascii="arial" w:eastAsia="arial" w:hAnsi="arial" w:cs="arial"/>
          <w:color w:val="000000"/>
          <w:sz w:val="20"/>
          <w:lang w:val="en-US" w:eastAsia="en-US" w:bidi="ar-SA"/>
        </w:rPr>
        <w:t xml:space="preserve">, </w:t>
      </w:r>
      <w:hyperlink r:id="rId99" w:history="1">
        <w:r>
          <w:rPr>
            <w:rFonts w:ascii="arial" w:eastAsia="arial" w:hAnsi="arial" w:cs="arial"/>
            <w:i/>
            <w:color w:val="0077CC"/>
            <w:sz w:val="20"/>
            <w:u w:val="single"/>
            <w:shd w:val="clear" w:color="auto" w:fill="FFFFFF"/>
            <w:lang w:val="en-US" w:eastAsia="en-US" w:bidi="ar-SA"/>
          </w:rPr>
          <w:t>2013 BCSC 2082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Jackson v. Jeffries</w:t>
      </w:r>
      <w:r>
        <w:rPr>
          <w:rFonts w:ascii="arial" w:eastAsia="arial" w:hAnsi="arial" w:cs="arial"/>
          <w:color w:val="000000"/>
          <w:sz w:val="20"/>
          <w:lang w:val="en-US" w:eastAsia="en-US" w:bidi="ar-SA"/>
        </w:rPr>
        <w:t xml:space="preserve">, </w:t>
      </w:r>
      <w:hyperlink r:id="rId91" w:history="1">
        <w:r>
          <w:rPr>
            <w:rFonts w:ascii="arial" w:eastAsia="arial" w:hAnsi="arial" w:cs="arial"/>
            <w:i/>
            <w:color w:val="0077CC"/>
            <w:sz w:val="20"/>
            <w:u w:val="single"/>
            <w:shd w:val="clear" w:color="auto" w:fill="FFFFFF"/>
            <w:lang w:val="en-US" w:eastAsia="en-US" w:bidi="ar-SA"/>
          </w:rPr>
          <w:t>2012 BCSC 814</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Samson v. Aubin</w:t>
      </w:r>
      <w:r>
        <w:rPr>
          <w:rFonts w:ascii="arial" w:eastAsia="arial" w:hAnsi="arial" w:cs="arial"/>
          <w:color w:val="000000"/>
          <w:sz w:val="20"/>
          <w:lang w:val="en-US" w:eastAsia="en-US" w:bidi="ar-SA"/>
        </w:rPr>
        <w:t xml:space="preserve">, </w:t>
      </w:r>
      <w:hyperlink r:id="rId100" w:history="1">
        <w:r>
          <w:rPr>
            <w:rFonts w:ascii="arial" w:eastAsia="arial" w:hAnsi="arial" w:cs="arial"/>
            <w:i/>
            <w:color w:val="0077CC"/>
            <w:sz w:val="20"/>
            <w:u w:val="single"/>
            <w:shd w:val="clear" w:color="auto" w:fill="FFFFFF"/>
            <w:lang w:val="en-US" w:eastAsia="en-US" w:bidi="ar-SA"/>
          </w:rPr>
          <w:t>2012 BCSC 1320</w:t>
        </w:r>
      </w:hyperlink>
      <w:r>
        <w:rPr>
          <w:rFonts w:ascii="arial" w:eastAsia="arial" w:hAnsi="arial" w:cs="arial"/>
          <w:color w:val="000000"/>
          <w:sz w:val="20"/>
          <w:lang w:val="en-US" w:eastAsia="en-US" w:bidi="ar-SA"/>
        </w:rPr>
        <w:t>. The plaintiffs in these cases were men between the ages of 25-31 with partial to full high school education and physical work experience.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Based on my findings of fact, I am satisfied that Mr. Karim, who was 25 years old at the time of the accident, suffered moderate to moderately-severe soft tissue injuries at the time of the accident which resulted in physical and psychological consequences. The stress of these injuries also aggravated the significant stuttering condition which existed prior to the Accident. I also find that the consequences of the Accident were instrumental in the termination of his relationship with Ms. Azimi which resulted in an increase in his stress and greatly affected his quality of life for a period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I have also found that with an appropriate course of treatment both physical and psychological that Mr. Karim should largely return to his pre-Accident level of functioning. Thereafter, there will still, in my view, be some occasions in the future when the consequences of the Accident will affect the plaintiff both professionally and personally.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xml:space="preserve">  I conclude that the authorities referred to by the defendants in particular </w:t>
      </w:r>
      <w:r>
        <w:rPr>
          <w:rFonts w:ascii="arial" w:eastAsia="arial" w:hAnsi="arial" w:cs="arial"/>
          <w:i/>
          <w:color w:val="000000"/>
          <w:sz w:val="20"/>
          <w:lang w:val="en-US" w:eastAsia="en-US" w:bidi="ar-SA"/>
        </w:rPr>
        <w:t>Andrusko</w:t>
      </w:r>
      <w:r>
        <w:rPr>
          <w:rFonts w:ascii="arial" w:eastAsia="arial" w:hAnsi="arial" w:cs="arial"/>
          <w:color w:val="000000"/>
          <w:sz w:val="20"/>
          <w:lang w:val="en-US" w:eastAsia="en-US" w:bidi="ar-SA"/>
        </w:rPr>
        <w:t xml:space="preserve"> resemble more closely the plaintiff's circumstances. But that award of $80,000, in my view, should be increased to reflect the contribution that the Accident had on the plaintiff's relationship with Ms. Azimi. The award should also reflect that although I have concluded that the plaintiff does have the ability to overcome his negative perceptions of how the Accident has affected his life this will take some real effort on his 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I award the plaintiff $100,000 under this heading.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Past Income Loss Including Past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xml:space="preserve">  Compensation for past loss of earning capacity is based on what the plaintiff would have, not could have, earned but for the injury that was sustained: </w:t>
      </w:r>
      <w:r>
        <w:rPr>
          <w:rFonts w:ascii="arial" w:eastAsia="arial" w:hAnsi="arial" w:cs="arial"/>
          <w:i/>
          <w:color w:val="000000"/>
          <w:sz w:val="20"/>
          <w:lang w:val="en-US" w:eastAsia="en-US" w:bidi="ar-SA"/>
        </w:rPr>
        <w:t>Rowe v. Bobell Express Ltd.</w:t>
      </w:r>
      <w:r>
        <w:rPr>
          <w:rFonts w:ascii="arial" w:eastAsia="arial" w:hAnsi="arial" w:cs="arial"/>
          <w:color w:val="000000"/>
          <w:sz w:val="20"/>
          <w:lang w:val="en-US" w:eastAsia="en-US" w:bidi="ar-SA"/>
        </w:rPr>
        <w:t xml:space="preserve">, </w:t>
      </w:r>
      <w:hyperlink r:id="rId29" w:history="1">
        <w:r>
          <w:rPr>
            <w:rFonts w:ascii="arial" w:eastAsia="arial" w:hAnsi="arial" w:cs="arial"/>
            <w:i/>
            <w:color w:val="0077CC"/>
            <w:sz w:val="20"/>
            <w:u w:val="single"/>
            <w:shd w:val="clear" w:color="auto" w:fill="FFFFFF"/>
            <w:lang w:val="en-US" w:eastAsia="en-US" w:bidi="ar-SA"/>
          </w:rPr>
          <w:t>2005 BCCA 141</w:t>
        </w:r>
      </w:hyperlink>
      <w:r>
        <w:rPr>
          <w:rFonts w:ascii="arial" w:eastAsia="arial" w:hAnsi="arial" w:cs="arial"/>
          <w:color w:val="000000"/>
          <w:sz w:val="20"/>
          <w:lang w:val="en-US" w:eastAsia="en-US" w:bidi="ar-SA"/>
        </w:rPr>
        <w:t xml:space="preserve"> at para. 25; </w:t>
      </w:r>
      <w:r>
        <w:rPr>
          <w:rFonts w:ascii="arial" w:eastAsia="arial" w:hAnsi="arial" w:cs="arial"/>
          <w:i/>
          <w:color w:val="000000"/>
          <w:sz w:val="20"/>
          <w:lang w:val="en-US" w:eastAsia="en-US" w:bidi="ar-SA"/>
        </w:rPr>
        <w:t>M.B. v. British Columbia,</w:t>
      </w:r>
      <w:r>
        <w:rPr>
          <w:rFonts w:ascii="arial" w:eastAsia="arial" w:hAnsi="arial" w:cs="arial"/>
          <w:color w:val="000000"/>
          <w:sz w:val="20"/>
          <w:lang w:val="en-US" w:eastAsia="en-US" w:bidi="ar-SA"/>
        </w:rPr>
        <w:t xml:space="preserve"> </w:t>
      </w:r>
      <w:hyperlink r:id="rId101" w:history="1">
        <w:r>
          <w:rPr>
            <w:rFonts w:ascii="arial" w:eastAsia="arial" w:hAnsi="arial" w:cs="arial"/>
            <w:i/>
            <w:color w:val="0077CC"/>
            <w:sz w:val="20"/>
            <w:u w:val="single"/>
            <w:shd w:val="clear" w:color="auto" w:fill="FFFFFF"/>
            <w:lang w:val="en-US" w:eastAsia="en-US" w:bidi="ar-SA"/>
          </w:rPr>
          <w:t>2003 SCC 53</w:t>
        </w:r>
      </w:hyperlink>
      <w:r>
        <w:rPr>
          <w:rFonts w:ascii="arial" w:eastAsia="arial" w:hAnsi="arial" w:cs="arial"/>
          <w:color w:val="000000"/>
          <w:sz w:val="20"/>
          <w:lang w:val="en-US" w:eastAsia="en-US" w:bidi="ar-SA"/>
        </w:rPr>
        <w:t xml:space="preserve"> at para. 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Rowe</w:t>
      </w:r>
      <w:r>
        <w:rPr>
          <w:rFonts w:ascii="arial" w:eastAsia="arial" w:hAnsi="arial" w:cs="arial"/>
          <w:color w:val="000000"/>
          <w:sz w:val="20"/>
          <w:lang w:val="en-US" w:eastAsia="en-US" w:bidi="ar-SA"/>
        </w:rPr>
        <w:t>, the Court of Appeal explained at paras. 30-31: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[A] claim for what is often described as "past loss of income" is actually a claim for loss of earning capacity; that is, a claim for the loss of the value of the work that the injured plaintiff would have performed but was unable to perform because of the injury.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Evidence of this value may take many forms. As was said by Kenneth D. Cooper-Stephenson in </w:t>
      </w:r>
      <w:r>
        <w:rPr>
          <w:rFonts w:ascii="arial" w:eastAsia="arial" w:hAnsi="arial" w:cs="arial"/>
          <w:i/>
          <w:color w:val="000000"/>
          <w:sz w:val="20"/>
          <w:lang w:val="en-US" w:eastAsia="en-US" w:bidi="ar-SA"/>
        </w:rPr>
        <w:t>Personal Injury Damages in Canada</w:t>
      </w:r>
      <w:r>
        <w:rPr>
          <w:rFonts w:ascii="arial" w:eastAsia="arial" w:hAnsi="arial" w:cs="arial"/>
          <w:color w:val="000000"/>
          <w:sz w:val="20"/>
          <w:lang w:val="en-US" w:eastAsia="en-US" w:bidi="ar-SA"/>
        </w:rPr>
        <w:t>, 2nd ed. (Scarborough, Ont.: Carswell, 1996) at 205-06,</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essence of the task under this head of damages is to award compensation for any pecuniary loss which will result from an inability to work. "Loss of the value of work" is the substance of the claim - loss of the value of any work the plaintiff would have done but for the accident but now will be unable to do. </w:t>
      </w:r>
      <w:r>
        <w:rPr>
          <w:rFonts w:ascii="arial" w:eastAsia="arial" w:hAnsi="arial" w:cs="arial"/>
          <w:color w:val="000000"/>
          <w:sz w:val="20"/>
          <w:u w:val="single"/>
          <w:lang w:val="en-US" w:eastAsia="en-US" w:bidi="ar-SA"/>
        </w:rPr>
        <w:t>The loss framed in this way may be measured in different ways</w:t>
      </w:r>
      <w:r>
        <w:rPr>
          <w:rFonts w:ascii="arial" w:eastAsia="arial" w:hAnsi="arial" w:cs="arial"/>
          <w:color w:val="000000"/>
          <w:sz w:val="20"/>
          <w:lang w:val="en-US" w:eastAsia="en-US" w:bidi="ar-SA"/>
        </w:rPr>
        <w:t xml:space="preserve">. Sometimes it will be measured by reference to the </w:t>
      </w:r>
      <w:r>
        <w:rPr>
          <w:rFonts w:ascii="arial" w:eastAsia="arial" w:hAnsi="arial" w:cs="arial"/>
          <w:i/>
          <w:color w:val="000000"/>
          <w:sz w:val="20"/>
          <w:lang w:val="en-US" w:eastAsia="en-US" w:bidi="ar-SA"/>
        </w:rPr>
        <w:t>actual earnings</w:t>
      </w:r>
      <w:r>
        <w:rPr>
          <w:rFonts w:ascii="arial" w:eastAsia="arial" w:hAnsi="arial" w:cs="arial"/>
          <w:color w:val="000000"/>
          <w:sz w:val="20"/>
          <w:lang w:val="en-US" w:eastAsia="en-US" w:bidi="ar-SA"/>
        </w:rPr>
        <w:t xml:space="preserve"> the plaintiff would have received; sometimes by a </w:t>
      </w:r>
      <w:r>
        <w:rPr>
          <w:rFonts w:ascii="arial" w:eastAsia="arial" w:hAnsi="arial" w:cs="arial"/>
          <w:i/>
          <w:color w:val="000000"/>
          <w:sz w:val="20"/>
          <w:lang w:val="en-US" w:eastAsia="en-US" w:bidi="ar-SA"/>
        </w:rPr>
        <w:t>replacement cost evaluation of tasks</w:t>
      </w:r>
      <w:r>
        <w:rPr>
          <w:rFonts w:ascii="arial" w:eastAsia="arial" w:hAnsi="arial" w:cs="arial"/>
          <w:color w:val="000000"/>
          <w:sz w:val="20"/>
          <w:lang w:val="en-US" w:eastAsia="en-US" w:bidi="ar-SA"/>
        </w:rPr>
        <w:t xml:space="preserve"> which the plaintiff will now be unable to perform; sometimes by an assessment of reduced </w:t>
      </w:r>
      <w:r>
        <w:rPr>
          <w:rFonts w:ascii="arial" w:eastAsia="arial" w:hAnsi="arial" w:cs="arial"/>
          <w:i/>
          <w:color w:val="000000"/>
          <w:sz w:val="20"/>
          <w:lang w:val="en-US" w:eastAsia="en-US" w:bidi="ar-SA"/>
        </w:rPr>
        <w:t>company profits</w:t>
      </w:r>
      <w:r>
        <w:rPr>
          <w:rFonts w:ascii="arial" w:eastAsia="arial" w:hAnsi="arial" w:cs="arial"/>
          <w:color w:val="000000"/>
          <w:sz w:val="20"/>
          <w:lang w:val="en-US" w:eastAsia="en-US" w:bidi="ar-SA"/>
        </w:rPr>
        <w:t xml:space="preserve">; and sometimes by the amount of secondary income lost, such as </w:t>
      </w:r>
      <w:r>
        <w:rPr>
          <w:rFonts w:ascii="arial" w:eastAsia="arial" w:hAnsi="arial" w:cs="arial"/>
          <w:i/>
          <w:color w:val="000000"/>
          <w:sz w:val="20"/>
          <w:lang w:val="en-US" w:eastAsia="en-US" w:bidi="ar-SA"/>
        </w:rPr>
        <w:t>shared family income</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[Underlining added in </w:t>
      </w:r>
      <w:r>
        <w:rPr>
          <w:rFonts w:ascii="arial" w:eastAsia="arial" w:hAnsi="arial" w:cs="arial"/>
          <w:i/>
          <w:color w:val="000000"/>
          <w:sz w:val="20"/>
          <w:lang w:val="en-US" w:eastAsia="en-US" w:bidi="ar-SA"/>
        </w:rPr>
        <w:t>Rowe</w:t>
      </w:r>
      <w:r>
        <w:rPr>
          <w:rFonts w:ascii="arial" w:eastAsia="arial" w:hAnsi="arial" w:cs="arial"/>
          <w:color w:val="000000"/>
          <w:sz w:val="20"/>
          <w:lang w:val="en-US" w:eastAsia="en-US" w:bidi="ar-SA"/>
        </w:rPr>
        <w:t>; other 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See also </w:t>
      </w:r>
      <w:r>
        <w:rPr>
          <w:rFonts w:ascii="arial" w:eastAsia="arial" w:hAnsi="arial" w:cs="arial"/>
          <w:i/>
          <w:color w:val="000000"/>
          <w:sz w:val="20"/>
          <w:lang w:val="en-US" w:eastAsia="en-US" w:bidi="ar-SA"/>
        </w:rPr>
        <w:t>Ibbitson v. Cooper</w:t>
      </w:r>
      <w:r>
        <w:rPr>
          <w:rFonts w:ascii="arial" w:eastAsia="arial" w:hAnsi="arial" w:cs="arial"/>
          <w:color w:val="000000"/>
          <w:sz w:val="20"/>
          <w:lang w:val="en-US" w:eastAsia="en-US" w:bidi="ar-SA"/>
        </w:rPr>
        <w:t xml:space="preserve">, </w:t>
      </w:r>
      <w:hyperlink r:id="rId102" w:history="1">
        <w:r>
          <w:rPr>
            <w:rFonts w:ascii="arial" w:eastAsia="arial" w:hAnsi="arial" w:cs="arial"/>
            <w:i/>
            <w:color w:val="0077CC"/>
            <w:sz w:val="20"/>
            <w:u w:val="single"/>
            <w:shd w:val="clear" w:color="auto" w:fill="FFFFFF"/>
            <w:lang w:val="en-US" w:eastAsia="en-US" w:bidi="ar-SA"/>
          </w:rPr>
          <w:t>2012 BCCA 249</w:t>
        </w:r>
      </w:hyperlink>
      <w:r>
        <w:rPr>
          <w:rFonts w:ascii="arial" w:eastAsia="arial" w:hAnsi="arial" w:cs="arial"/>
          <w:color w:val="000000"/>
          <w:sz w:val="20"/>
          <w:lang w:val="en-US" w:eastAsia="en-US" w:bidi="ar-SA"/>
        </w:rPr>
        <w:t xml:space="preserve"> at para. 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xml:space="preserve">  Pursuant to s. 98 of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 xml:space="preserve">, a plaintiff is entitled to recover damages only for his or her past net income loss. This means that in the ordinary course, the court must deduct the amount of income tax payable from lost gross earnings: </w:t>
      </w:r>
      <w:r>
        <w:rPr>
          <w:rFonts w:ascii="arial" w:eastAsia="arial" w:hAnsi="arial" w:cs="arial"/>
          <w:i/>
          <w:color w:val="000000"/>
          <w:sz w:val="20"/>
          <w:lang w:val="en-US" w:eastAsia="en-US" w:bidi="ar-SA"/>
        </w:rPr>
        <w:t>Hudniuk v. Warkentin</w:t>
      </w:r>
      <w:r>
        <w:rPr>
          <w:rFonts w:ascii="arial" w:eastAsia="arial" w:hAnsi="arial" w:cs="arial"/>
          <w:color w:val="000000"/>
          <w:sz w:val="20"/>
          <w:lang w:val="en-US" w:eastAsia="en-US" w:bidi="ar-SA"/>
        </w:rPr>
        <w:t xml:space="preserve">, </w:t>
      </w:r>
      <w:hyperlink r:id="rId103" w:history="1">
        <w:r>
          <w:rPr>
            <w:rFonts w:ascii="arial" w:eastAsia="arial" w:hAnsi="arial" w:cs="arial"/>
            <w:i/>
            <w:color w:val="0077CC"/>
            <w:sz w:val="20"/>
            <w:u w:val="single"/>
            <w:shd w:val="clear" w:color="auto" w:fill="FFFFFF"/>
            <w:lang w:val="en-US" w:eastAsia="en-US" w:bidi="ar-SA"/>
          </w:rPr>
          <w:t>2003 BCSC 62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xml:space="preserve">  The burden of proof of actual past events is a balance of probabilities. An assessment of loss of both past and future earning capacity involves consideration of hypothetical events. The plaintiff is not required to prove these hypothetical events on a balance of probabilities. The future or hypothetical possibility will be taken into consideration as long as it is a real and substantial possibility and not mere speculation: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470.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xml:space="preserve">  The plaintiff's employment earnings at Abercorn were $40,000 per year. Although he did earn a higher income at Sunrise and Sandman, his position is that but for the Accident he would have continued to work at Abercorn. Ms. Christiane Clark authored an economist's report on behalf of the plaintiff. Based on this annual salary, she calculated the plaintiff's loss of earnings to trial at the gross amount of $56,000 including benefits. The net amount of earnings and benefits is approximately $40,600 (taking into account the slightly higher income earned at Sunrise) assessed according to the approach set out in </w:t>
      </w:r>
      <w:r>
        <w:rPr>
          <w:rFonts w:ascii="arial" w:eastAsia="arial" w:hAnsi="arial" w:cs="arial"/>
          <w:i/>
          <w:color w:val="000000"/>
          <w:sz w:val="20"/>
          <w:lang w:val="en-US" w:eastAsia="en-US" w:bidi="ar-SA"/>
        </w:rPr>
        <w:t>Lines v. W &amp; D Logging Co. Ltd. (sub nom Lines v. Gordon)</w:t>
      </w:r>
      <w:r>
        <w:rPr>
          <w:rFonts w:ascii="arial" w:eastAsia="arial" w:hAnsi="arial" w:cs="arial"/>
          <w:color w:val="000000"/>
          <w:sz w:val="20"/>
          <w:lang w:val="en-US" w:eastAsia="en-US" w:bidi="ar-SA"/>
        </w:rPr>
        <w:t xml:space="preserve">, </w:t>
      </w:r>
      <w:hyperlink r:id="rId37" w:history="1">
        <w:r>
          <w:rPr>
            <w:rFonts w:ascii="arial" w:eastAsia="arial" w:hAnsi="arial" w:cs="arial"/>
            <w:i/>
            <w:color w:val="0077CC"/>
            <w:sz w:val="20"/>
            <w:u w:val="single"/>
            <w:shd w:val="clear" w:color="auto" w:fill="FFFFFF"/>
            <w:lang w:val="en-US" w:eastAsia="en-US" w:bidi="ar-SA"/>
          </w:rPr>
          <w:t>2009 BCCA 106</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Laxdall v. Robbins</w:t>
      </w:r>
      <w:r>
        <w:rPr>
          <w:rFonts w:ascii="arial" w:eastAsia="arial" w:hAnsi="arial" w:cs="arial"/>
          <w:color w:val="000000"/>
          <w:sz w:val="20"/>
          <w:lang w:val="en-US" w:eastAsia="en-US" w:bidi="ar-SA"/>
        </w:rPr>
        <w:t xml:space="preserve">, </w:t>
      </w:r>
      <w:hyperlink r:id="rId104" w:history="1">
        <w:r>
          <w:rPr>
            <w:rFonts w:ascii="arial" w:eastAsia="arial" w:hAnsi="arial" w:cs="arial"/>
            <w:i/>
            <w:color w:val="0077CC"/>
            <w:sz w:val="20"/>
            <w:u w:val="single"/>
            <w:shd w:val="clear" w:color="auto" w:fill="FFFFFF"/>
            <w:lang w:val="en-US" w:eastAsia="en-US" w:bidi="ar-SA"/>
          </w:rPr>
          <w:t>2010 BCCA 565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The plaintiff also seeks an award for the alleged loss of the value of his services to his family in performing renovations to their homes and apartments since the Accident. He says that there is a proven history of such benefits such as when he obtained reduced rent with his former mother-in-law.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He also submits that his camera and editing work for his aunt helped her purchase a house in Iraq and that the renovation work to Ms. Azimi's family home was also likely to result in a financial benefit to him. He says that this aspect of the claim cannot be assessed with a calculation and he seeks the "modest" amount of $15,000 for his past loss of services to his family and resulting value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The defendants' position is that the plaintiff was off work from the date of the Accident to Sept 1, 2012. His loss for that period is documented by Abercorn as $37,079.04. The defendants say that is the entirety of the plaintiff's loss. Any further loss flows from his failure to follow through with the appropriate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I have not accepted the defendants' argument pertaining to mitigation. Accordingly the past loss of income from employment is $40,600.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xml:space="preserve">  The issue then becomes whether the plaintiff has established, in accordance with the principles in </w:t>
      </w:r>
      <w:r>
        <w:rPr>
          <w:rFonts w:ascii="arial" w:eastAsia="arial" w:hAnsi="arial" w:cs="arial"/>
          <w:i/>
          <w:color w:val="000000"/>
          <w:sz w:val="20"/>
          <w:lang w:val="en-US" w:eastAsia="en-US" w:bidi="ar-SA"/>
        </w:rPr>
        <w:t>Rowe</w:t>
      </w:r>
      <w:r>
        <w:rPr>
          <w:rFonts w:ascii="arial" w:eastAsia="arial" w:hAnsi="arial" w:cs="arial"/>
          <w:color w:val="000000"/>
          <w:sz w:val="20"/>
          <w:lang w:val="en-US" w:eastAsia="en-US" w:bidi="ar-SA"/>
        </w:rPr>
        <w:t>, the basis for an additional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I have concluded that he has but only to a very limited extent. There is evidence from both the plaintiff and Mr. Sophi of some extra renovation work the plaintiff did on evenings and weekends prior to the Accident and how this was affected by the injuries he sustained. But there is a dearth of evidence as to what was earned. I award the plaintiff a nominal $1,000 for this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While there was evidence regarding reduced rent when the plaintiff lived in an apartment owned by his former mother in law, the evidence that there was a likely monetary value to services provided to Ms. Azimi's family is entirely speculative. The vague evidence regarding the camera editing work and the purchase of property in Iraq is also insufficient to establish a real and substantial possibility of a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Accordingly, I award a total of $41,600 under this heading.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941"/>
        <w:gridCol w:w="784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9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D:</w:t>
            </w:r>
          </w:p>
        </w:tc>
        <w:tc>
          <w:tcPr>
            <w:tcW w:w="768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Loss of Future Earning Capacity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xml:space="preserve">  As Mr. Justice Greyell set out in </w:t>
      </w:r>
      <w:r>
        <w:rPr>
          <w:rFonts w:ascii="arial" w:eastAsia="arial" w:hAnsi="arial" w:cs="arial"/>
          <w:i/>
          <w:color w:val="000000"/>
          <w:sz w:val="20"/>
          <w:lang w:val="en-US" w:eastAsia="en-US" w:bidi="ar-SA"/>
        </w:rPr>
        <w:t>Simmavong v. Haddock</w:t>
      </w:r>
      <w:r>
        <w:rPr>
          <w:rFonts w:ascii="arial" w:eastAsia="arial" w:hAnsi="arial" w:cs="arial"/>
          <w:color w:val="000000"/>
          <w:sz w:val="20"/>
          <w:lang w:val="en-US" w:eastAsia="en-US" w:bidi="ar-SA"/>
        </w:rPr>
        <w:t xml:space="preserve">, </w:t>
      </w:r>
      <w:hyperlink r:id="rId105" w:history="1">
        <w:r>
          <w:rPr>
            <w:rFonts w:ascii="arial" w:eastAsia="arial" w:hAnsi="arial" w:cs="arial"/>
            <w:i/>
            <w:color w:val="0077CC"/>
            <w:sz w:val="20"/>
            <w:u w:val="single"/>
            <w:shd w:val="clear" w:color="auto" w:fill="FFFFFF"/>
            <w:lang w:val="en-US" w:eastAsia="en-US" w:bidi="ar-SA"/>
          </w:rPr>
          <w:t>2012 BCSC 473</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[95] A claim for loss of future earning capacity raises two key questions:</w:t>
      </w:r>
    </w:p>
    <w:p>
      <w:pPr>
        <w:numPr>
          <w:numId w:val="7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has the plaintiff's earning capacity been impaired by his or her injuries; and, if so,</w:t>
      </w:r>
    </w:p>
    <w:p>
      <w:pPr>
        <w:numPr>
          <w:numId w:val="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compensation should be awarded for the resulting financial harm that will accrue over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xml:space="preserve">  Assessing damages is a matter of judgment: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40"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at para. 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xml:space="preserve">  In order to put the plaintiff back in his or her original position, it is for the court to compare the "likely future of the plaintiff if the accident had not happened and the plaintiff's likely future after the accident has happened": </w:t>
      </w:r>
      <w:r>
        <w:rPr>
          <w:rFonts w:ascii="arial" w:eastAsia="arial" w:hAnsi="arial" w:cs="arial"/>
          <w:i/>
          <w:color w:val="000000"/>
          <w:sz w:val="20"/>
          <w:lang w:val="en-US" w:eastAsia="en-US" w:bidi="ar-SA"/>
        </w:rPr>
        <w:t>Rosvold</w:t>
      </w:r>
      <w:r>
        <w:rPr>
          <w:rFonts w:ascii="arial" w:eastAsia="arial" w:hAnsi="arial" w:cs="arial"/>
          <w:color w:val="000000"/>
          <w:sz w:val="20"/>
          <w:lang w:val="en-US" w:eastAsia="en-US" w:bidi="ar-SA"/>
        </w:rPr>
        <w:t xml:space="preserve"> at para. 11; </w:t>
      </w:r>
      <w:r>
        <w:rPr>
          <w:rFonts w:ascii="arial" w:eastAsia="arial" w:hAnsi="arial" w:cs="arial"/>
          <w:i/>
          <w:color w:val="000000"/>
          <w:sz w:val="20"/>
          <w:lang w:val="en-US" w:eastAsia="en-US" w:bidi="ar-SA"/>
        </w:rPr>
        <w:t>Gregory v. Insurance Corporation of British Columbia</w:t>
      </w:r>
      <w:r>
        <w:rPr>
          <w:rFonts w:ascii="arial" w:eastAsia="arial" w:hAnsi="arial" w:cs="arial"/>
          <w:color w:val="000000"/>
          <w:sz w:val="20"/>
          <w:lang w:val="en-US" w:eastAsia="en-US" w:bidi="ar-SA"/>
        </w:rPr>
        <w:t xml:space="preserve">, </w:t>
      </w:r>
      <w:hyperlink r:id="rId39" w:history="1">
        <w:r>
          <w:rPr>
            <w:rFonts w:ascii="arial" w:eastAsia="arial" w:hAnsi="arial" w:cs="arial"/>
            <w:i/>
            <w:color w:val="0077CC"/>
            <w:sz w:val="20"/>
            <w:u w:val="single"/>
            <w:shd w:val="clear" w:color="auto" w:fill="FFFFFF"/>
            <w:lang w:val="en-US" w:eastAsia="en-US" w:bidi="ar-SA"/>
          </w:rPr>
          <w:t>2011 BCCA 144</w:t>
        </w:r>
      </w:hyperlink>
      <w:r>
        <w:rPr>
          <w:rFonts w:ascii="arial" w:eastAsia="arial" w:hAnsi="arial" w:cs="arial"/>
          <w:color w:val="000000"/>
          <w:sz w:val="20"/>
          <w:lang w:val="en-US" w:eastAsia="en-US" w:bidi="ar-SA"/>
        </w:rPr>
        <w:t xml:space="preserve"> at para. 32; </w:t>
      </w:r>
      <w:r>
        <w:rPr>
          <w:rFonts w:ascii="arial" w:eastAsia="arial" w:hAnsi="arial" w:cs="arial"/>
          <w:i/>
          <w:color w:val="000000"/>
          <w:sz w:val="20"/>
          <w:lang w:val="en-US" w:eastAsia="en-US" w:bidi="ar-SA"/>
        </w:rPr>
        <w:t>Ryder (Guardian ad litem of) v. Jubbal (sub nom Ryder v. Paquette)</w:t>
      </w:r>
      <w:r>
        <w:rPr>
          <w:rFonts w:ascii="arial" w:eastAsia="arial" w:hAnsi="arial" w:cs="arial"/>
          <w:color w:val="000000"/>
          <w:sz w:val="20"/>
          <w:lang w:val="en-US" w:eastAsia="en-US" w:bidi="ar-SA"/>
        </w:rPr>
        <w:t xml:space="preserve">, </w:t>
      </w:r>
      <w:hyperlink r:id="rId106" w:history="1">
        <w:r>
          <w:rPr>
            <w:rFonts w:ascii="arial" w:eastAsia="arial" w:hAnsi="arial" w:cs="arial"/>
            <w:i/>
            <w:color w:val="0077CC"/>
            <w:sz w:val="20"/>
            <w:u w:val="single"/>
            <w:shd w:val="clear" w:color="auto" w:fill="FFFFFF"/>
            <w:lang w:val="en-US" w:eastAsia="en-US" w:bidi="ar-SA"/>
          </w:rPr>
          <w:t>[1995] B.C.J. No. 644</w:t>
        </w:r>
      </w:hyperlink>
      <w:r>
        <w:rPr>
          <w:rFonts w:ascii="arial" w:eastAsia="arial" w:hAnsi="arial" w:cs="arial"/>
          <w:color w:val="000000"/>
          <w:sz w:val="20"/>
          <w:lang w:val="en-US" w:eastAsia="en-US" w:bidi="ar-SA"/>
        </w:rPr>
        <w:t xml:space="preserve"> at para.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The applicable principles for assessing loss of future earning capacity are as follows:</w:t>
      </w:r>
      <w:r>
        <w:rPr>
          <w:rFonts w:ascii="arial" w:eastAsia="arial" w:hAnsi="arial" w:cs="arial"/>
          <w:sz w:val="20"/>
          <w:lang w:val="en-US" w:eastAsia="en-US" w:bidi="ar-SA"/>
        </w:rPr>
        <w:cr/>
      </w:r>
    </w:p>
    <w:p>
      <w:pPr>
        <w:numPr>
          <w:numId w:val="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standard of proof is simple probability and events are weighted according to their relative likelihood: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470;</w:t>
      </w:r>
    </w:p>
    <w:p>
      <w:pPr>
        <w:numPr>
          <w:numId w:val="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plaintiff is entitled to real and substantial possibilities of loss as quantified by estimating the chance of the loss occurring: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470; </w:t>
      </w:r>
      <w:r>
        <w:rPr>
          <w:rFonts w:ascii="arial" w:eastAsia="arial" w:hAnsi="arial" w:cs="arial"/>
          <w:i/>
          <w:color w:val="000000"/>
          <w:sz w:val="20"/>
          <w:lang w:val="en-US" w:eastAsia="en-US" w:bidi="ar-SA"/>
        </w:rPr>
        <w:t>Steenblok v. Funk</w:t>
      </w:r>
      <w:r>
        <w:rPr>
          <w:rFonts w:ascii="arial" w:eastAsia="arial" w:hAnsi="arial" w:cs="arial"/>
          <w:color w:val="000000"/>
          <w:sz w:val="20"/>
          <w:lang w:val="en-US" w:eastAsia="en-US" w:bidi="ar-SA"/>
        </w:rPr>
        <w:t xml:space="preserve"> </w:t>
      </w:r>
      <w:hyperlink r:id="rId107" w:history="1">
        <w:r>
          <w:rPr>
            <w:rFonts w:ascii="arial" w:eastAsia="arial" w:hAnsi="arial" w:cs="arial"/>
            <w:i/>
            <w:color w:val="0077CC"/>
            <w:sz w:val="20"/>
            <w:u w:val="single"/>
            <w:shd w:val="clear" w:color="auto" w:fill="FFFFFF"/>
            <w:lang w:val="en-US" w:eastAsia="en-US" w:bidi="ar-SA"/>
          </w:rPr>
          <w:t>(1990), 46 B.C.L.R. (2d) 133</w:t>
        </w:r>
      </w:hyperlink>
      <w:r>
        <w:rPr>
          <w:rFonts w:ascii="arial" w:eastAsia="arial" w:hAnsi="arial" w:cs="arial"/>
          <w:color w:val="000000"/>
          <w:sz w:val="20"/>
          <w:lang w:val="en-US" w:eastAsia="en-US" w:bidi="ar-SA"/>
        </w:rPr>
        <w:t xml:space="preserve"> at 135 (C.A.);</w:t>
      </w:r>
    </w:p>
    <w:p>
      <w:pPr>
        <w:numPr>
          <w:numId w:val="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valuation of the loss of earning capacity may compare what the plaintiff probably would have earned but for the accident against what he or she will probably earn in his or her injured condition: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108"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at 93 (S.C.), aff'd </w:t>
      </w:r>
      <w:hyperlink r:id="rId109" w:history="1">
        <w:r>
          <w:rPr>
            <w:rFonts w:ascii="arial" w:eastAsia="arial" w:hAnsi="arial" w:cs="arial"/>
            <w:i/>
            <w:color w:val="0077CC"/>
            <w:sz w:val="20"/>
            <w:u w:val="single"/>
            <w:shd w:val="clear" w:color="auto" w:fill="FFFFFF"/>
            <w:lang w:val="en-US" w:eastAsia="en-US" w:bidi="ar-SA"/>
          </w:rPr>
          <w:t>(1987), 49 B.C.L.R. (2d) 99</w:t>
        </w:r>
      </w:hyperlink>
      <w:r>
        <w:rPr>
          <w:rFonts w:ascii="arial" w:eastAsia="arial" w:hAnsi="arial" w:cs="arial"/>
          <w:color w:val="000000"/>
          <w:sz w:val="20"/>
          <w:lang w:val="en-US" w:eastAsia="en-US" w:bidi="ar-SA"/>
        </w:rPr>
        <w:t xml:space="preserve"> (C.A.);</w:t>
      </w:r>
    </w:p>
    <w:p>
      <w:pPr>
        <w:numPr>
          <w:numId w:val="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overall fairness and reasonableness of the award must be considered: </w:t>
      </w:r>
      <w:r>
        <w:rPr>
          <w:rFonts w:ascii="arial" w:eastAsia="arial" w:hAnsi="arial" w:cs="arial"/>
          <w:i/>
          <w:color w:val="000000"/>
          <w:sz w:val="20"/>
          <w:lang w:val="en-US" w:eastAsia="en-US" w:bidi="ar-SA"/>
        </w:rPr>
        <w:t>Rosvold</w:t>
      </w:r>
      <w:r>
        <w:rPr>
          <w:rFonts w:ascii="arial" w:eastAsia="arial" w:hAnsi="arial" w:cs="arial"/>
          <w:color w:val="000000"/>
          <w:sz w:val="20"/>
          <w:lang w:val="en-US" w:eastAsia="en-US" w:bidi="ar-SA"/>
        </w:rPr>
        <w:t xml:space="preserve"> at para. 11;</w:t>
      </w:r>
    </w:p>
    <w:p>
      <w:pPr>
        <w:numPr>
          <w:numId w:val="7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role of the court is to assess losses based on the evidence, not to calculate them mathematically: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41"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Pallos v. Insurance Corp. of British Columbia</w:t>
      </w:r>
      <w:r>
        <w:rPr>
          <w:rFonts w:ascii="arial" w:eastAsia="arial" w:hAnsi="arial" w:cs="arial"/>
          <w:color w:val="000000"/>
          <w:sz w:val="20"/>
          <w:lang w:val="en-US" w:eastAsia="en-US" w:bidi="ar-SA"/>
        </w:rPr>
        <w:t xml:space="preserve"> </w:t>
      </w:r>
      <w:hyperlink r:id="rId110" w:history="1">
        <w:r>
          <w:rPr>
            <w:rFonts w:ascii="arial" w:eastAsia="arial" w:hAnsi="arial" w:cs="arial"/>
            <w:i/>
            <w:color w:val="0077CC"/>
            <w:sz w:val="20"/>
            <w:u w:val="single"/>
            <w:shd w:val="clear" w:color="auto" w:fill="FFFFFF"/>
            <w:lang w:val="en-US" w:eastAsia="en-US" w:bidi="ar-SA"/>
          </w:rPr>
          <w:t>(1995), 100 B.C.L.R. (2d) 260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Pett v. Pett</w:t>
      </w:r>
      <w:r>
        <w:rPr>
          <w:rFonts w:ascii="arial" w:eastAsia="arial" w:hAnsi="arial" w:cs="arial"/>
          <w:color w:val="000000"/>
          <w:sz w:val="20"/>
          <w:lang w:val="en-US" w:eastAsia="en-US" w:bidi="ar-SA"/>
        </w:rPr>
        <w:t xml:space="preserve">, </w:t>
      </w:r>
      <w:hyperlink r:id="rId111" w:history="1">
        <w:r>
          <w:rPr>
            <w:rFonts w:ascii="arial" w:eastAsia="arial" w:hAnsi="arial" w:cs="arial"/>
            <w:i/>
            <w:color w:val="0077CC"/>
            <w:sz w:val="20"/>
            <w:u w:val="single"/>
            <w:shd w:val="clear" w:color="auto" w:fill="FFFFFF"/>
            <w:lang w:val="en-US" w:eastAsia="en-US" w:bidi="ar-SA"/>
          </w:rPr>
          <w:t>2009 BCCA 232</w:t>
        </w:r>
      </w:hyperlink>
      <w:r>
        <w:rPr>
          <w:rFonts w:ascii="arial" w:eastAsia="arial" w:hAnsi="arial" w:cs="arial"/>
          <w:color w:val="000000"/>
          <w:sz w:val="20"/>
          <w:lang w:val="en-US" w:eastAsia="en-US" w:bidi="ar-SA"/>
        </w:rPr>
        <w:t>; and</w:t>
      </w:r>
    </w:p>
    <w:p>
      <w:pPr>
        <w:numPr>
          <w:numId w:val="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allowances must be made for the contingency that the assumptions upon which the award is based may prove to be wrong: </w:t>
      </w:r>
      <w:r>
        <w:rPr>
          <w:rFonts w:ascii="arial" w:eastAsia="arial" w:hAnsi="arial" w:cs="arial"/>
          <w:i/>
          <w:color w:val="000000"/>
          <w:sz w:val="20"/>
          <w:lang w:val="en-US" w:eastAsia="en-US" w:bidi="ar-SA"/>
        </w:rPr>
        <w:t>Milina</w:t>
      </w:r>
      <w:r>
        <w:rPr>
          <w:rFonts w:ascii="arial" w:eastAsia="arial" w:hAnsi="arial" w:cs="arial"/>
          <w:color w:val="000000"/>
          <w:sz w:val="20"/>
          <w:lang w:val="en-US" w:eastAsia="en-US" w:bidi="ar-SA"/>
        </w:rPr>
        <w:t xml:space="preserve"> at 79.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xml:space="preserve">  While proof of a substantial possibility is not a heavy onus, it is an onus that must be met for an award of damages under this heading to be justified: </w:t>
      </w:r>
      <w:r>
        <w:rPr>
          <w:rFonts w:ascii="arial" w:eastAsia="arial" w:hAnsi="arial" w:cs="arial"/>
          <w:i/>
          <w:color w:val="000000"/>
          <w:sz w:val="20"/>
          <w:lang w:val="en-US" w:eastAsia="en-US" w:bidi="ar-SA"/>
        </w:rPr>
        <w:t>Kim v. Morier (sub nom Kim v. Tigounov)</w:t>
      </w:r>
      <w:r>
        <w:rPr>
          <w:rFonts w:ascii="arial" w:eastAsia="arial" w:hAnsi="arial" w:cs="arial"/>
          <w:color w:val="000000"/>
          <w:sz w:val="20"/>
          <w:lang w:val="en-US" w:eastAsia="en-US" w:bidi="ar-SA"/>
        </w:rPr>
        <w:t xml:space="preserve">, </w:t>
      </w:r>
      <w:hyperlink r:id="rId112" w:history="1">
        <w:r>
          <w:rPr>
            <w:rFonts w:ascii="arial" w:eastAsia="arial" w:hAnsi="arial" w:cs="arial"/>
            <w:i/>
            <w:color w:val="0077CC"/>
            <w:sz w:val="20"/>
            <w:u w:val="single"/>
            <w:shd w:val="clear" w:color="auto" w:fill="FFFFFF"/>
            <w:lang w:val="en-US" w:eastAsia="en-US" w:bidi="ar-SA"/>
          </w:rPr>
          <w:t>2014 BCCA 63</w:t>
        </w:r>
      </w:hyperlink>
      <w:r>
        <w:rPr>
          <w:rFonts w:ascii="arial" w:eastAsia="arial" w:hAnsi="arial" w:cs="arial"/>
          <w:color w:val="000000"/>
          <w:sz w:val="20"/>
          <w:lang w:val="en-US" w:eastAsia="en-US" w:bidi="ar-SA"/>
        </w:rPr>
        <w:t xml:space="preserve"> at para. 7. This translates into a realistic possibility of economic consequences: </w:t>
      </w:r>
      <w:r>
        <w:rPr>
          <w:rFonts w:ascii="arial" w:eastAsia="arial" w:hAnsi="arial" w:cs="arial"/>
          <w:i/>
          <w:color w:val="000000"/>
          <w:sz w:val="20"/>
          <w:lang w:val="en-US" w:eastAsia="en-US" w:bidi="ar-SA"/>
        </w:rPr>
        <w:t>Kim</w:t>
      </w:r>
      <w:r>
        <w:rPr>
          <w:rFonts w:ascii="arial" w:eastAsia="arial" w:hAnsi="arial" w:cs="arial"/>
          <w:color w:val="000000"/>
          <w:sz w:val="20"/>
          <w:lang w:val="en-US" w:eastAsia="en-US" w:bidi="ar-SA"/>
        </w:rPr>
        <w:t xml:space="preserve"> at para.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There are two possible approaches to assessing loss of future earning capacity: (i) the earning approach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or (ii) the capital asset approach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Both approaches are correct and their appropriateness in the circumstances depends on whether the loss can be quantified in a measurable way: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34"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xml:space="preserve">  The earnings approach involves a form of math-oriented methodology such as (i) postulating a minimum annual income loss for the plaintiff's remaining years of work, multiplying the annual projected loss by the number of remaining years and calculating a present value, or (ii) awarding the plaintiff's entire annual income for a year or two: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at 271; </w:t>
      </w:r>
      <w:r>
        <w:rPr>
          <w:rFonts w:ascii="arial" w:eastAsia="arial" w:hAnsi="arial" w:cs="arial"/>
          <w:i/>
          <w:color w:val="000000"/>
          <w:sz w:val="20"/>
          <w:lang w:val="en-US" w:eastAsia="en-US" w:bidi="ar-SA"/>
        </w:rPr>
        <w:t>Gilbert</w:t>
      </w:r>
      <w:r>
        <w:rPr>
          <w:rFonts w:ascii="arial" w:eastAsia="arial" w:hAnsi="arial" w:cs="arial"/>
          <w:color w:val="000000"/>
          <w:sz w:val="20"/>
          <w:lang w:val="en-US" w:eastAsia="en-US" w:bidi="ar-SA"/>
        </w:rPr>
        <w:t xml:space="preserve"> at para. 233.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xml:space="preserve">  The capital asset approach is employed when future loss cannot be measured in a pecuniary way. Finch J., as he then was, described the factors to consider in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at 356:</w:t>
      </w:r>
      <w:r>
        <w:rPr>
          <w:rFonts w:ascii="arial" w:eastAsia="arial" w:hAnsi="arial" w:cs="arial"/>
          <w:sz w:val="20"/>
          <w:lang w:val="en-US" w:eastAsia="en-US" w:bidi="ar-SA"/>
        </w:rPr>
        <w:cr/>
      </w:r>
    </w:p>
    <w:p>
      <w:pPr>
        <w:numPr>
          <w:numId w:val="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been rendered less capable overall from earning income from all types of employment;</w:t>
      </w:r>
    </w:p>
    <w:p>
      <w:pPr>
        <w:numPr>
          <w:numId w:val="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marketable or attractive as an employee to potential employers;</w:t>
      </w:r>
    </w:p>
    <w:p>
      <w:pPr>
        <w:numPr>
          <w:numId w:val="8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lost the ability to take advantage of all job opportunities which might otherwise have been open to him, had he not been injured; and</w:t>
      </w:r>
    </w:p>
    <w:p>
      <w:pPr>
        <w:numPr>
          <w:numId w:val="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valuable to himself as a person capable of earning income in a competitive labour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See also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xml:space="preserve"> at para. 32; </w:t>
      </w:r>
      <w:r>
        <w:rPr>
          <w:rFonts w:ascii="arial" w:eastAsia="arial" w:hAnsi="arial" w:cs="arial"/>
          <w:i/>
          <w:color w:val="000000"/>
          <w:sz w:val="20"/>
          <w:lang w:val="en-US" w:eastAsia="en-US" w:bidi="ar-SA"/>
        </w:rPr>
        <w:t>Gilbert</w:t>
      </w:r>
      <w:r>
        <w:rPr>
          <w:rFonts w:ascii="arial" w:eastAsia="arial" w:hAnsi="arial" w:cs="arial"/>
          <w:color w:val="000000"/>
          <w:sz w:val="20"/>
          <w:lang w:val="en-US" w:eastAsia="en-US" w:bidi="ar-SA"/>
        </w:rPr>
        <w:t xml:space="preserve"> at para. 233.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xml:space="preserve">  Where an earnings approach is the most appropriate method of assessing an award under loss of future earning capacity but it does not fully encompass the realities of the situation, it is correct to consider all of the evidence and adjust the award for further negative contingencies: </w:t>
      </w:r>
      <w:r>
        <w:rPr>
          <w:rFonts w:ascii="arial" w:eastAsia="arial" w:hAnsi="arial" w:cs="arial"/>
          <w:i/>
          <w:color w:val="000000"/>
          <w:sz w:val="20"/>
          <w:lang w:val="en-US" w:eastAsia="en-US" w:bidi="ar-SA"/>
        </w:rPr>
        <w:t>Westbroek v. Brizuela</w:t>
      </w:r>
      <w:r>
        <w:rPr>
          <w:rFonts w:ascii="arial" w:eastAsia="arial" w:hAnsi="arial" w:cs="arial"/>
          <w:color w:val="000000"/>
          <w:sz w:val="20"/>
          <w:lang w:val="en-US" w:eastAsia="en-US" w:bidi="ar-SA"/>
        </w:rPr>
        <w:t xml:space="preserve">, </w:t>
      </w:r>
      <w:hyperlink r:id="rId42" w:history="1">
        <w:r>
          <w:rPr>
            <w:rFonts w:ascii="arial" w:eastAsia="arial" w:hAnsi="arial" w:cs="arial"/>
            <w:i/>
            <w:color w:val="0077CC"/>
            <w:sz w:val="20"/>
            <w:u w:val="single"/>
            <w:shd w:val="clear" w:color="auto" w:fill="FFFFFF"/>
            <w:lang w:val="en-US" w:eastAsia="en-US" w:bidi="ar-SA"/>
          </w:rPr>
          <w:t>2014 BCCA 48</w:t>
        </w:r>
      </w:hyperlink>
      <w:r>
        <w:rPr>
          <w:rFonts w:ascii="arial" w:eastAsia="arial" w:hAnsi="arial" w:cs="arial"/>
          <w:color w:val="000000"/>
          <w:sz w:val="20"/>
          <w:lang w:val="en-US" w:eastAsia="en-US" w:bidi="ar-SA"/>
        </w:rPr>
        <w:t xml:space="preserve"> at paras. 64-66.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Ms. Clarke's income loss multiplier is $26,916 per $1000 to age 65 taking labour market contingencies into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The plaintiff seeks an award of $800,000 under this head of damages based on certain factors, including:</w:t>
      </w:r>
      <w:r>
        <w:rPr>
          <w:rFonts w:ascii="arial" w:eastAsia="arial" w:hAnsi="arial" w:cs="arial"/>
          <w:sz w:val="20"/>
          <w:lang w:val="en-US" w:eastAsia="en-US" w:bidi="ar-SA"/>
        </w:rPr>
        <w:cr/>
      </w:r>
    </w:p>
    <w:p>
      <w:pPr>
        <w:numPr>
          <w:numId w:val="8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medical evidence including that of Dr. Eichhorst and Dr. Gouws regarding the plaintiff's disabilities and the vocational restrictions on the physical nature of work he can perform in the future;</w:t>
      </w:r>
    </w:p>
    <w:p>
      <w:pPr>
        <w:numPr>
          <w:numId w:val="8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Nordin's opinion that he could not identify suitable future employment options and that the plaintiff will struggle to keep maintenance positions until the point is reached that he will no longer find a position in this industry;</w:t>
      </w:r>
    </w:p>
    <w:p>
      <w:pPr>
        <w:numPr>
          <w:numId w:val="8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pre-Accident character was one of being a hard worker who took pride and identified with his work. It will be difficult for him to lower his perceptions of himself and take a lighter duty job. He will struggle to maintain employment in the maintenance field and this will affect his ability to seek replacement employment; and</w:t>
      </w:r>
    </w:p>
    <w:p>
      <w:pPr>
        <w:numPr>
          <w:numId w:val="8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using the "risks only" model set out in Ms. Clarke's report and on the assumption that the plaintiff will continue to work as a building maintenance worker to the end of 2020 but will earn about 30% less due to anticipated future failures in his employment and on the further assumption that he would then commence working in some as yet unspecified occupation that better suits his physical capabilities from 2012 to age 67, then this aspect of his loss should be assessed at approximately $600,000.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The plaintiff also seeks an award of $200,000 representing the loss in value to himself in relation to renovating properties for himself and his family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The defendants' position is that the plaintiff has not satisfied the threshold criteria for an award under this heading. In particular, they argue the plaintiff's perception of what constitutes a loss is insufficient.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I have concluded that, while the plaintiff has established a loss of future earning capacity, I do not accept the methodology outlined at para 153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My findings of fact include that, with the rehabilitation measures to which I have referred in place, the plaintiff will largely return to his pre-Accident level of functioning.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By "largely" I mean that Mr. Karim will, from time to time in the future, have some sporadic ongoing symptoms from the physical and psychological effects of what was a situation of chronic pain. But those symptoms will be modest once his perception of pain and disability lessen considerably following the treatment regime.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Taking into account the timeframe it will take for the treatment to occur, including a residential pain clinic and the substantial possibility of infrequent absences from the work force during his working life, I award the plaintiff $100,000 under this head of damages. I have utilized the earnings approach yet given consideration to all the evidence to award what I consider to be fair under this heading to both the plaintiff and the defendants. Roughly speaking, $100,000 is equivalent to slightly more than two years' wages at $40,000 per year over the plaintiff's working life. This would take into account the time off work required to engage in the treatment plan as well as any short absences from work that may occur from time to time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I make no award for the alleged loss in performing home renovations. Any loss following completion of the treatment plan is, in my view, entirely speculative.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941"/>
        <w:gridCol w:w="784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9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E:</w:t>
            </w:r>
          </w:p>
        </w:tc>
        <w:tc>
          <w:tcPr>
            <w:tcW w:w="768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Cost of Future Care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A plaintiff is entitled to compensation for the cost of future care based on what is reasonably necessary to restore him or her to his or her original position, as far as that is possible. Where full restoration cannot be achieved, the court must strive to assure full compensation through the provision of adequate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xml:space="preserve">  The purpose of an award for future cost of care is "to compensate for a financial loss reasonably incurred to sustain or promote the mental and/or physical health of an injured plaintiff": </w:t>
      </w:r>
      <w:r>
        <w:rPr>
          <w:rFonts w:ascii="arial" w:eastAsia="arial" w:hAnsi="arial" w:cs="arial"/>
          <w:i/>
          <w:color w:val="000000"/>
          <w:sz w:val="20"/>
          <w:lang w:val="en-US" w:eastAsia="en-US" w:bidi="ar-SA"/>
        </w:rPr>
        <w:t>Erickson v. Sibble</w:t>
      </w:r>
      <w:r>
        <w:rPr>
          <w:rFonts w:ascii="arial" w:eastAsia="arial" w:hAnsi="arial" w:cs="arial"/>
          <w:color w:val="000000"/>
          <w:sz w:val="20"/>
          <w:lang w:val="en-US" w:eastAsia="en-US" w:bidi="ar-SA"/>
        </w:rPr>
        <w:t xml:space="preserve">, </w:t>
      </w:r>
      <w:hyperlink r:id="rId113" w:history="1">
        <w:r>
          <w:rPr>
            <w:rFonts w:ascii="arial" w:eastAsia="arial" w:hAnsi="arial" w:cs="arial"/>
            <w:i/>
            <w:color w:val="0077CC"/>
            <w:sz w:val="20"/>
            <w:u w:val="single"/>
            <w:shd w:val="clear" w:color="auto" w:fill="FFFFFF"/>
            <w:lang w:val="en-US" w:eastAsia="en-US" w:bidi="ar-SA"/>
          </w:rPr>
          <w:t>2012 BCSC 1880</w:t>
        </w:r>
      </w:hyperlink>
      <w:r>
        <w:rPr>
          <w:rFonts w:ascii="arial" w:eastAsia="arial" w:hAnsi="arial" w:cs="arial"/>
          <w:color w:val="000000"/>
          <w:sz w:val="20"/>
          <w:lang w:val="en-US" w:eastAsia="en-US" w:bidi="ar-SA"/>
        </w:rPr>
        <w:t xml:space="preserve"> at para. 316. The basis for such an award is what is medically justified and reasonable based on the evidence: </w:t>
      </w:r>
      <w:r>
        <w:rPr>
          <w:rFonts w:ascii="arial" w:eastAsia="arial" w:hAnsi="arial" w:cs="arial"/>
          <w:i/>
          <w:color w:val="000000"/>
          <w:sz w:val="20"/>
          <w:lang w:val="en-US" w:eastAsia="en-US" w:bidi="ar-SA"/>
        </w:rPr>
        <w:t>Milina</w:t>
      </w:r>
      <w:r>
        <w:rPr>
          <w:rFonts w:ascii="arial" w:eastAsia="arial" w:hAnsi="arial" w:cs="arial"/>
          <w:color w:val="000000"/>
          <w:sz w:val="20"/>
          <w:lang w:val="en-US" w:eastAsia="en-US" w:bidi="ar-SA"/>
        </w:rPr>
        <w:t xml:space="preserve"> at 84; </w:t>
      </w:r>
      <w:r>
        <w:rPr>
          <w:rFonts w:ascii="arial" w:eastAsia="arial" w:hAnsi="arial" w:cs="arial"/>
          <w:i/>
          <w:color w:val="000000"/>
          <w:sz w:val="20"/>
          <w:lang w:val="en-US" w:eastAsia="en-US" w:bidi="ar-SA"/>
        </w:rPr>
        <w:t>Spehar (Guardian ad litem of) v. Beazley</w:t>
      </w:r>
      <w:r>
        <w:rPr>
          <w:rFonts w:ascii="arial" w:eastAsia="arial" w:hAnsi="arial" w:cs="arial"/>
          <w:color w:val="000000"/>
          <w:sz w:val="20"/>
          <w:lang w:val="en-US" w:eastAsia="en-US" w:bidi="ar-SA"/>
        </w:rPr>
        <w:t xml:space="preserve">, </w:t>
      </w:r>
      <w:hyperlink r:id="rId114" w:history="1">
        <w:r>
          <w:rPr>
            <w:rFonts w:ascii="arial" w:eastAsia="arial" w:hAnsi="arial" w:cs="arial"/>
            <w:i/>
            <w:color w:val="0077CC"/>
            <w:sz w:val="20"/>
            <w:u w:val="single"/>
            <w:shd w:val="clear" w:color="auto" w:fill="FFFFFF"/>
            <w:lang w:val="en-US" w:eastAsia="en-US" w:bidi="ar-SA"/>
          </w:rPr>
          <w:t>2002 BCSC 1104</w:t>
        </w:r>
      </w:hyperlink>
      <w:r>
        <w:rPr>
          <w:rFonts w:ascii="arial" w:eastAsia="arial" w:hAnsi="arial" w:cs="arial"/>
          <w:color w:val="000000"/>
          <w:sz w:val="20"/>
          <w:lang w:val="en-US" w:eastAsia="en-US" w:bidi="ar-SA"/>
        </w:rPr>
        <w:t xml:space="preserve"> at para. 55.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Kuskis v. Tin</w:t>
      </w:r>
      <w:r>
        <w:rPr>
          <w:rFonts w:ascii="arial" w:eastAsia="arial" w:hAnsi="arial" w:cs="arial"/>
          <w:color w:val="000000"/>
          <w:sz w:val="20"/>
          <w:lang w:val="en-US" w:eastAsia="en-US" w:bidi="ar-SA"/>
        </w:rPr>
        <w:t xml:space="preserve">, </w:t>
      </w:r>
      <w:hyperlink r:id="rId115" w:history="1">
        <w:r>
          <w:rPr>
            <w:rFonts w:ascii="arial" w:eastAsia="arial" w:hAnsi="arial" w:cs="arial"/>
            <w:i/>
            <w:color w:val="0077CC"/>
            <w:sz w:val="20"/>
            <w:u w:val="single"/>
            <w:shd w:val="clear" w:color="auto" w:fill="FFFFFF"/>
            <w:lang w:val="en-US" w:eastAsia="en-US" w:bidi="ar-SA"/>
          </w:rPr>
          <w:t>2008 BCSC 862</w:t>
        </w:r>
      </w:hyperlink>
      <w:r>
        <w:rPr>
          <w:rFonts w:ascii="arial" w:eastAsia="arial" w:hAnsi="arial" w:cs="arial"/>
          <w:color w:val="000000"/>
          <w:sz w:val="20"/>
          <w:lang w:val="en-US" w:eastAsia="en-US" w:bidi="ar-SA"/>
        </w:rPr>
        <w:t xml:space="preserve"> at paras. 163-164, Madam Justice Dickson summarized the principles to consider in relation to a claim for cost of future care: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[163] An award for the cost of future care is notional and imprecise in nature: </w:t>
      </w:r>
      <w:r>
        <w:rPr>
          <w:rFonts w:ascii="arial" w:eastAsia="arial" w:hAnsi="arial" w:cs="arial"/>
          <w:i/>
          <w:color w:val="000000"/>
          <w:sz w:val="20"/>
          <w:lang w:val="en-US" w:eastAsia="en-US" w:bidi="ar-SA"/>
        </w:rPr>
        <w:t>Strachan (Guardian ad litem of) v. Reynolds</w:t>
      </w:r>
      <w:r>
        <w:rPr>
          <w:rFonts w:ascii="arial" w:eastAsia="arial" w:hAnsi="arial" w:cs="arial"/>
          <w:color w:val="000000"/>
          <w:sz w:val="20"/>
          <w:lang w:val="en-US" w:eastAsia="en-US" w:bidi="ar-SA"/>
        </w:rPr>
        <w:t xml:space="preserve">, </w:t>
      </w:r>
      <w:hyperlink r:id="rId116" w:history="1">
        <w:r>
          <w:rPr>
            <w:rFonts w:ascii="arial" w:eastAsia="arial" w:hAnsi="arial" w:cs="arial"/>
            <w:i/>
            <w:color w:val="0077CC"/>
            <w:sz w:val="20"/>
            <w:u w:val="single"/>
            <w:shd w:val="clear" w:color="auto" w:fill="FFFFFF"/>
            <w:lang w:val="en-US" w:eastAsia="en-US" w:bidi="ar-SA"/>
          </w:rPr>
          <w:t>2006 BCSC 362</w:t>
        </w:r>
      </w:hyperlink>
      <w:r>
        <w:rPr>
          <w:rFonts w:ascii="arial" w:eastAsia="arial" w:hAnsi="arial" w:cs="arial"/>
          <w:color w:val="000000"/>
          <w:sz w:val="20"/>
          <w:lang w:val="en-US" w:eastAsia="en-US" w:bidi="ar-SA"/>
        </w:rPr>
        <w:t xml:space="preserve">. The court must consider evidence regarding what care is likely in the injured person's best interest and calculate its present cost, with appropriate adjustment for contingencies in all of the circumstances of the case: </w:t>
      </w:r>
      <w:r>
        <w:rPr>
          <w:rFonts w:ascii="arial" w:eastAsia="arial" w:hAnsi="arial" w:cs="arial"/>
          <w:i/>
          <w:color w:val="000000"/>
          <w:sz w:val="20"/>
          <w:lang w:val="en-US" w:eastAsia="en-US" w:bidi="ar-SA"/>
        </w:rPr>
        <w:t>Courdin v. Meyers</w:t>
      </w:r>
      <w:r>
        <w:rPr>
          <w:rFonts w:ascii="arial" w:eastAsia="arial" w:hAnsi="arial" w:cs="arial"/>
          <w:color w:val="000000"/>
          <w:sz w:val="20"/>
          <w:lang w:val="en-US" w:eastAsia="en-US" w:bidi="ar-SA"/>
        </w:rPr>
        <w:t xml:space="preserve">, </w:t>
      </w:r>
      <w:hyperlink r:id="rId117" w:history="1">
        <w:r>
          <w:rPr>
            <w:rFonts w:ascii="arial" w:eastAsia="arial" w:hAnsi="arial" w:cs="arial"/>
            <w:i/>
            <w:color w:val="0077CC"/>
            <w:sz w:val="20"/>
            <w:u w:val="single"/>
            <w:shd w:val="clear" w:color="auto" w:fill="FFFFFF"/>
            <w:lang w:val="en-US" w:eastAsia="en-US" w:bidi="ar-SA"/>
          </w:rPr>
          <w:t>2005 BCCA 91</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[164] In making an award for future care costs the court must take into account both what is medically required and what expenses the plaintiff will likely incur. Items and services that the plaintiff is unlikely to use in the future cannot be justified as reasonably necessary aspects of the cost of future care: </w:t>
      </w:r>
      <w:r>
        <w:rPr>
          <w:rFonts w:ascii="arial" w:eastAsia="arial" w:hAnsi="arial" w:cs="arial"/>
          <w:i/>
          <w:color w:val="000000"/>
          <w:sz w:val="20"/>
          <w:lang w:val="en-US" w:eastAsia="en-US" w:bidi="ar-SA"/>
        </w:rPr>
        <w:t>Izony v. Weidlich</w:t>
      </w:r>
      <w:r>
        <w:rPr>
          <w:rFonts w:ascii="arial" w:eastAsia="arial" w:hAnsi="arial" w:cs="arial"/>
          <w:color w:val="000000"/>
          <w:sz w:val="20"/>
          <w:lang w:val="en-US" w:eastAsia="en-US" w:bidi="ar-SA"/>
        </w:rPr>
        <w:t xml:space="preserve">, </w:t>
      </w:r>
      <w:hyperlink r:id="rId118" w:history="1">
        <w:r>
          <w:rPr>
            <w:rFonts w:ascii="arial" w:eastAsia="arial" w:hAnsi="arial" w:cs="arial"/>
            <w:i/>
            <w:color w:val="0077CC"/>
            <w:sz w:val="20"/>
            <w:u w:val="single"/>
            <w:shd w:val="clear" w:color="auto" w:fill="FFFFFF"/>
            <w:lang w:val="en-US" w:eastAsia="en-US" w:bidi="ar-SA"/>
          </w:rPr>
          <w:t>2006 BCSC 1315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xml:space="preserve">  The extent to which, if at all, a future care costs award should be adjusted for contingencies depends on the specific care needs of the plaintiff. In some cases, negative contingencies are offset by positive contingencies and, therefore, a contingency adjustment is not required. In other cases, however, the award is reduced based on the prospect of improvement in the plaintiff's condition or increased based on the prospect that additional care will be required. Each case falls to be determined on its particular facts. See </w:t>
      </w:r>
      <w:r>
        <w:rPr>
          <w:rFonts w:ascii="arial" w:eastAsia="arial" w:hAnsi="arial" w:cs="arial"/>
          <w:i/>
          <w:color w:val="000000"/>
          <w:sz w:val="20"/>
          <w:lang w:val="en-US" w:eastAsia="en-US" w:bidi="ar-SA"/>
        </w:rPr>
        <w:t>Gilbert</w:t>
      </w:r>
      <w:r>
        <w:rPr>
          <w:rFonts w:ascii="arial" w:eastAsia="arial" w:hAnsi="arial" w:cs="arial"/>
          <w:color w:val="000000"/>
          <w:sz w:val="20"/>
          <w:lang w:val="en-US" w:eastAsia="en-US" w:bidi="ar-SA"/>
        </w:rPr>
        <w:t xml:space="preserve"> at para. 253.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xml:space="preserve">  An assessment of damages for cost of future care is not a precise accounting exercise: </w:t>
      </w:r>
      <w:r>
        <w:rPr>
          <w:rFonts w:ascii="arial" w:eastAsia="arial" w:hAnsi="arial" w:cs="arial"/>
          <w:i/>
          <w:color w:val="000000"/>
          <w:sz w:val="20"/>
          <w:lang w:val="en-US" w:eastAsia="en-US" w:bidi="ar-SA"/>
        </w:rPr>
        <w:t>Krangle (Guardian ad litem of) v. Brisco</w:t>
      </w:r>
      <w:r>
        <w:rPr>
          <w:rFonts w:ascii="arial" w:eastAsia="arial" w:hAnsi="arial" w:cs="arial"/>
          <w:color w:val="000000"/>
          <w:sz w:val="20"/>
          <w:lang w:val="en-US" w:eastAsia="en-US" w:bidi="ar-SA"/>
        </w:rPr>
        <w:t xml:space="preserve">, </w:t>
      </w:r>
      <w:hyperlink r:id="rId44" w:history="1">
        <w:r>
          <w:rPr>
            <w:rFonts w:ascii="arial" w:eastAsia="arial" w:hAnsi="arial" w:cs="arial"/>
            <w:i/>
            <w:color w:val="0077CC"/>
            <w:sz w:val="20"/>
            <w:u w:val="single"/>
            <w:shd w:val="clear" w:color="auto" w:fill="FFFFFF"/>
            <w:lang w:val="en-US" w:eastAsia="en-US" w:bidi="ar-SA"/>
          </w:rPr>
          <w:t>2002 SCC 9</w:t>
        </w:r>
      </w:hyperlink>
      <w:r>
        <w:rPr>
          <w:rFonts w:ascii="arial" w:eastAsia="arial" w:hAnsi="arial" w:cs="arial"/>
          <w:color w:val="000000"/>
          <w:sz w:val="20"/>
          <w:lang w:val="en-US" w:eastAsia="en-US" w:bidi="ar-SA"/>
        </w:rPr>
        <w:t xml:space="preserve"> at para.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Considering these principles, I make the following award:</w:t>
      </w:r>
      <w:r>
        <w:rPr>
          <w:rFonts w:ascii="arial" w:eastAsia="arial" w:hAnsi="arial" w:cs="arial"/>
          <w:sz w:val="20"/>
          <w:lang w:val="en-US" w:eastAsia="en-US" w:bidi="ar-SA"/>
        </w:rPr>
        <w:cr/>
      </w:r>
    </w:p>
    <w:p>
      <w:pPr>
        <w:numPr>
          <w:numId w:val="8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$10,000, being the amount agreed upon by the parties as representing the reasonable cost for a residential multi-disciplinary pain clinic;</w:t>
      </w:r>
    </w:p>
    <w:p>
      <w:pPr>
        <w:numPr>
          <w:numId w:val="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$2,960, representing 16 cognitive behavioural therapy sessions at $185 per session; and</w:t>
      </w:r>
    </w:p>
    <w:p>
      <w:pPr>
        <w:numPr>
          <w:numId w:val="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$4,000, being the approximate cost of a further intensive speech therapy course at Columbia. There will be no award for additional "refresher" sessions since the need for these pre-existed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There will be no award for a kinesiologist or a gym pass. There is no evidence that the former will likely be required after the pain clinic. Furthermore, had the Accident not occurred, taking into account the physical aspects of his employment, it would have been in the plaintiff's best interests to have a gym pass in order to remain as fit as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The total award under this head of damages is $16,960.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941"/>
        <w:gridCol w:w="784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9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F:</w:t>
            </w:r>
          </w:p>
        </w:tc>
        <w:tc>
          <w:tcPr>
            <w:tcW w:w="768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Special Damages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The parties are in agreement on the amount of $2,119.73 for medical and other treatment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The plaintiff also seeks damages in the amount of $5800 which represents out-of-pocket expenses incurred for which he is responsible in relation to the cancelled wedding ceremony with Ms. Azimi. He also claims $14,800 for the loss of his ability to use the camera equipment purchased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xml:space="preserve">  It is well-established that an injured person is entitled to recover the reasonable out-of-pocket expenses he or she incurred as a result of an accident. This is grounded in the fundamental governing principle that an injured person is to be restored to the position he or she would have been in had the accident not occurred: </w:t>
      </w:r>
      <w:r>
        <w:rPr>
          <w:rFonts w:ascii="arial" w:eastAsia="arial" w:hAnsi="arial" w:cs="arial"/>
          <w:i/>
          <w:color w:val="000000"/>
          <w:sz w:val="20"/>
          <w:lang w:val="en-US" w:eastAsia="en-US" w:bidi="ar-SA"/>
        </w:rPr>
        <w:t>X. v. Y.,</w:t>
      </w:r>
      <w:r>
        <w:rPr>
          <w:rFonts w:ascii="arial" w:eastAsia="arial" w:hAnsi="arial" w:cs="arial"/>
          <w:color w:val="000000"/>
          <w:sz w:val="20"/>
          <w:lang w:val="en-US" w:eastAsia="en-US" w:bidi="ar-SA"/>
        </w:rPr>
        <w:t xml:space="preserve"> </w:t>
      </w:r>
      <w:hyperlink r:id="rId119" w:history="1">
        <w:r>
          <w:rPr>
            <w:rFonts w:ascii="arial" w:eastAsia="arial" w:hAnsi="arial" w:cs="arial"/>
            <w:i/>
            <w:color w:val="0077CC"/>
            <w:sz w:val="20"/>
            <w:u w:val="single"/>
            <w:shd w:val="clear" w:color="auto" w:fill="FFFFFF"/>
            <w:lang w:val="en-US" w:eastAsia="en-US" w:bidi="ar-SA"/>
          </w:rPr>
          <w:t>2011 BCSC 944</w:t>
        </w:r>
      </w:hyperlink>
      <w:r>
        <w:rPr>
          <w:rFonts w:ascii="arial" w:eastAsia="arial" w:hAnsi="arial" w:cs="arial"/>
          <w:color w:val="000000"/>
          <w:sz w:val="20"/>
          <w:lang w:val="en-US" w:eastAsia="en-US" w:bidi="ar-SA"/>
        </w:rPr>
        <w:t xml:space="preserve"> at para. 281; </w:t>
      </w:r>
      <w:r>
        <w:rPr>
          <w:rFonts w:ascii="arial" w:eastAsia="arial" w:hAnsi="arial" w:cs="arial"/>
          <w:i/>
          <w:color w:val="000000"/>
          <w:sz w:val="20"/>
          <w:lang w:val="en-US" w:eastAsia="en-US" w:bidi="ar-SA"/>
        </w:rPr>
        <w:t>Milina</w:t>
      </w:r>
      <w:r>
        <w:rPr>
          <w:rFonts w:ascii="arial" w:eastAsia="arial" w:hAnsi="arial" w:cs="arial"/>
          <w:color w:val="000000"/>
          <w:sz w:val="20"/>
          <w:lang w:val="en-US" w:eastAsia="en-US" w:bidi="ar-SA"/>
        </w:rPr>
        <w:t xml:space="preserve"> at 78.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xml:space="preserve">  This compensatory principle mandates that the expenses are restorative and that they are not too remote: </w:t>
      </w:r>
      <w:r>
        <w:rPr>
          <w:rFonts w:ascii="arial" w:eastAsia="arial" w:hAnsi="arial" w:cs="arial"/>
          <w:i/>
          <w:color w:val="000000"/>
          <w:sz w:val="20"/>
          <w:lang w:val="en-US" w:eastAsia="en-US" w:bidi="ar-SA"/>
        </w:rPr>
        <w:t>X v. Y</w:t>
      </w:r>
      <w:r>
        <w:rPr>
          <w:rFonts w:ascii="arial" w:eastAsia="arial" w:hAnsi="arial" w:cs="arial"/>
          <w:color w:val="000000"/>
          <w:sz w:val="20"/>
          <w:lang w:val="en-US" w:eastAsia="en-US" w:bidi="ar-SA"/>
        </w:rPr>
        <w:t xml:space="preserve"> at para. 282. Questions of restoration and remoteness arise in this case with respect to the costs claimed by the plaintiff associated with the cancellation of his wedding ceremony and the loss of camera equipment purchased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The role of remoteness is to contain liability within fair and reasonable boundaries. As discussed by Lewis N. Klar</w:t>
      </w:r>
      <w:r>
        <w:rPr>
          <w:rFonts w:ascii="arial" w:eastAsia="arial" w:hAnsi="arial" w:cs="arial"/>
          <w:i/>
          <w:color w:val="000000"/>
          <w:sz w:val="20"/>
          <w:lang w:val="en-US" w:eastAsia="en-US" w:bidi="ar-SA"/>
        </w:rPr>
        <w:t>, Tort Low</w:t>
      </w:r>
      <w:r>
        <w:rPr>
          <w:rFonts w:ascii="arial" w:eastAsia="arial" w:hAnsi="arial" w:cs="arial"/>
          <w:color w:val="000000"/>
          <w:sz w:val="20"/>
          <w:lang w:val="en-US" w:eastAsia="en-US" w:bidi="ar-SA"/>
        </w:rPr>
        <w:t>, 5th ed. (Toronto: Carswell, 2012) at 489-490: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issue of remoteness asks: how far ought a negligent defendant's legal liability, and hence financial responsibility, extend? All of the harmful results of negligent conduct cannot be laid at the feet of the actor who is factually responsible for these results. The notion of proximate cause indicates that after some point, a defendant's negligent conduct will no longer be considered a legal cause of the plaintiff's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I have found that the anxiety and stresses that resulted from the Accident were a contributing factor to the termination of the relationship between Mr. Karim and Ms. Azimi. Ms. Azimi testified to that effect and she was not seriously challenged on this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However, I find that the wedding costs associated with the termination of the relationship with Ms. Azimi to be too remote at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I also make no award for the amount claimed for camera equipment. First of all, the plaintiff's evidence is that a portion of that equipment is in Iraq and the evidence on this issue is insufficient to establish a loss. Secondly, with the completion of the treatment program, the plaintiff should be able to return to this type of activity. Finally, this aspect of the claim is also too remote at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84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X:</w:t>
            </w:r>
          </w:p>
        </w:tc>
        <w:tc>
          <w:tcPr>
            <w:tcW w:w="829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CONCLUSION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I award the plaintiff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Non Pecuniary Damages: $100,000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Past Loss of Income and Earning Capacity: $41,600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Loss of Future Earning Capacity: $ 100,000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Cost of Future Care: $16,960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Special Damages: $2,119.73</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Total $260,679.73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Subject to any factors pertaining to costs, which either party has leave to bring to my attention, the plaintiff is awarded his costs at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 ABRIOUX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35" style="position:absolute;z-index:25186099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20"/>
          <w:headerReference w:type="default" r:id="rId121"/>
          <w:footerReference w:type="even" r:id="rId122"/>
          <w:footerReference w:type="default" r:id="rId123"/>
          <w:headerReference w:type="first" r:id="rId124"/>
          <w:footerReference w:type="first" r:id="rId12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26" w:history="1">
        <w:r>
          <w:rPr>
            <w:rFonts w:ascii="arial" w:eastAsia="arial" w:hAnsi="arial" w:cs="arial"/>
            <w:b/>
            <w:bCs/>
            <w:i/>
            <w:color w:val="0077CC"/>
            <w:kern w:val="32"/>
            <w:sz w:val="28"/>
            <w:szCs w:val="32"/>
            <w:u w:val="single"/>
            <w:shd w:val="clear" w:color="auto" w:fill="FFFFFF"/>
            <w:lang w:val="en-US" w:eastAsia="en-US" w:bidi="ar-SA"/>
          </w:rPr>
          <w:t>Kilian v. Valentin, [2012] B.C.J. No. 2009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C.A. Wedge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11-15 and 18-22,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28,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M100134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[2012] B.C.J. No. 2009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2012 BCSC 1434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Jennifer Kilian, Plaintiff, and Cory Valentin and Berezay Trucking Inc. also known as M.A.A.S. Transport Inc.,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(203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36" style="position:absolute;z-index:2516602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3" w:name="Keywords_1"/>
      <w:bookmarkEnd w:id="13"/>
      <w:r>
        <w:rPr>
          <w:rFonts w:ascii="arial" w:eastAsia="arial" w:hAnsi="arial" w:cs="arial"/>
          <w:b/>
          <w:color w:val="000000"/>
          <w:sz w:val="20"/>
          <w:lang w:val="en-US" w:eastAsia="en-US" w:bidi="ar-SA"/>
        </w:rPr>
        <w:t>Damages — Physical and psychological injuries — Physical injuries — Body injuries — Neck — Considerations impacting on award — Action by plaintiff for damages for injuries arising from motor vehicle accident allowed — Plaintiff made left turn, entering westbound lane and was struck by defendant attempting to change lane — She suffered neck and shoulder pain, and continued to suffer occasional neck pain, but ongoing pain had resolved — She was full-time teacher who applied for Master's program — Defendant was at fault for accident — Plaintiff was awarded $75,000 in non-pecuniary damages, $15,682 in past income loss, $70,000 in loss of earning capacity, $26,735 in cost of future care and $6172 in special damages.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Categories of — Loss of income — Employees — For personal injuries — Considerations — Cost of future care — Loss of earning capacity — Retroactive loss of income — Special damages — Past loss of income — Employment income — Non-pecuniary loss — Action by plaintiff for damages for injuries arising from motor vehicle accident allowed — Plaintiff made left turn, entering westbound lane and was struck by defendant attempting to change lane — She suffered neck and shoulder pain, and continued to suffer occasional neck pain, but ongoing pain had resolved — She was full-time teacher who applied for Master's program — Defendant was at fault for accident — Plaintiff was awarded $75,000 in non-pecuniary damages, $15,682 in past income loss, $70,000 in loss of earning capacity, $26,735 in cost of future care and $6172 in special damages.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 — Liability of driver — Action by plaintiff for damages for injuries arising from motor vehicle accident allowed — Plaintiff made left turn, entering westbound lane and was struck by defendant attempting to change lane — She suffered neck and shoulder pain, and continued to suffer occasional neck pain, but ongoing pain had resolved — She was full-time teacher who applied for Master's program — Defendant was at fault for accident — Plaintiff was awarded $75,000 in non-pecuniary damages, $15,682 in past income loss, $70,000 in loss of earning capacity, $26,735 in cost of future care and $6172 in special damages.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4" w:name="Case Summary_1"/>
            <w:bookmarkEnd w:id="1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 for damages for injuries arising from a motor vehicle accident. The plaintiff made a left turn, entering a westbound lane from a break in a median dividing eastbound and westbound traffic. Her car was struck by the defendant's truck as he attempted to change to the lane closest to the median. She suffered acute neck and shoulder pain as a result of the accident, and continued to suffer occasional acute neck pain, but her ongoing pain had resolved. She was 28 at the time of the accident. She obtained a temporary position as an elementary school teacher five months prior to the accident and continued in that job until receiving a full-time position two and a half years after the accident. She also had a part-time job that she had to give up because of her injuries. She completed a graduate studies program after the accident and applied for entry to a Master's program. Prior to the accident, she was physically active and had a busy social life.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5" w:name="Holdings of Court_1"/>
            <w:bookmarkEnd w:id="15"/>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defendant was wholly at fault for the accident. The physical evidence supported the plaintiff's assertion that she was fully in the left lane, heading westbound, and travelled at least 40 metres beyond the median before the defendant attempted his lane change. When the plaintiff merged into the westbound lane, she took reasonable care to ensure that there were no vehicles approaching from the west that could cause a hazard. The defendant would have observed the plaintiff's car in the left lane before attempting the lane change, had he exercised reasonable care. The plaintiff was awarded $75,000 in non-pecuniary damages. She suffered acute neck and shoulder pain that significantly interfered with her day-to-day living and enjoyment of life during the first 12 to 16 months after the accident. She used "on call" days to recuperate and sick days to deal with pain, had little or no social life, attended numerous medical appointments and took medications that resulted in additional health problems. She suffered occasional exacerbations that significantly affected her enjoyment of life after that time, but there were lengthy periods in which she was symptom-free. Doctors stated that, absent the exacerbations, she was capable of performing all basic daily activities and believed that her condition would likely continue to improve. The plaintiff was awarded $15,682 in past income loss. She was entitled to the portion of the lost "on-call" days that she claimed, replenishment of the sick bank and the part-time job for a period not past the point at which she obtained the full-time position. The plaintiff was awarded $70,000 in loss of earning capacity. A fair approach to the future loss from having to access the sick bank was to average the days that she missed from the teaching position in the four years since the accident as a result of the injuries. There was a substantial likelihood that her pain could interfere with her ability to achieve the Master's degree in the immediate three to four years. The plaintiff was awarded $26,735 in cost of future care. The award was based on what was reasonably necessary to assist in maintaining her general fitness and conditioning and in alleviating her symptoms when they become acute. The plaintiff was awarded $6172 in special damages.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6" w:name="Legislation Cited_0"/>
      <w:bookmarkEnd w:id="1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37" style="position:absolute;z-index:2517114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Motor Vehicle Act, </w:t>
      </w:r>
      <w:hyperlink r:id="rId127" w:history="1">
        <w:r>
          <w:rPr>
            <w:rFonts w:ascii="arial" w:eastAsia="arial" w:hAnsi="arial" w:cs="arial"/>
            <w:i/>
            <w:color w:val="0077CC"/>
            <w:sz w:val="20"/>
            <w:u w:val="single"/>
            <w:shd w:val="clear" w:color="auto" w:fill="FFFFFF"/>
            <w:lang w:val="en-US" w:eastAsia="en-US" w:bidi="ar-SA"/>
          </w:rPr>
          <w:t>RSBC 1996, CHAPTER 318, s. 144</w:t>
        </w:r>
      </w:hyperlink>
      <w:r>
        <w:rPr>
          <w:rFonts w:ascii="arial" w:eastAsia="arial" w:hAnsi="arial" w:cs="arial"/>
          <w:color w:val="000000"/>
          <w:sz w:val="20"/>
          <w:lang w:val="en-US" w:eastAsia="en-US" w:bidi="ar-SA"/>
        </w:rPr>
        <w:t>, s. 175</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7" w:name="Counsel_1"/>
      <w:bookmarkEnd w:id="17"/>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38" style="position:absolute;z-index:2517626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M.R. Hoogbruin, M. Airton.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M.A. Chaudhary.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8" w:name="Judgment_1"/>
      <w:bookmarkEnd w:id="18"/>
      <w:r>
        <w:pict>
          <v:line id="_x0000_s1039" style="position:absolute;z-index:25181388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numPr>
          <w:numId w:val="9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INTRODUCTION</w:t>
      </w:r>
    </w:p>
    <w:p>
      <w:pPr>
        <w:numPr>
          <w:numId w:val="2"/>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ISSUES</w:t>
      </w:r>
    </w:p>
    <w:p>
      <w:pPr>
        <w:numPr>
          <w:numId w:val="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LIABILITY</w:t>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Evidence concerning the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Arguments concerning Liability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 Decision concerning Liability</w:t>
      </w:r>
    </w:p>
    <w:p>
      <w:pPr>
        <w:numPr>
          <w:numId w:val="4"/>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w:t>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Evidence</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Plaintiff's Background</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Causation</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Medical Condition</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Periodic Exacerbations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Career Post-Accident</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Physical Capacity Evaluation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Discussion</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Loss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Legal Principals</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Positions of the Parties</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Discussion</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Past Income Loss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Teacher-on-Call Days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Sick Bank</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Respite Care Job</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Past Income Loss: Total Award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5. Future Income Loss/Loss of Earning Capacity</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Use of Sick Days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Loss of opportunity to obtain the Master's Degree</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Discussion</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 of Future Care</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General</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Deductibility of Collateral Benefits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Mitigation</w:t>
      </w:r>
    </w:p>
    <w:p>
      <w:pPr>
        <w:numPr>
          <w:numId w:val="9"/>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SUMMARY OF DAMAGES AWARDS</w: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r>
              <w:rPr>
                <w:rFonts w:ascii="arial" w:eastAsia="arial" w:hAnsi="arial" w:cs="arial"/>
                <w:b/>
                <w:color w:val="000000"/>
                <w:sz w:val="30"/>
                <w:lang w:val="en-US" w:eastAsia="en-US" w:bidi="ar-SA"/>
              </w:rPr>
              <w:t>C.A. WEDGE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I. </w:t>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Jennifer Kilian was injured in a motor vehicle accident in Vancouver on February 1, 2008, when her car was struck by a large semi-trailer truck driven by Cory Valentin and owned by Berezay Trucking Inc.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Ms. Kilian had just executed a left-hand turn from St. George Street ("St. George") onto Southeast Marine Drive ("S.E. Marine"), having entered a westbound traffic lane from a break in the median dividing the eastbound and westbound traffic. Mr. Valentin was driving his truck westbound in the middle lane on S.E. Marine. As he attempted to change lanes to the lane closest to the median, the left rear section of his trailer struck Ms. Kilian's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Ms. Kilian sought medical care the day after the accident for headaches and acute neck pain radiating into both shoulders. She also sought psychiatric treatment for driving anxiety caused by the accident. While her driving anxiety and her ongoing pain symptoms have resolved over time, Ms. Kilian continues to suffer from occasional episodes of acute neck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this action, Ms. Kilian sought damages for the losses she alleges she suffered as a result of the injuries she sustained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defendants did not deny that Ms. Kilian suffered injuries as a result of the accident, but denied that the accident was the result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Mr. Valentin. They acknowledged that Ms. Kilian's injuries were caused by the accident and that if Mr. Valentin was at fault, Ms. Kilian is entitled to damages for those injuries. However, the defendants disputed the extent of her injuries and the duration of her pain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II. </w:t>
      </w:r>
      <w:r>
        <w:rPr>
          <w:rFonts w:ascii="arial" w:eastAsia="arial" w:hAnsi="arial" w:cs="arial"/>
          <w:b/>
          <w:color w:val="000000"/>
          <w:sz w:val="20"/>
          <w:u w:val="single"/>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issues are the following:</w:t>
      </w:r>
      <w:r>
        <w:rPr>
          <w:rFonts w:ascii="arial" w:eastAsia="arial" w:hAnsi="arial" w:cs="arial"/>
          <w:sz w:val="20"/>
          <w:lang w:val="en-US" w:eastAsia="en-US" w:bidi="ar-SA"/>
        </w:rPr>
        <w:cr/>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Are the defendants liable, in whole or in part, for the accident?</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what damages ought to be awarded for the injuries Ms. Kilian suffered in the accident? More specifically, is Ms. Kilian entitled to:</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past wage loss;</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future wage loss;</w:t>
      </w:r>
    </w:p>
    <w:p>
      <w:pPr>
        <w:numPr>
          <w:numId w:val="1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cost of future care;</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diminished housekeeping capacity; and/or</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For the reasons that follow, I have concluded that the defendants are liable for Ms. Kilian's injuries because Mr. Valentin was wholly at fault for the accident. I have also concluded that Ms. Kilian is entitled to damages under most, but not all heads of damage claimed.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III. </w:t>
      </w:r>
      <w:r>
        <w:rPr>
          <w:rFonts w:ascii="arial" w:eastAsia="arial" w:hAnsi="arial" w:cs="arial"/>
          <w:b/>
          <w:color w:val="000000"/>
          <w:sz w:val="20"/>
          <w:u w:val="single"/>
          <w:lang w:val="en-US" w:eastAsia="en-US" w:bidi="ar-SA"/>
        </w:rPr>
        <w:t>LIABILITY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A. </w:t>
      </w:r>
      <w:r>
        <w:rPr>
          <w:rFonts w:ascii="arial" w:eastAsia="arial" w:hAnsi="arial" w:cs="arial"/>
          <w:b/>
          <w:color w:val="000000"/>
          <w:sz w:val="20"/>
          <w:u w:val="single"/>
          <w:lang w:val="en-US" w:eastAsia="en-US" w:bidi="ar-SA"/>
        </w:rPr>
        <w:t>Evidence concerning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accident occurred at about 1:30 p.m. on February 1, 2008. Ms. Kilian had just left a store on St. George, south of S.E. Marine. She was driving her 1996 Honda sedan, and was alone in the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S.E. Marine is a main traffic artery in Vancouver, running east and west. It has three lanes in each direction, connecting Vancouver with municipalities such as Burnaby and New Westminster. S.E. Marine is heavily used by trucks transporting goods between the outlying municipalities and the industrial areas of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St. George is not a through street, running only on the south side of S.E. Marine. It intersects with S.E. Marine and ends at that point in a T-intersection. Traffic at the T-intersection is governed by a stop sign. A concrete median divides the east- and westbound traffic along this stretch of S.E. Marine. There is a break in the concrete median at the T-intersection, which is designed to allow traffic from St. George to access the westbound lanes. The median break is approximately the width of one traffic lane. Vehicles accessing the westbound lanes must cross the eastbound lanes of S.E. Marine, enter the median break, and then turn left into a westbound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Ms. Kilian's destination was to the west. She stopped her car at the stop sign on St. George until there was a break in the eastbound traffic. She then drove across the eastbound lanes and stopped at the median break. After waiting for the westbound traffic to clear, she completed her left turn into the westbound lane closest to the concrete median and began accelerating as she headed west.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Valentin, in the meantime, was driving his semi-trailer truck westbound in the centre lane on S.E. Marine. The truck is 22 feet long, and the trailer attached to his truck at the time was either 48 or 53 feet in length.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Valentin's destination was an industrial park located to the south of S.E. Marine. Access to the industrial park required a left turn on to Main Street, which is a through street located a short distance beyond the T-intersection at St. George. As he approached the T-intersection, Mr. Valentin decided to change from the centre of the three westbound lanes to the left lane in preparation for his left turn on to Main Street. He was not aware of the median break at the T-intersection allowing vehicle access from St. George to S.E. Marine.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concrete median ends approximately 40 metres to the west of the T-intersection and is replaced by a solid yellow line. Ms. Kilian had travelled the length of the median, and had just cleared it when the left rear section of Mr. Valentin's trailer struck the passenger side of Ms. Kilian's car. Ms. Kilian sounded her car horn and she either swerved or was pushed by the impact into the closest eastbound lane. Fortunately, there were no vehicles travelling eastbound in that lane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Valentin recalled checking in his left rear view mirror before beginning his lane change. The lane was clear at that time. He recalled that approximately 5 seconds later, as he was in the process of executing the lane change, he looked in his rear view mirror a second time. Only then did he see Ms. Kilian's car. At that point, he observed the Honda Civic travelling westbound in the left lane. Mr. Valentin swerved back into the centre lane in an attempt to avoid the accident, but the left rear axle of the trailer hit Ms. Kilian's car as he did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Valentin did not see Ms. Kilian's car at any point in time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Ms. Kilian recalled that at the time the trailer struck her car, she had been travelling westbound in the lane closest to the median for approximately 5 to 10 seconds. She estimated that she had reached a speed of approximately 40 km/h at that time. She knew the impact occurred after she had travelled beyond the length of the concrete median because her car crossed the yellow line into the eastbound lane when she was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rear view mirror on the passenger side of Ms. Kilian's car was torn off by the impact and landed at the kerb beyond the farthest eastbound lane. There was also damage to the right passenger door area and the front of the right quarter panel.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B. </w:t>
      </w:r>
      <w:r>
        <w:rPr>
          <w:rFonts w:ascii="arial" w:eastAsia="arial" w:hAnsi="arial" w:cs="arial"/>
          <w:b/>
          <w:color w:val="000000"/>
          <w:sz w:val="20"/>
          <w:u w:val="single"/>
          <w:lang w:val="en-US" w:eastAsia="en-US" w:bidi="ar-SA"/>
        </w:rPr>
        <w:t>Arguments concerning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defendants denied liability, arguing that Ms. Kilian created a hazardous situation by executing the left turn in two stages instead of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Ms. Kilian awaited clearance of the eastbound traffic before advancing across S.E. Marine to the median break, and then waited 30 to 40 seconds for clearance of the westbound traffic before proceeding into the westbound lane. According to the defendants, Ms. Kilian should have waited at the stop sign on St. George until the roadway was clear of both eastbound and westbound traffic, and then executed her turn onto S.E. Marine westbound without first stopping in the median break. By proceeding into the median break and then stopping until the westbound traffic had cleared, argued the defendants, Ms. Kilian: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created an unusual situation resulting in her vehicle entering westbound S.E. Marine Drive from a position where drivers would not expect and in an area where they may not be on the lookout for [a vehicle]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Having created this hazardous situation, argued the defendants, Ms. Kilian then tried to execute an unsafe turn onto S.E. Marine when it ought to have been apparent that Mr. Valentin was attempting a lane change from the middle to the left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Ms. Kilian argued that the theory of the defendants concerning liability does not accord with the physical evidence. In order to accept the defendants' theory, one must conclude that the impact occurred while Ms. Kilian was attempting to turn into the westbound lane from the median break. However, the physical evidence establishes that Ms. Kilian was fully in the westbound lane and had already travelled a considerable distance when Mr. Valentin attempted his lane change. Accordingly, Mr. Valentin ought to have observed Ms. Kilian's vehicle before he attempted to change lanes, and was negligent in failing to do so.</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C. </w:t>
      </w:r>
      <w:r>
        <w:rPr>
          <w:rFonts w:ascii="arial" w:eastAsia="arial" w:hAnsi="arial" w:cs="arial"/>
          <w:b/>
          <w:color w:val="000000"/>
          <w:sz w:val="20"/>
          <w:u w:val="single"/>
          <w:lang w:val="en-US" w:eastAsia="en-US" w:bidi="ar-SA"/>
        </w:rPr>
        <w:t>Decision concerning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 do not accept the defendants' position concerning liability. The defendants were unable to cite any statutory provisions or case law in support of their argument that the operator of a motor vehicle must execute a left turn in the "one stage" manner they describe.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 only statutory provisions cited to me in argument that have any possible relevance in these circumstances are ss. 144 and 175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Section 144 imposes a general duty upon all motorists not to drive without due care and attention or without reasonable consideration for others using the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Section 175 states as follows:</w:t>
      </w:r>
      <w:r>
        <w:rPr>
          <w:rFonts w:ascii="arial" w:eastAsia="arial" w:hAnsi="arial" w:cs="arial"/>
          <w:sz w:val="20"/>
          <w:lang w:val="en-US" w:eastAsia="en-US" w:bidi="ar-SA"/>
        </w:rPr>
        <w:cr/>
      </w:r>
    </w:p>
    <w:p>
      <w:pPr>
        <w:numPr>
          <w:numId w:val="1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a vehicle that is about to enter a through highway has stopped in compliance with section 186,</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driver of the vehicle must yield the right of way to traffic that has entered the intersection on the through highway or is approaching so closely on it that it constitutes an immediate hazard, and</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having yielded, the driver may proceed with caution.</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a vehicle is entering a through highway in compliance with subsection (1), traffic approaching the intersection on the highway must yield the right of way to the entering vehicle while it is proceeding into or across the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defendants argued that s. 175 imposed a duty on Ms. Kilian to remain at the St. George intersection until both the eastbound and westbound lanes were clear. I do not accept that argument. Section 175 applies most plainly to circumstances in which a motorist is attempting a conventional left turn across a thoroughfare with multiple lanes of oncoming traffic. In that situation, the motorist must assess whether there is a vehicle or vehicles in </w:t>
      </w:r>
      <w:r>
        <w:rPr>
          <w:rFonts w:ascii="arial" w:eastAsia="arial" w:hAnsi="arial" w:cs="arial"/>
          <w:color w:val="000000"/>
          <w:sz w:val="20"/>
          <w:u w:val="single"/>
          <w:lang w:val="en-US" w:eastAsia="en-US" w:bidi="ar-SA"/>
        </w:rPr>
        <w:t>any</w:t>
      </w:r>
      <w:r>
        <w:rPr>
          <w:rFonts w:ascii="arial" w:eastAsia="arial" w:hAnsi="arial" w:cs="arial"/>
          <w:color w:val="000000"/>
          <w:sz w:val="20"/>
          <w:lang w:val="en-US" w:eastAsia="en-US" w:bidi="ar-SA"/>
        </w:rPr>
        <w:t xml:space="preserve"> of the approaching lanes which constitute an immediate hazard. That assessment cannot be made on a lane-by-lane basis: </w:t>
      </w:r>
      <w:r>
        <w:rPr>
          <w:rFonts w:ascii="arial" w:eastAsia="arial" w:hAnsi="arial" w:cs="arial"/>
          <w:i/>
          <w:color w:val="000000"/>
          <w:sz w:val="20"/>
          <w:lang w:val="en-US" w:eastAsia="en-US" w:bidi="ar-SA"/>
        </w:rPr>
        <w:t>Carich v. Cook</w:t>
      </w:r>
      <w:r>
        <w:rPr>
          <w:rFonts w:ascii="arial" w:eastAsia="arial" w:hAnsi="arial" w:cs="arial"/>
          <w:color w:val="000000"/>
          <w:sz w:val="20"/>
          <w:lang w:val="en-US" w:eastAsia="en-US" w:bidi="ar-SA"/>
        </w:rPr>
        <w:t xml:space="preserve"> </w:t>
      </w:r>
      <w:hyperlink r:id="rId128" w:history="1">
        <w:r>
          <w:rPr>
            <w:rFonts w:ascii="arial" w:eastAsia="arial" w:hAnsi="arial" w:cs="arial"/>
            <w:i/>
            <w:color w:val="0077CC"/>
            <w:sz w:val="20"/>
            <w:u w:val="single"/>
            <w:shd w:val="clear" w:color="auto" w:fill="FFFFFF"/>
            <w:lang w:val="en-US" w:eastAsia="en-US" w:bidi="ar-SA"/>
          </w:rPr>
          <w:t>(1992), 90 D.L.R. (4th) 322</w:t>
        </w:r>
      </w:hyperlink>
      <w:r>
        <w:rPr>
          <w:rFonts w:ascii="arial" w:eastAsia="arial" w:hAnsi="arial" w:cs="arial"/>
          <w:color w:val="000000"/>
          <w:sz w:val="20"/>
          <w:lang w:val="en-US" w:eastAsia="en-US" w:bidi="ar-SA"/>
        </w:rPr>
        <w:t xml:space="preserve">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Median breaks such as the one at the St. George T-intersection present a different challenge and may well require a two-stage assessment when they are used by motorists. There are no statutory provisions directly applicable. As observed by Groberman J.A. in </w:t>
      </w:r>
      <w:r>
        <w:rPr>
          <w:rFonts w:ascii="arial" w:eastAsia="arial" w:hAnsi="arial" w:cs="arial"/>
          <w:i/>
          <w:color w:val="000000"/>
          <w:sz w:val="20"/>
          <w:lang w:val="en-US" w:eastAsia="en-US" w:bidi="ar-SA"/>
        </w:rPr>
        <w:t>Salaam v. Abramovic,</w:t>
      </w:r>
      <w:r>
        <w:rPr>
          <w:rFonts w:ascii="arial" w:eastAsia="arial" w:hAnsi="arial" w:cs="arial"/>
          <w:color w:val="000000"/>
          <w:sz w:val="20"/>
          <w:lang w:val="en-US" w:eastAsia="en-US" w:bidi="ar-SA"/>
        </w:rPr>
        <w:t xml:space="preserve"> </w:t>
      </w:r>
      <w:hyperlink r:id="rId129" w:history="1">
        <w:r>
          <w:rPr>
            <w:rFonts w:ascii="arial" w:eastAsia="arial" w:hAnsi="arial" w:cs="arial"/>
            <w:i/>
            <w:color w:val="0077CC"/>
            <w:sz w:val="20"/>
            <w:u w:val="single"/>
            <w:shd w:val="clear" w:color="auto" w:fill="FFFFFF"/>
            <w:lang w:val="en-US" w:eastAsia="en-US" w:bidi="ar-SA"/>
          </w:rPr>
          <w:t>2010 BCCA 212</w:t>
        </w:r>
      </w:hyperlink>
      <w:r>
        <w:rPr>
          <w:rFonts w:ascii="arial" w:eastAsia="arial" w:hAnsi="arial" w:cs="arial"/>
          <w:color w:val="000000"/>
          <w:sz w:val="20"/>
          <w:lang w:val="en-US" w:eastAsia="en-US" w:bidi="ar-SA"/>
        </w:rPr>
        <w:t xml:space="preserve"> at para. 21, ultimately a court must determine whether each of the parties in an accident met their common law duties of care. That determination is informed not only by the rules of the road but by the reasonableness of the actions of the parties. Mr. Justice Groberman explained, as follows, why that is the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[21] This is both because the rules of the road cannot comprehensively cover all possible scenarios, and because users of the road are expected to exercise reasonable care, even when others have failed to respect their right of way. While s. 175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and other rules of the road are important in determining whether the standard of care was met, they are not the exclusive measures of that standard.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Common sense would suggest that Ms. Kilian, when halted at the stop sign on St. George, had a duty to first determine whether there were any eastbound vehicles posing a hazard to her crossing the eastbound lanes. Once across the eastbound lanes and halted in the median break, she had a duty to determine whether there were any westbound vehicles which posed a hazard to her entering a westbound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short, the median at the intersection between St. George and S.E. Marine was there to be used in precisely the manner it was used by Ms. Kilian.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issue is whether Ms. Kilian, once having entered the median break, exercised reasonable care in assessing that there was no westbound traffic posing a hazard before she proceeded to enter the westbound lane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defendants' theory rests on their assertion that Ms. Kilian must have been in the process of entering the left lane when she was struck by Mr. Valentin's trailer. However, the physical evidence does not support that assertion. The physical evidence supports Ms. Kilian's assertion that she was fully in the left lane, heading westbound, and had travelled at least 40 metres beyond the median before Mr. Valentin attempted his lane change. Mr. Valentin's evidence also supports Ms. Kilian's version of events. He acknowledged that when he first noticed Ms. Kilian's vehicle just before impact, it was fully in the left lane travelling westbound.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 am satisfied that at the time Ms. Kilian merged into the westbound lane on S.E. Marine, she took reasonable care to ensure there were no vehicles approaching from the west that could cause a hazard to her or others. She took reasonable care to ensure her safety and that of other users of the road. Had Mr. Valentin been exercising reasonable care as he proceeded in the centre lane, he would have observed Ms. Kilian's car in the left lane before he attempted the lane change. Having concluded that Mr. Valentin failed to exercise reasonable care, I conclude that the defendants are liable for the damages suffered by Ms. Kilian as a result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IV. </w:t>
      </w:r>
      <w:r>
        <w:rPr>
          <w:rFonts w:ascii="arial" w:eastAsia="arial" w:hAnsi="arial" w:cs="arial"/>
          <w:b/>
          <w:color w:val="000000"/>
          <w:sz w:val="20"/>
          <w:u w:val="single"/>
          <w:lang w:val="en-US" w:eastAsia="en-US" w:bidi="ar-SA"/>
        </w:rPr>
        <w:t>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A. </w:t>
      </w:r>
      <w:r>
        <w:rPr>
          <w:rFonts w:ascii="arial" w:eastAsia="arial" w:hAnsi="arial" w:cs="arial"/>
          <w:b/>
          <w:color w:val="000000"/>
          <w:sz w:val="20"/>
          <w:u w:val="single"/>
          <w:lang w:val="en-US" w:eastAsia="en-US" w:bidi="ar-SA"/>
        </w:rPr>
        <w:t>Evidence</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1. Plaintiff's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Ms. Kilian is now 31 years of age. She was 28 at the time of the accident in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Ms. Kilian was born and raised in Richmond, B.C. She graduated from high school in 1998, after which she attended the University of British Columbia. She obtained a Bachelor of Arts in geography in 2002, and a Bachelor of Education in elementary school education in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Before obtaining her teaching qualifications, Ms. Kilian worked as an event coordinator for the Children's Wish Foundation and for an out-of-school care program. She also spent three years working in the cruise ship industry as an event coordinator.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the fall of 2007, Ms. Kilian obtained a temporary teaching position at Errington Elementary School in Richmond working four days per week in a .8 full time equivalent ("FTE") position. She also made herself available the remaining one day per week for assignments as a teacher on call ("TOC").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As noted earlier, the accident occurred in February 2008. By then, Ms. Kilian had been teaching at Errington on a temporary contract for five months. Ms. Kilian's temporary contract was renewed for the 2008-2009 and 2009-2010 school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May 2010, Ms. Kilian obtained a graduate diploma from Simon Fraser University in Learning Assistance. In September 2010, Ms. Kilian became a permanent teach at Errington with the Richmond School District working under a continuing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Ms. Kilian purchased a condominium in Richmond in 2007, where she continues to live. From November 2010 to May 2012 she lived in a relationship with Brendan Jones, but that relationship has now ended. She has no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Ms. Kilian's health before the accident was excellent. She had no physical limitations. She was outgoing and enjoyed a busy social life with a wide group of friends. She enjoyed going to the pub to watch hockey games, and attending clubs to dance. While she was not committed to any particular athletic endeavours, Ms. Kilian was quite physically active and participated in a variety of recreational activities such as golf, wakeboarding and scuba diving. She also travelled extensively.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2.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As noted earlier, the passenger side of Ms. Kilian's car was damaged and the rear view mirror torn off in the accident. The damage involved scrapes and some dents. The cost of the repairs was $2,644.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medical evidence called at trial by the plaintiff established that the accident caused the onset of Ms. Kilian's medical issues and has been the cause of her ongoing difficulties.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Causation was not disputed. Although the defendants disputed the extent and severity of Ms. Kilian's symptoms, they readily acknowledged at trial that she suffered myofacial (soft tissue) injuries in the February 2008 accident, and developed a significant (although now resolved) driving phobia. The defendants also acknowledged that in the event liability is established, Ms. Kilian is entitled to some compensation for those injuries and symptoms.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3. The Plaintiff's Medical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Ms. Kilian was emotionally shaken following the accident, but did not think it necessary to seek medical assistance immediately. She drove to her parent's home and stayed there for the balance of the day. By early evening, she was experiencing headaches radiating from pain in her neck. She attended a walk-in clinic in Richmond the following morning, where she was assessed by a physician and given pain medication and muscle relaxants.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Ms. Kilian then sought and obtained a medical appointment with her family physician, Dr. Ted Cragg, on February 7, 2008. At that visit, she reported pain in her neck, shoulders and head. The most severe and persistent problem was her neck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Ms. Kilian's symptoms were most acute in the first six months post-accident, and remained quite acute for a year to 16 months. To deal with her neck and shoulder pain, she received massage, chiropractic and acupuncture treatments. Her physician initially prescribed morphine for the pain, but the morphine affected her mental acuity. She was then prescribed codeine, but she suffered an allergic reaction to the drug. Tramacet, another pain medication prescribed by her physician, made her nauseous. Celebrex caused stomach bleeding. She was finally prescribed Dilaudid, which she took only before bed because of its sedative effects.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Ms. Kilian spent a great deal of time in the first year after the accident attending medical and therapeutic appointments. She continued to work in her contract teaching position, but took several days off due to her neck and shoulder pain. In addition, she removed herself from the TOC list and, as a result, worked only a four-day week. In that first year following the accident, Ms. Kilian also attended medical and therapeutic appointments up to three times per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his medical report dated August 26, 2009, Dr. Cragg reviewed his chart notes concerning Ms. Kilian's appointments during the first year following the accident, and summarized Ms. Kilian's condition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Ms. Kilian experienced substantial disability for over one year, as a direct result of the accident in question. There were numerous visits in which she was in tears because of the pain, frustration with the slowness of recovery, and because of her inability to engage in aspects of her work, recreational and social life. I was also impressed with her willingness to try any reasonable medicinal, physical or alternative treatments to help her along the road to recovery, and to perform the regular physiotherapeutic manoeuvres she was taught to do on her own. Despite her often disabling symptoms Ms. Kilian carried on with her teaching work except for occasional days when her symptoms precluded being able to 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Dr. Cragg's diagnosis was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diagnosis is of myofascial and ligamentous strain primarily of the upper neck and its attachments to the base of the skull, brought on by abrupt acceleration/deceleration movements of the head in relation to the neck, at the moment of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Dr. Cragg also stated that the prognosis for Ms. Kilian's complete recovery was uncertain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Ms. Kilian continued to see Dr. Cragg until he retired from practice in January 2010. She then began seeing Dr. Cheryl Hau. In her medical report dated June 23, 2011, Dr. Hau stated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After the initial year after her MVA, Jennifer's neck pain and headaches improved and she only suffered occasional flare-ups, which required Dilaudid (hydromorphone) to ease her symptoms. She reported that she had been about 70% better up until a recent ankle sprain in April 2011. She routinely manages her neck pain and headaches with Yoga and stretches. However, with her recent ankle sprain, she hadn't been able to participate in Yoga and stretches. Thus, her neck pain and headaches worsened and she reported that she is only 50% better now.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Jennifer is currently able to complete all her activities of daily living and all her instrumental activities of daily living. However, she does find that she has modified some of her activities (e.g., carrying multiple lighter loads of groceries versus one large load). She hasn't participated in the same recreational activities as those she enjoyed prior to her MVA.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Dr. Hau's diagnosis was "chronic myofascial pain and cervicogenic headaches secondary to a MVA." Dr. Hau provided a prescription for hydromorphone and amitriptyline, and advised Ms. Kilian to resume yoga when her ankle sprain settled.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Dr. Hau provided a further report dated February 13, 2012, which summarized Ms. Kilian's visits and treatments from August 2011 to the date of the report. Dr. Hau described an exacerbation in Ms. Kilian's neck symptoms which occurred following a vacation trip to Calgary in August 2011. This exacerbation continued until November 2011, when it abated. However, Dr. Hau noted that a further exacerbation occurred in December 2011 and extended into January 2012, following a period of inactivity due to a series of respiratory infections.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Dr. Hau reported that currently Ms. Kilian continues to have some chronic neck pain with occasional acute exacerbations which requires prescription medications such as hydromorphone and therapy such as massage and chiropractic therapy. It was Dr. Hau's opinion that Ms. Kilian would be required to take days off work when the neck pain was severe.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Ms. Kilian also attended a specialist in physical medicine and rehabilitation, Dr. John le Nobel. He assessed Ms. Kilian on three occasions: July 12, 2010, April 20, 2011, and March 13, 2012. He submitted two reports dated April 28, 2011 and March 14,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Dr. le Nobel testified that the objective findings of his physical examinations of Ms. Kilian on each occasion were normal -- that is to say, the range of motion in Ms. Kilian's neck and shoulders were within the normal range. In the most recent examination of March 2012, Ms. Kilian did not complain of any pain or tenderness in her neck and shoulders, but reported that she had experienced acute pain during exacerbations of her neck symptoms on two occasions in the preceding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Dr. le Nobel confirmed that Ms. Kilian had improved between the first and last assessments. In his report dated March 14, 2012, he stated that further improvement in Ms. Kilian's condition was "reasonably anticipated through the exercise based rehabilitation". However, barring some "as yet unachieved improvement" he did not anticipate a "full return to all of her pre-accident capabilities".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Dr. le Nobel explained that his guarded prognosis was based on Ms. Kilian's reports of occasional but ongoing exacerbations of her neck pain. He stated in his most recent report that "the longer a chronic pain condition persists the more likely it will continue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Although Dr. le Nobel expressed reservations about Ms. Kilian achieving her "pre-accident capabilities", he did not suggest that Ms. Kilian was currently experiencing, or would experience in the future, functional limitations with respect to her work as a teacher or her normal activities of daily living. The most significant concern, according to Dr. le Nobel, was the occasional exacerbation of the chronic neck condition which was likely to occur from time to time into the foreseeable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Ms. Kilian also developed driving anxiety following the accident, for which she eventually sought treatment from a psychiatrist, Dr. Roy O'Shaughnessy, and psychological counselling on referral. Approximately 18 months post-accident, Dr. O'Shaughnessy was of the opinion that Ms. Kilian continued to suffer from driving phobia which left her with a partial disability. At that point, Ms. Kilian was able to drive on a day-to-day basis in the Richmond area close to her home, but could not drive longer distances or in busy areas such as downtown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Ms. Kilian obtained treatment from a clinical psychologist and the driving phobia is now completely resolved.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In the 12 to 16 months following the accident, Ms. Kilian reduced her teaching hours because of her neck and shoulder pain and as a result of attending numerous medical and therapeutic appointments. Instead of arriving at school at least an hour before the children arrived and staying an hour after they left, she would arrive shortly before the children arrived and leave immediately after they left.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Ms. Kilian testified about the extent of the pain and discomfort she experienced in the year following the accident. She was working four days per week teaching Grades 2 through 4 children, and worked the fifth day as a teacher on call for the school district. She continued teaching in her temporary contract position following the accident, and took as few sick days as possible despite her neck and shoulder pain, because she was a relatively new hire and did not want to jeopardize her future job opportunities with the school district. However, she did not make herself available for TOC assignments the fifth day of work because she used that time to rest and recover from her scheduled days of teaching.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Ms. Kilian also used a number of sick days following the accident. She took the sick days during the months immediately after the accident in order to cope with her ongoing pain. Thereafter, she used the sick days when she experienced the episodic exacerbations.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Ms. Kilian testified that during the first year post-accident, the neck pain was aggravated by the physical demands of her job, disrupted sleep and headaches. Aggravation of the neck symptoms made her more temperamental and irritable with colleagues and students, and with her family and friends. She tried numerous prescription drugs and therapeutic interventions.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Despite these difficulties, Ms. Kilian testified that she continued to perform all of her activities of daily living and performed her housework without assistance. She was no longer meticulous about cleaning, and left some heavier chores unfinished from time to time, but she performed all basic housework and chores.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Ms. Kilian agreed with Dr. Hau's impression that after the first year post-accident, her neck pain and headaches improved with the exception of the occasional times during which she experienced an exacerbation or flare-up of her symptoms. She also agreed with Dr. Hau's observation that routine yoga and stretching were effective techniques for the management of her neck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Several lay witnesses testified at trial about the effect of Ms. Kilian's injuries on her functioning and emotional well-being. Ms. Kilian's closest friend, Jamie Lepore, testified that she saw Ms. Kilian much less frequently after the accident. They discontinued their longstanding practice of meeting weekly to watch a favorite television program, and Ms. Kilian frequently cancelled evening walks due to her neck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Ms. Kilian's mother, Marj Kilian, testified that following the accident, Ms. Kilian lost her characteristic "sparkle". In the ensuing year, Ms. Kilian was much less social and her mood became quite low. Marj Kilian has observed that although her daughter has gradually improved over time, she still suffers exacerbations and has never fully regained her previous disposition.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Before the accident, Ms. Kilian provided respite care for four hours every Monday evening for a young boy, Ben, who suffered from severe autism and was living with his grandmother. She gave the care under a contract with the Richmond Society for Community Living. Ms. Kilian had formed a special bond with Ben. Following the accident, Ms. Kilian found that she could not properly care for Ben. She had neither the physical nor the emotional capacity to do so. She gave up the work, and the society found a replacement caregiver.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Ms. Kilian's former school principal, Rita Gibbs, testified about Ms. Kilian's physical limitations as a teacher in the year following the accident. Ms. Gibbs was the principal at Errington Elementary from 2006 until late 2011. At the time of the accident in February 2008, Ms. Kilian had been working at the school as a temporary teacher for approximately five months. Ms. Gibbs observed that in the school year following the accident Ms. Kilian taught a physical education class but took care not to demonstrate strenuous aspects of sports and did not take part in several of the activities. Ms. Gibbs recalled that during the first year after the accident, she told Ms. Kilian on several occasions to leave immediately after class because she observed Ms. Kilian to be in obvious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Ms. Gibbs testified that despite her physical limitations, Ms. Kilian was a gifted and dedicated teacher with a great sense of responsibility to her students and to the school. According to Ms. Gibbs, Ms. Kilian had the potential to progress within the school system to administrative positions such as Vice-Principal and Principal. Ms. Gibbs encouraged Ms. Kilian to consider administration as a long-term career goal.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As the school principal, Ms. Gibbs was responsible for completing yearly assessments concerning the teaching performance of teachers at Errington Elementary. The assessments concerning Ms. Kilian, which were completed after the accident, were glowing in nature. She had only positive comments to make about all aspects of Ms. Kilian's job performance.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Brendan Jones testified at trial. He met Ms. Kilian in August 2010, more than two years after the accident. He moved into her condominium in November 2010, and lived with her in an intimate relationship from then until May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He testified that Ms. Kilian's neck symptoms, while of varying degrees, always presented a level of discomfort for her. He described Ms. Kilian's daily routine as going to work early in the morning, running errands after work or attending medical appointments, coming home and having dinner, and then watching television or relaxing with a book. He described himself as having become something of a "house husband", performing quite a bit of housework. He acknowledged, however, that during this time he was taking courses and studying at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Mr. Jones testified that he left the relationship for a number of reasons, some of which were unrelated to Ms. Kilian's physical difficulties. However, Mr. Jones suggested that as an avid sportsperson, he had become restless with their somewhat sedentary lifestyle which he attributed to Ms. Kilian's neck symptoms. He had also tired of the demands on his time which he perceived to be, at least in part, the result of her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Ms. Kilian's perspective was somewhat different. She recalled that she was primarily responsible for the housework while Mr. Jones shared some of the cooking responsibilities and did some of the more strenuous chores such as taking out the garbage. There was no yard work or maintenance because Ms. Kilian's home is a relatively new condominium with a deck but no yard.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Ms. Kilian testified that she attempted to become involved in more sports as a result of her relationship with Mr. Jones. She attempted to learn to ski. On a trip to Alberta in 2011, she went with Mr. Jones to the Olympic Park in Calgary and, at his encouragement, participated in bob sledding and zip lining with him. The trip to Calgary resulted in an episode of acute neck pain which lasted through the fall of 2011.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4. Periodic Exacerbations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Dr. Cragg's records reflect that Ms. Kilian reported in September 2008 that she rated her ongoing pain at "2 to 3 out of 10" with occasional exacerbations. Dr. Hau, who became Ms. Kilian's family physician in February 2010, documented a number of recent exacerbations. The first occurred in August 2011, following the trip to Calgary where Ms. Kilian participated in bobsledding and zip lining. The second occurred in November 2011, and appears to have been related to the August 2011 difficulties.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In December 2011, Ms. Kilian suffered an upper respiratory infection which prevented her from performing her yoga and stretching exercising. That led to an exacerbation of her neck pain in late December 2011. Another respiratory infection in January 2012 triggered a further exacerbation.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At trial, Ms. Kilian testified that she had suffered another exacerbation in late March 2012 which was ongoing. The exacerbation occurred following a session with the kinesiologist who designed an active exercise rehabilitation program for Ms. Kilian.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Approximately six weeks before trial, Mr. Jones ended the relationship. Ms. Kilian testified that she had not expected the relationship to end. She had hoped to marry Mr. Jones, and the termination of the relationship came as a shock to her. She has suffered stress as a result, which has manifested itself in loss of appetite and intensification of her neck pain.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5. The Plaintiff's Career Post-Accident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Ms. Kilian testified that it had always been her dream to work as a classroom teacher in an elementary school. She was thrilled to obtain the temporary teaching contract with the Richmond School District.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As noted earlier, Ms. Kilian's temporary teaching contract was renewed for the school year 2008-2009 following the accident. It was renewed again for the subsequent school year, 2009-2010. In each of those years, Ms. Kilian taught at the junior elementary level.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In May 2008, Ms. Kilian began attending a part-time graduate studies program offered by Simon Fraser University. The program qualifies teachers to work as Resource Room teachers and provide instruction to students for whom English is a second language ("ESL"). Resource Room teachers work with students and their teachers, providing special help and resources for students who require additional assistance. Many such students are also ESL students. Ms. Kilian was interested in working as a Resource Room teacher and, as a result, participated in the program while working at Errington Elementary.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graduate studies program required Ms. Kilian to attend the program every Wednesday evening for several hours, and for two concentrated weeks during the summer. Ms. Kilian participated in the program from May 2008 to May 2010, when she successfully obtained her graduate diploma.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Ms. Kilian was the successful applicant for a full-time continuing job at Errington Elementary as the Resource Room/ESL teacher commencing in September 2010. Ms. Gibbs testified that continuing teaching jobs are rare in the Richmond School District and competition for the jobs is fierce. Ms. Kilian's successful candidacy spoke to her excellence as a teacher and her successful completion of the graduate studies diploma.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Dr. Leyton Schnellert was an instructor and faculty associate at Simon Fraser University, teaching in the graduate diploma program for much of the time Ms. Kilian attended the program. Dr. Schnellert interacted with Ms. Kilian on a weekly basis during the school year, and on a daily basis during the intensive summer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Dr. Schnellert testified at trial that Ms. Kilian was an excellent student in the diploma program. She completed all of her assignments promptly and diligently, and some of her assignments were of such good quality that they could have been submitted to professional teaching journals. She was highly organized and very committed to the program. She was also very generous with her time. By way of example, he recalled that she assisted a classmate who was sick during the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Students who complete the graduate studies diploma may apply for the Masters of Education program at SFU and, as a result of having obtained the diploma, can obtain the Masters degree with one further year of study instead of the usual two years. There is one proviso: students who have obtained the diploma must gain entry to the Masters program within three years of completing the diploma.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Dr. Schnellert testified that entry to the Masters program is highly competitive as only 20 students are admitted each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Ms. Kilian applied for entry to the Masters program in January 2012, hoping to begin the program in the fall of 2012. Applicants must submit two pieces of written work in support of the application. Ms. Kilian did so. However, she learned in March 2012 that her application was not successful, primarily because of inadequacies in one of the papers she submitted. Ms. Kilian expressed the view that the quality of the written pieces she submitted with her application were likely affected by the exacerbation of her neck pain at the time she applied.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Ms. Kilian has regarded her current teaching job as the culmination of a life-long dream. Until recently, she expressed the view that she wished to remain a classroom teacher and did not intend to pursue a job in teaching administration. However, at trial Ms. Kilian testified that as a result of encouragement from her former principal, Ms. Gibbs, in the fall of 2011, she has begun to consider the possibility of eventually applying for a Vice-Principal or Principal position. She acknowledged that administration was a long-term goal. Ms. Gibbs worked as a teacher for over 25 years before she was appointed as a Vice-Principal, and another 5 years before she was appointed Principal of Errington Elementary.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As noted earlier, Ms. Gibbs expressed great confidence in Ms. Kilian's ability to move into an administrative position at some point in the future.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6. The Physical Capacity Evaluation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Ms. Kilian participated in a Physical Capacity Evaluation in August 2011, conducted by Cynthia Morin, Occupational Therapist. A report dated October 5, 2011, prepared by Ms. Morin, was submitted at trial by counsel for Ms. Kilian (the "PCE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The stated purpose of the evaluation was to determine the feasibility of employment for Ms. Kilian. Ms. Morin concludes, based on her extensive testing, that Ms. Kilian is considered to be employable (with a few physical restrictions) on both a part-time and full-time basis, with the potential to work in limited, light, and some medium strength occupations. Specifically, the report concluded that Ms. Kilian is employable as a teacher, but with restrictions relating primarily to work that requires prolonged periods of sitting, repetitive overhead reaching, and postures requiring sustained neck flexion.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The PCE Report is detailed and thorough. However, I have concluded that it is of limited assistance to the Court. Ms. Kilian is qualified as an elementary school teacher. She has been teaching since shortly before the accident, and has been performing well above expected standards for that entire time. All but five months of her teaching career has been post-accident. For three of those years, she taught elementary school children as a classroom teacher.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Ms. Kilian's work is now quite specialized. She is qualified to provide teaching assistance and additional resources to students. She has obtained a full-time continuing position in that area. As a Resource Room/ESL teacher, she supports other teachers and their students. She is also part of the School Based Team which evaluates students to determine the kind of additional educational resources they may require.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The assessment did not test for the specific requirements of Ms. Kilian's job, nor does the PCE Report focus on those requirements.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Ms. Kilian was tested for six hours, with one half hour break. Many of the tests involved physical exertion that was not required of Ms. Kilian as an elementary school teacher or, more specifically, as a Resource/ESL teacher.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Neither Ms. Kilian nor Ms. Gibbs, who evaluated Ms. Kilian's classroom performance, testified that Ms. Kilian was incapable of performing any of the physical requirements of her job. As noted earlier, Ms. Kilian was careful in the first year after the accident to limit her participation in the activities she taught in her P.E. classes. Ms. Kilian said that the most significant challenge occurred during the longer meetings with other teachers and the school-based team, when she experienced neck and shoulder pain. When that occurred, she stood and stretched or changed her position in the classroom. However, she did not suggest that any job modifications were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Ms. Gibbs was a highly supportive principal. She testified that teachers in the Richmond School District could request ergonomic assessments of their workplaces. Ms. Kilian did not make any such request, nor did she suggest in her evidence that she required any modifications to her classroom or her work functions generally.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In cross-examination, Ms. Morin was taken through the results of the functional tests as they related to the specific requirements of Ms. Kilian's job. She agreed that when considering the specific demands of the job, Ms. Kilian was capable of performing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Ms. Morin's most recent interaction with Ms. Kilian was on September 15, 2011. In the report she submitted shortly thereafter, Ms. Morin noted that Ms. Kilian intended to continue working as a classroom teacher for the foreseeable future. For that reason, the classroom environment in which she currently works was not likely to change, and no worksite assessment was necessary.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B. </w:t>
      </w:r>
      <w:r>
        <w:rPr>
          <w:rFonts w:ascii="arial" w:eastAsia="arial" w:hAnsi="arial" w:cs="arial"/>
          <w:b/>
          <w:color w:val="000000"/>
          <w:sz w:val="20"/>
          <w:u w:val="single"/>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Ms. Kilian has claimed damages under several heads. Discussion concerning each head of damage, and my decision concerning an award for each,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1. Non-Pecuniary Loss</w:t>
      </w:r>
    </w:p>
    <w:p>
      <w:pPr>
        <w:spacing w:before="120"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Legal Principals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The purpose of an award for non-pecuniary loss is to compensate the plaintiff for pain, suffering, disability, and loss of enjoyment of life. The loss must be assessed for both losses suffered by the plaintiff to the date of trial and for those she will suffer in the future. The award of a sum of money is to permit the plaintiff to substitute other amenities for those she has lost.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14"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Stapley</w:t>
      </w:r>
      <w:r>
        <w:rPr>
          <w:rFonts w:ascii="arial" w:eastAsia="arial" w:hAnsi="arial" w:cs="arial"/>
          <w:color w:val="000000"/>
          <w:sz w:val="20"/>
          <w:lang w:val="en-US" w:eastAsia="en-US" w:bidi="ar-SA"/>
        </w:rPr>
        <w:t xml:space="preserve">], Kirkpatrick J.A., writing for a majority of the Court, quoted </w:t>
      </w:r>
      <w:r>
        <w:rPr>
          <w:rFonts w:ascii="arial" w:eastAsia="arial" w:hAnsi="arial" w:cs="arial"/>
          <w:i/>
          <w:color w:val="000000"/>
          <w:sz w:val="20"/>
          <w:lang w:val="en-US" w:eastAsia="en-US" w:bidi="ar-SA"/>
        </w:rPr>
        <w:t>Lindal v. Lindal</w:t>
      </w:r>
      <w:r>
        <w:rPr>
          <w:rFonts w:ascii="arial" w:eastAsia="arial" w:hAnsi="arial" w:cs="arial"/>
          <w:color w:val="000000"/>
          <w:sz w:val="20"/>
          <w:lang w:val="en-US" w:eastAsia="en-US" w:bidi="ar-SA"/>
        </w:rPr>
        <w:t xml:space="preserve">, </w:t>
      </w:r>
      <w:hyperlink r:id="rId130" w:history="1">
        <w:r>
          <w:rPr>
            <w:rFonts w:ascii="arial" w:eastAsia="arial" w:hAnsi="arial" w:cs="arial"/>
            <w:i/>
            <w:color w:val="0077CC"/>
            <w:sz w:val="20"/>
            <w:u w:val="single"/>
            <w:shd w:val="clear" w:color="auto" w:fill="FFFFFF"/>
            <w:lang w:val="en-US" w:eastAsia="en-US" w:bidi="ar-SA"/>
          </w:rPr>
          <w:t>[1981] 2 S.C.R. 629</w:t>
        </w:r>
      </w:hyperlink>
      <w:r>
        <w:rPr>
          <w:rFonts w:ascii="arial" w:eastAsia="arial" w:hAnsi="arial" w:cs="arial"/>
          <w:color w:val="000000"/>
          <w:sz w:val="20"/>
          <w:lang w:val="en-US" w:eastAsia="en-US" w:bidi="ar-SA"/>
        </w:rPr>
        <w:t xml:space="preserve"> with respect to the underlying rationale for non-pecuniary damages and the considerations that should guide a court in awarding such damages (at para. 45):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[45] </w:t>
      </w:r>
      <w:r>
        <w:rPr>
          <w:rFonts w:ascii="arial" w:eastAsia="arial" w:hAnsi="arial" w:cs="arial"/>
          <w:color w:val="000000"/>
          <w:sz w:val="20"/>
          <w:u w:val="single"/>
          <w:lang w:val="en-US" w:eastAsia="en-US" w:bidi="ar-SA"/>
        </w:rPr>
        <w:t>Thus the amount of an award for non-pecuniary damage should not depend alone upon the seriousness of the injury but upon its ability to ameliorate the condition of the victim considering his or her particular situation</w:t>
      </w:r>
      <w:r>
        <w:rPr>
          <w:rFonts w:ascii="arial" w:eastAsia="arial" w:hAnsi="arial" w:cs="arial"/>
          <w:color w:val="000000"/>
          <w:sz w:val="20"/>
          <w:lang w:val="en-US" w:eastAsia="en-US" w:bidi="ar-SA"/>
        </w:rPr>
        <w:t xml:space="preserve">. It therefore will not follow that in considering what part of the maximum should be awarded the gravity of the injury alone will be determinative. </w:t>
      </w:r>
      <w:r>
        <w:rPr>
          <w:rFonts w:ascii="arial" w:eastAsia="arial" w:hAnsi="arial" w:cs="arial"/>
          <w:color w:val="000000"/>
          <w:sz w:val="20"/>
          <w:u w:val="single"/>
          <w:lang w:val="en-US" w:eastAsia="en-US" w:bidi="ar-SA"/>
        </w:rPr>
        <w:t>An appreciation of the individual's loss is the key and the "need for solace will not necessarily correlate with the seriousness of the injury</w:t>
      </w:r>
      <w:r>
        <w:rPr>
          <w:rFonts w:ascii="arial" w:eastAsia="arial" w:hAnsi="arial" w:cs="arial"/>
          <w:color w:val="000000"/>
          <w:sz w:val="20"/>
          <w:lang w:val="en-US" w:eastAsia="en-US" w:bidi="ar-SA"/>
        </w:rPr>
        <w:t>" [Emphasis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xml:space="preserve">  The factors to be considered, outlined by the Court in </w:t>
      </w:r>
      <w:r>
        <w:rPr>
          <w:rFonts w:ascii="arial" w:eastAsia="arial" w:hAnsi="arial" w:cs="arial"/>
          <w:i/>
          <w:color w:val="000000"/>
          <w:sz w:val="20"/>
          <w:lang w:val="en-US" w:eastAsia="en-US" w:bidi="ar-SA"/>
        </w:rPr>
        <w:t>Stapley,</w:t>
      </w:r>
      <w:r>
        <w:rPr>
          <w:rFonts w:ascii="arial" w:eastAsia="arial" w:hAnsi="arial" w:cs="arial"/>
          <w:color w:val="000000"/>
          <w:sz w:val="20"/>
          <w:lang w:val="en-US" w:eastAsia="en-US" w:bidi="ar-SA"/>
        </w:rPr>
        <w:t xml:space="preserve"> are now well-established. They include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age of the plaintiff;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nature of the injury;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severity and duration of pain;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disability;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emotional suffering;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loss or impairment of life;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impairment of family, marital and social relationships;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impairment of physical and mental abilities;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plaintiff's stoicism (a factor that should not penalize the plaintiff).</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2. Positions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Ms. Kilian argued that she suffered acute pain and anxiety following the accident which drastically affected both her social and her working life in the first year following the accident. The neck pain is now chronic, she submits, and continues to have a disabling effect as a result of the periodic exacerbations.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Ms. Kilian seeks non-pecuniary damages in the amount of $95,000.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The defendants do not dispute that Ms. Kilian is entitled to damages for non-pecuniary loss as a result of the pain and disruption to her life in the aftermath of the accident. The defendants' position is that while Ms. Kilian suffered acute neck pain in the first six to twelve months following the accident, her symptoms largely resolved within the first year. The defendants noted that Ms. Kilian acknowledged having good years in 2010 and 2011, until the exacerbation of her neck pain in the fall of 2011. They argued that although there have been occasional exacerbations of the neck pain, the most recent ones cannot be attributed to the accident. Overall, said the defendants, Ms. Kilian has managed to carry on a normal life for the past three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The defendants argue that an award of non-pecuniary damages should be in the range of $55,000.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3. 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xml:space="preserve">  I have reviewed the case law cited by the parties. Of those cited by Ms. Kilian, the fact patterns in the decisions of </w:t>
      </w:r>
      <w:r>
        <w:rPr>
          <w:rFonts w:ascii="arial" w:eastAsia="arial" w:hAnsi="arial" w:cs="arial"/>
          <w:i/>
          <w:color w:val="000000"/>
          <w:sz w:val="20"/>
          <w:lang w:val="en-US" w:eastAsia="en-US" w:bidi="ar-SA"/>
        </w:rPr>
        <w:t>Kasidoulis v. Russo</w:t>
      </w:r>
      <w:r>
        <w:rPr>
          <w:rFonts w:ascii="arial" w:eastAsia="arial" w:hAnsi="arial" w:cs="arial"/>
          <w:color w:val="000000"/>
          <w:sz w:val="20"/>
          <w:lang w:val="en-US" w:eastAsia="en-US" w:bidi="ar-SA"/>
        </w:rPr>
        <w:t xml:space="preserve">, </w:t>
      </w:r>
      <w:hyperlink r:id="rId131" w:history="1">
        <w:r>
          <w:rPr>
            <w:rFonts w:ascii="arial" w:eastAsia="arial" w:hAnsi="arial" w:cs="arial"/>
            <w:i/>
            <w:color w:val="0077CC"/>
            <w:sz w:val="20"/>
            <w:u w:val="single"/>
            <w:shd w:val="clear" w:color="auto" w:fill="FFFFFF"/>
            <w:lang w:val="en-US" w:eastAsia="en-US" w:bidi="ar-SA"/>
          </w:rPr>
          <w:t>2010 BCSC 978</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Pham-Fraser v. Smith</w:t>
      </w:r>
      <w:r>
        <w:rPr>
          <w:rFonts w:ascii="arial" w:eastAsia="arial" w:hAnsi="arial" w:cs="arial"/>
          <w:color w:val="000000"/>
          <w:sz w:val="20"/>
          <w:lang w:val="en-US" w:eastAsia="en-US" w:bidi="ar-SA"/>
        </w:rPr>
        <w:t xml:space="preserve">, </w:t>
      </w:r>
      <w:hyperlink r:id="rId132" w:history="1">
        <w:r>
          <w:rPr>
            <w:rFonts w:ascii="arial" w:eastAsia="arial" w:hAnsi="arial" w:cs="arial"/>
            <w:i/>
            <w:color w:val="0077CC"/>
            <w:sz w:val="20"/>
            <w:u w:val="single"/>
            <w:shd w:val="clear" w:color="auto" w:fill="FFFFFF"/>
            <w:lang w:val="en-US" w:eastAsia="en-US" w:bidi="ar-SA"/>
          </w:rPr>
          <w:t>2010 BCSC 322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Pham-Fraser</w:t>
      </w:r>
      <w:r>
        <w:rPr>
          <w:rFonts w:ascii="arial" w:eastAsia="arial" w:hAnsi="arial" w:cs="arial"/>
          <w:color w:val="000000"/>
          <w:sz w:val="20"/>
          <w:lang w:val="en-US" w:eastAsia="en-US" w:bidi="ar-SA"/>
        </w:rPr>
        <w:t>] most closely resemble the facts of this case. The plaintiff in each case suffered slightly more severe injuries than Ms. Kilian, and the ongoing physical limitations were somewhat more severe than hers. In those cases, the non-pecuniary damages awards were $90,000 and $95,000 respectively.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The defendants cited authorities in which the range of damages for non-pecuniary loss was $50,000 to $75,000 (</w:t>
      </w:r>
      <w:r>
        <w:rPr>
          <w:rFonts w:ascii="arial" w:eastAsia="arial" w:hAnsi="arial" w:cs="arial"/>
          <w:i/>
          <w:color w:val="000000"/>
          <w:sz w:val="20"/>
          <w:lang w:val="en-US" w:eastAsia="en-US" w:bidi="ar-SA"/>
        </w:rPr>
        <w:t>Boyle v. Prentice,</w:t>
      </w:r>
      <w:r>
        <w:rPr>
          <w:rFonts w:ascii="arial" w:eastAsia="arial" w:hAnsi="arial" w:cs="arial"/>
          <w:color w:val="000000"/>
          <w:sz w:val="20"/>
          <w:lang w:val="en-US" w:eastAsia="en-US" w:bidi="ar-SA"/>
        </w:rPr>
        <w:t xml:space="preserve"> </w:t>
      </w:r>
      <w:hyperlink r:id="rId133" w:history="1">
        <w:r>
          <w:rPr>
            <w:rFonts w:ascii="arial" w:eastAsia="arial" w:hAnsi="arial" w:cs="arial"/>
            <w:i/>
            <w:color w:val="0077CC"/>
            <w:sz w:val="20"/>
            <w:u w:val="single"/>
            <w:shd w:val="clear" w:color="auto" w:fill="FFFFFF"/>
            <w:lang w:val="en-US" w:eastAsia="en-US" w:bidi="ar-SA"/>
          </w:rPr>
          <w:t>2010 BCSC 1212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Tarzwell v. Ewashina,</w:t>
      </w:r>
      <w:r>
        <w:rPr>
          <w:rFonts w:ascii="arial" w:eastAsia="arial" w:hAnsi="arial" w:cs="arial"/>
          <w:color w:val="000000"/>
          <w:sz w:val="20"/>
          <w:lang w:val="en-US" w:eastAsia="en-US" w:bidi="ar-SA"/>
        </w:rPr>
        <w:t xml:space="preserve"> </w:t>
      </w:r>
      <w:hyperlink r:id="rId134" w:history="1">
        <w:r>
          <w:rPr>
            <w:rFonts w:ascii="arial" w:eastAsia="arial" w:hAnsi="arial" w:cs="arial"/>
            <w:i/>
            <w:color w:val="0077CC"/>
            <w:sz w:val="20"/>
            <w:u w:val="single"/>
            <w:shd w:val="clear" w:color="auto" w:fill="FFFFFF"/>
            <w:lang w:val="en-US" w:eastAsia="en-US" w:bidi="ar-SA"/>
          </w:rPr>
          <w:t>2011 BCSC 1464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Guthrie v. Narayan,</w:t>
      </w:r>
      <w:r>
        <w:rPr>
          <w:rFonts w:ascii="arial" w:eastAsia="arial" w:hAnsi="arial" w:cs="arial"/>
          <w:color w:val="000000"/>
          <w:sz w:val="20"/>
          <w:lang w:val="en-US" w:eastAsia="en-US" w:bidi="ar-SA"/>
        </w:rPr>
        <w:t xml:space="preserve"> </w:t>
      </w:r>
      <w:hyperlink r:id="rId135" w:history="1">
        <w:r>
          <w:rPr>
            <w:rFonts w:ascii="arial" w:eastAsia="arial" w:hAnsi="arial" w:cs="arial"/>
            <w:i/>
            <w:color w:val="0077CC"/>
            <w:sz w:val="20"/>
            <w:u w:val="single"/>
            <w:shd w:val="clear" w:color="auto" w:fill="FFFFFF"/>
            <w:lang w:val="en-US" w:eastAsia="en-US" w:bidi="ar-SA"/>
          </w:rPr>
          <w:t>2012 BCSC 734</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Chalmers v. Russell,</w:t>
      </w:r>
      <w:r>
        <w:rPr>
          <w:rFonts w:ascii="arial" w:eastAsia="arial" w:hAnsi="arial" w:cs="arial"/>
          <w:color w:val="000000"/>
          <w:sz w:val="20"/>
          <w:lang w:val="en-US" w:eastAsia="en-US" w:bidi="ar-SA"/>
        </w:rPr>
        <w:t xml:space="preserve"> </w:t>
      </w:r>
      <w:hyperlink r:id="rId136" w:history="1">
        <w:r>
          <w:rPr>
            <w:rFonts w:ascii="arial" w:eastAsia="arial" w:hAnsi="arial" w:cs="arial"/>
            <w:i/>
            <w:color w:val="0077CC"/>
            <w:sz w:val="20"/>
            <w:u w:val="single"/>
            <w:shd w:val="clear" w:color="auto" w:fill="FFFFFF"/>
            <w:lang w:val="en-US" w:eastAsia="en-US" w:bidi="ar-SA"/>
          </w:rPr>
          <w:t>2010 BCSC 1662</w:t>
        </w:r>
      </w:hyperlink>
      <w:r>
        <w:rPr>
          <w:rFonts w:ascii="arial" w:eastAsia="arial" w:hAnsi="arial" w:cs="arial"/>
          <w:color w:val="000000"/>
          <w:sz w:val="20"/>
          <w:lang w:val="en-US" w:eastAsia="en-US" w:bidi="ar-SA"/>
        </w:rPr>
        <w:t>). The fact patterns in the first two cases cited most closely resemble those of the present case; in those cases, the awards for non-pecuniary loss were $75,000 and $65,000 respectively.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I accept the argument of Ms. Kilian that in the first year to 16 months following the accident, she suffered acute neck and shoulder pain which significantly interfered with her day-to-day living and enjoyment of life. She continued to work four days per week but used the fifth day, previously an "on call" day, to recuperate and used sick days to deal with the most acute episodes of pain. She had little or no social life. She attended numerous medical and therapeutic appointments. She was required to take medications for pain which resulted in additional health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Ms. Kilian also experienced a significant driving phobia which required initial sessions with a psychiatrist and numerous follow up sessions with a clinical psychologist before the phobia resolved.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Ms. Kilian has had lengthy periods of time since the first year of the accident in which she has been symptom-free. I accept that there are occasional exacerbations which, while they last, significantly affect Ms. Kilian's enjoyment of life. All of the physicians who have offered opinions concerning Ms. Kilian's prognosis stated that absent the exacerbations, Ms. Kilian is capable of performing all of her basic activities of daily living. Further, they have stated that while their predictions are guarded, they believe the physical symptoms she experiences during exacerbations will likely continue to improve. None, however, predict that Ms. Kilian will be symptom-free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Taking into account all of the circumstances of Ms. Kilian's case, I conclude that an appropriate award for non-pecuniary loss is $75,000.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4. Past Income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Ms. Kilian's claim for past income loss has three components, with which I will deal in turn.</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Teacher-on-Call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First, Ms. Kilian claims for the loss of 15 TOC days with the Richmond School Board between February 15 and October 17, 2008. As noted earlier, at the time of the accident Ms. Kilian was working four days per week in her temporary teaching position and was available the fifth day of each week to be called in to cover absences of other teachers.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Ms. Kilian provided evidence of the days she was unavailable for TOC work as a result of her injuries or because she was attending appointments for medical treatment. Notably, while there were many more TOC days available, she has claimed a total of 15 TOC days in that period. The TOC rate in the 2007-2008 year was $225 per day. All but one of the days claimed falls within that time period. The rate during the 2008-2009 year was $245. The total loss, gross, is $3,395.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The defendants argued that Ms. Kilian may not have been called on some of the days she has claimed, and that there ought to be a deduction for the contingency that Ms. Kilian may not have received an on-call assignment.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However, Ms. Kilian has not claimed for all days that TOC assignments may have been available to her. The claim for 15 TOC days takes into account the contingency argued by the defendants. Accordingly, Ms. Kilian is entitled to $3,395 for the lost TOC days. That amount is gross and is therefore subject to deductions for income tax.</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Sick Bank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The second component is Ms. Kilian's claim for reimbursement of her claim for sick days from her sick bank entitlement under the collective agreement. Ms. Kilian kept a written record of the reasons for each sick day claimed. She has claimed only those days claimed as a result of her injuries. Ms. Kilian has used a total of 67.3 sick days, but her claim is limited to 29.6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The cost to Ms. Kilian to buy back those 29.6 days is $307, for a total of $9,087. Ms. Kilian testified that she intended to buy back those days, as she has very few days left in her sick back and is concerned about future exacerbations of her neck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I conclude that Ms. Kilian is entitled to an amount of $9,087 to replenish her sick bank. Given the purpose of this award, there will be no deduction for income taxes on this amount (</w:t>
      </w:r>
      <w:r>
        <w:rPr>
          <w:rFonts w:ascii="arial" w:eastAsia="arial" w:hAnsi="arial" w:cs="arial"/>
          <w:i/>
          <w:color w:val="000000"/>
          <w:sz w:val="20"/>
          <w:lang w:val="en-US" w:eastAsia="en-US" w:bidi="ar-SA"/>
        </w:rPr>
        <w:t>Bjarnson v. Parks,</w:t>
      </w:r>
      <w:r>
        <w:rPr>
          <w:rFonts w:ascii="arial" w:eastAsia="arial" w:hAnsi="arial" w:cs="arial"/>
          <w:color w:val="000000"/>
          <w:sz w:val="20"/>
          <w:lang w:val="en-US" w:eastAsia="en-US" w:bidi="ar-SA"/>
        </w:rPr>
        <w:t xml:space="preserve"> </w:t>
      </w:r>
      <w:hyperlink r:id="rId137" w:history="1">
        <w:r>
          <w:rPr>
            <w:rFonts w:ascii="arial" w:eastAsia="arial" w:hAnsi="arial" w:cs="arial"/>
            <w:i/>
            <w:color w:val="0077CC"/>
            <w:sz w:val="20"/>
            <w:u w:val="single"/>
            <w:shd w:val="clear" w:color="auto" w:fill="FFFFFF"/>
            <w:lang w:val="en-US" w:eastAsia="en-US" w:bidi="ar-SA"/>
          </w:rPr>
          <w:t>2009 BCSC 48</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Respite Care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As noted earlier, before the accident Ms. Kilian was providing respite care to a child for four hours every second week through the Richmond Society for Community Living. She earned $56 for each four-hour shift. She planned to carry on performing this work indefinitely, as she had developed a strong bond with the child. As a result of her injuries, she had to give up the job. An alternate caregiver was found for the child. The executive director of the Society testified that the child's family has continued to access respite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Ms. Kilian claimed damages in the amount of $6,552, representing the amount she would have earned had she continued providing the respite care up to the time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I accept that Ms. Kilian would likely have continued to provide respite care to the child for some time, but I do not accept that she would have continued the job for four years. In May 2008 Ms. Kilian enrolled in the graduate program at Simon Fraser University which took up several hours for one evening each week, and two weeks during the summer. After obtaining her diploma from the graduate program, she obtained a full-time continuing teaching position. At most, in my view, Ms. Kilian would have continued providing respite care until she obtained the full-time position in 2010. Accordingly, I award her $3,200 for the loss of income from the respite care job. This award is subject to income tax deductions.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Past Income Loss: Total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In total, Ms. Kilian is entitled to $15,682 for past income loss.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5. Future Income Loss/Loss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Ms. Kilian's claim for future income loss has three components. The first concerns future access by Ms. Kilian to her sick bank for reasons related to the injuries she suffered in the accident. The second concerns the delay Ms. Kilian alleges she will suffer, as a result of her injuries, in obtaining her Master's Degree, and the economic consequences of such a delay with respect to her placement on the salary grid. The third, related to the second, concerns the likelihood that her injuries will impair her chances of obtaining an administrative position and the economic consequences of that impaired opportunity.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I will deal with these aspects of the claim in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34"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the Court of Appeal reiterated the burden carried by the plaintiff concerning loss of future earning capacity. At para. 32, the Court said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[32] A plaintiff must </w:t>
      </w:r>
      <w:r>
        <w:rPr>
          <w:rFonts w:ascii="arial" w:eastAsia="arial" w:hAnsi="arial" w:cs="arial"/>
          <w:color w:val="000000"/>
          <w:sz w:val="20"/>
          <w:u w:val="single"/>
          <w:lang w:val="en-US" w:eastAsia="en-US" w:bidi="ar-SA"/>
        </w:rPr>
        <w:t>always</w:t>
      </w:r>
      <w:r>
        <w:rPr>
          <w:rFonts w:ascii="arial" w:eastAsia="arial" w:hAnsi="arial" w:cs="arial"/>
          <w:color w:val="000000"/>
          <w:sz w:val="20"/>
          <w:lang w:val="en-US" w:eastAsia="en-US" w:bidi="ar-SA"/>
        </w:rPr>
        <w:t xml:space="preserve"> prove, as was noted by Donald J.A. in </w:t>
      </w:r>
      <w:r>
        <w:rPr>
          <w:rFonts w:ascii="arial" w:eastAsia="arial" w:hAnsi="arial" w:cs="arial"/>
          <w:i/>
          <w:color w:val="000000"/>
          <w:sz w:val="20"/>
          <w:lang w:val="en-US" w:eastAsia="en-US" w:bidi="ar-SA"/>
        </w:rPr>
        <w:t>Steward</w:t>
      </w:r>
      <w:r>
        <w:rPr>
          <w:rFonts w:ascii="arial" w:eastAsia="arial" w:hAnsi="arial" w:cs="arial"/>
          <w:color w:val="000000"/>
          <w:sz w:val="20"/>
          <w:lang w:val="en-US" w:eastAsia="en-US" w:bidi="ar-SA"/>
        </w:rPr>
        <w:t xml:space="preserve">, </w:t>
      </w:r>
      <w:hyperlink r:id="rId138" w:history="1">
        <w:r>
          <w:rPr>
            <w:rFonts w:ascii="arial" w:eastAsia="arial" w:hAnsi="arial" w:cs="arial"/>
            <w:i/>
            <w:color w:val="0077CC"/>
            <w:sz w:val="20"/>
            <w:u w:val="single"/>
            <w:shd w:val="clear" w:color="auto" w:fill="FFFFFF"/>
            <w:lang w:val="en-US" w:eastAsia="en-US" w:bidi="ar-SA"/>
          </w:rPr>
          <w:t>[2007] B.C.J. No. 499</w:t>
        </w:r>
      </w:hyperlink>
      <w:r>
        <w:rPr>
          <w:rFonts w:ascii="arial" w:eastAsia="arial" w:hAnsi="arial" w:cs="arial"/>
          <w:color w:val="000000"/>
          <w:sz w:val="20"/>
          <w:lang w:val="en-US" w:eastAsia="en-US" w:bidi="ar-SA"/>
        </w:rPr>
        <w:t xml:space="preserve">, by Bauman J. [as he then was] in </w:t>
      </w:r>
      <w:r>
        <w:rPr>
          <w:rFonts w:ascii="arial" w:eastAsia="arial" w:hAnsi="arial" w:cs="arial"/>
          <w:i/>
          <w:color w:val="000000"/>
          <w:sz w:val="20"/>
          <w:lang w:val="en-US" w:eastAsia="en-US" w:bidi="ar-SA"/>
        </w:rPr>
        <w:t>Chang</w:t>
      </w:r>
      <w:r>
        <w:rPr>
          <w:rFonts w:ascii="arial" w:eastAsia="arial" w:hAnsi="arial" w:cs="arial"/>
          <w:color w:val="000000"/>
          <w:sz w:val="20"/>
          <w:lang w:val="en-US" w:eastAsia="en-US" w:bidi="ar-SA"/>
        </w:rPr>
        <w:t xml:space="preserve">, </w:t>
      </w:r>
      <w:hyperlink r:id="rId139" w:history="1">
        <w:r>
          <w:rPr>
            <w:rFonts w:ascii="arial" w:eastAsia="arial" w:hAnsi="arial" w:cs="arial"/>
            <w:i/>
            <w:color w:val="0077CC"/>
            <w:sz w:val="20"/>
            <w:u w:val="single"/>
            <w:shd w:val="clear" w:color="auto" w:fill="FFFFFF"/>
            <w:lang w:val="en-US" w:eastAsia="en-US" w:bidi="ar-SA"/>
          </w:rPr>
          <w:t>[2008] B.C.J. No. 48</w:t>
        </w:r>
      </w:hyperlink>
      <w:r>
        <w:rPr>
          <w:rFonts w:ascii="arial" w:eastAsia="arial" w:hAnsi="arial" w:cs="arial"/>
          <w:color w:val="000000"/>
          <w:sz w:val="20"/>
          <w:lang w:val="en-US" w:eastAsia="en-US" w:bidi="ar-SA"/>
        </w:rPr>
        <w:t xml:space="preserve">, and by Tysoe J.A. in </w:t>
      </w:r>
      <w:r>
        <w:rPr>
          <w:rFonts w:ascii="arial" w:eastAsia="arial" w:hAnsi="arial" w:cs="arial"/>
          <w:i/>
          <w:color w:val="000000"/>
          <w:sz w:val="20"/>
          <w:lang w:val="en-US" w:eastAsia="en-US" w:bidi="ar-SA"/>
        </w:rPr>
        <w:t>Romanchych</w:t>
      </w:r>
      <w:r>
        <w:rPr>
          <w:rFonts w:ascii="arial" w:eastAsia="arial" w:hAnsi="arial" w:cs="arial"/>
          <w:color w:val="000000"/>
          <w:sz w:val="20"/>
          <w:lang w:val="en-US" w:eastAsia="en-US" w:bidi="ar-SA"/>
        </w:rPr>
        <w:t xml:space="preserve">, </w:t>
      </w:r>
      <w:hyperlink r:id="rId140" w:history="1">
        <w:r>
          <w:rPr>
            <w:rFonts w:ascii="arial" w:eastAsia="arial" w:hAnsi="arial" w:cs="arial"/>
            <w:i/>
            <w:color w:val="0077CC"/>
            <w:sz w:val="20"/>
            <w:u w:val="single"/>
            <w:shd w:val="clear" w:color="auto" w:fill="FFFFFF"/>
            <w:lang w:val="en-US" w:eastAsia="en-US" w:bidi="ar-SA"/>
          </w:rPr>
          <w:t>[2010] B.C.J. No. 168</w:t>
        </w:r>
      </w:hyperlink>
      <w:r>
        <w:rPr>
          <w:rFonts w:ascii="arial" w:eastAsia="arial" w:hAnsi="arial" w:cs="arial"/>
          <w:color w:val="000000"/>
          <w:sz w:val="20"/>
          <w:lang w:val="en-US" w:eastAsia="en-US" w:bidi="ar-SA"/>
        </w:rPr>
        <w:t xml:space="preserve">, that there is a real and substantial possibility of a future event leading to an income loss. If the plaintiff discharges that burden of proof, then depending upon the facts of the case, the plaintiff may prove the quantification of that loss of earning capacity, either on an earnings approach, as in </w:t>
      </w:r>
      <w:r>
        <w:rPr>
          <w:rFonts w:ascii="arial" w:eastAsia="arial" w:hAnsi="arial" w:cs="arial"/>
          <w:i/>
          <w:color w:val="000000"/>
          <w:sz w:val="20"/>
          <w:lang w:val="en-US" w:eastAsia="en-US" w:bidi="ar-SA"/>
        </w:rPr>
        <w:t>Steenblok</w:t>
      </w:r>
      <w:r>
        <w:rPr>
          <w:rFonts w:ascii="arial" w:eastAsia="arial" w:hAnsi="arial" w:cs="arial"/>
          <w:color w:val="000000"/>
          <w:sz w:val="20"/>
          <w:lang w:val="en-US" w:eastAsia="en-US" w:bidi="ar-SA"/>
        </w:rPr>
        <w:t xml:space="preserve">, </w:t>
      </w:r>
      <w:hyperlink r:id="rId107" w:history="1">
        <w:r>
          <w:rPr>
            <w:rFonts w:ascii="arial" w:eastAsia="arial" w:hAnsi="arial" w:cs="arial"/>
            <w:i/>
            <w:color w:val="0077CC"/>
            <w:sz w:val="20"/>
            <w:u w:val="single"/>
            <w:shd w:val="clear" w:color="auto" w:fill="FFFFFF"/>
            <w:lang w:val="en-US" w:eastAsia="en-US" w:bidi="ar-SA"/>
          </w:rPr>
          <w:t>[1990] B.C.J. No. 1158</w:t>
        </w:r>
      </w:hyperlink>
      <w:r>
        <w:rPr>
          <w:rFonts w:ascii="arial" w:eastAsia="arial" w:hAnsi="arial" w:cs="arial"/>
          <w:color w:val="000000"/>
          <w:sz w:val="20"/>
          <w:lang w:val="en-US" w:eastAsia="en-US" w:bidi="ar-SA"/>
        </w:rPr>
        <w:t xml:space="preserve">, or a capital asset approach, as in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w:t>
      </w:r>
      <w:hyperlink r:id="rId41" w:history="1">
        <w:r>
          <w:rPr>
            <w:rFonts w:ascii="arial" w:eastAsia="arial" w:hAnsi="arial" w:cs="arial"/>
            <w:i/>
            <w:color w:val="0077CC"/>
            <w:sz w:val="20"/>
            <w:u w:val="single"/>
            <w:shd w:val="clear" w:color="auto" w:fill="FFFFFF"/>
            <w:lang w:val="en-US" w:eastAsia="en-US" w:bidi="ar-SA"/>
          </w:rPr>
          <w:t>[1985] B.C.J. No. 31</w:t>
        </w:r>
      </w:hyperlink>
      <w:r>
        <w:rPr>
          <w:rFonts w:ascii="arial" w:eastAsia="arial" w:hAnsi="arial" w:cs="arial"/>
          <w:color w:val="000000"/>
          <w:sz w:val="20"/>
          <w:lang w:val="en-US" w:eastAsia="en-US" w:bidi="ar-SA"/>
        </w:rPr>
        <w:t xml:space="preserve">. The former approach will be more useful when the loss is more easily measurable, as it was in </w:t>
      </w:r>
      <w:r>
        <w:rPr>
          <w:rFonts w:ascii="arial" w:eastAsia="arial" w:hAnsi="arial" w:cs="arial"/>
          <w:i/>
          <w:color w:val="000000"/>
          <w:sz w:val="20"/>
          <w:lang w:val="en-US" w:eastAsia="en-US" w:bidi="ar-SA"/>
        </w:rPr>
        <w:t>Steenblok</w:t>
      </w:r>
      <w:r>
        <w:rPr>
          <w:rFonts w:ascii="arial" w:eastAsia="arial" w:hAnsi="arial" w:cs="arial"/>
          <w:color w:val="000000"/>
          <w:sz w:val="20"/>
          <w:lang w:val="en-US" w:eastAsia="en-US" w:bidi="ar-SA"/>
        </w:rPr>
        <w:t xml:space="preserve">. The latter approach will be more useful when the loss is not as easily measurable, as in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w:t>
      </w:r>
      <w:hyperlink r:id="rId110" w:history="1">
        <w:r>
          <w:rPr>
            <w:rFonts w:ascii="arial" w:eastAsia="arial" w:hAnsi="arial" w:cs="arial"/>
            <w:i/>
            <w:color w:val="0077CC"/>
            <w:sz w:val="20"/>
            <w:u w:val="single"/>
            <w:shd w:val="clear" w:color="auto" w:fill="FFFFFF"/>
            <w:lang w:val="en-US" w:eastAsia="en-US" w:bidi="ar-SA"/>
          </w:rPr>
          <w:t>[1995] B.C.J. No. 2</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Romanchych</w:t>
      </w:r>
      <w:r>
        <w:rPr>
          <w:rFonts w:ascii="arial" w:eastAsia="arial" w:hAnsi="arial" w:cs="arial"/>
          <w:color w:val="000000"/>
          <w:sz w:val="20"/>
          <w:lang w:val="en-US" w:eastAsia="en-US" w:bidi="ar-SA"/>
        </w:rPr>
        <w:t>. [Emphasis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As the authorities establish, an appropriate award under this head of damage must be based on the 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Ms. Kilian emphasized the further observation of the Court (at para. 32) that a plaintiff may be able to meet the burden of real and substantial possibility of a future loss of income despite having returned to his or her former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Ms. Kilian submitted that while she missed very few work days in the months immediately following the accident, she limited her work to four days per week which gave her time to recover from the work week. In addition, at the time of the accident she was only a few months into her contract as a new teacher in the school district, and attended work even when in pain because she did not want to jeopardize her chances of obtaining a permanent position.</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Use of Sick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I will turn first to the issue of the loss Ms. Kilian will likely suffer in the future as a result of having to access her sick bank when she has exacerbations of her neck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As noted earlier, of the 67.3 sick days Ms. Kilian has used since February 1, 2008, 29.6 of them were used for reasons related to the injuries she suffered in the accident. Reviewing the use of sick days within a particular school year, she used as few as .4 of a day in the 2008-2009 school year, and as many as 9.4 in the 2011-2012 school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Ms. Kilian argued that the upward trend in her use of sick days for accident-related reasons establishes that she will require as many as 15 sick days per year in future as a result of her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I do not accept Ms. Kilian's position for a number of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First, the medical evidence does not support the proposition that Ms. Kilian will require almost twice as many sick days in the future than she has used in the most recent school year to date which also happens to have been the year of the worst exacerbations. The medical evidence suggests an improvement over the years of the chronic neck pain. Ms. Kilian's family physician has documented a trend of gradual improvement. Dr. le Nobel, in cross-examination, stated that Ms. Kilian is likely to experience further improvement in the future so long as she adheres to an exercise rehabilitation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Second, Ms. Kilian used remarkably few sick days to deal with her accident- related injuries between 2009 and the first few months of 2011. Between those times, Ms. Kilian experienced very few exacerbations of her neck symptoms. The 2011-2012 school year was the exception. The evidence established several causes for this anomaly.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As noted earlier, shortly before the 2011-2012 school year began, Ms. Kilian participated in bobsledding and zip lining. I do not suggest that she should be penalized for having done so. However, until then, Ms. Kilian had not engaged in any strenuous sports or other demanding physical activities for more than three years. Both the bobsledding and zip lining would test the musculoskeletal stability and fitness of any person, much less someone who was deconditioned by her relative inactivity, and who also suffered from a chronic soft-tissue injury to the neck.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Secondly, Ms. Kilian suffered a succession of upper respiratory infections in the fall and winter of 2011-2012 which prevented her from participating in yoga and other conditioning activities. I accept that exacerbations resulting from such illnesses in the future will likely occur. However, I do not accept that the events of the past year establish a worsening or deteriorating condition. The weight of the medical evidence is that Ms. Kilian will likely cope well most of the time but suffer occasional setbacks such as those occurring as a result of severe colds in the past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Thirdly, Ms. Kilian's intimate relationship came to an abrupt and unexpected end in the spring of 2012. Ms. Kilian testified that she had anticipated marriage and a family with Mr. Jones, and that the emotional shock of his unilateral decision to terminate the relationship was devastating to her. The termination of the relationship contributed to the exacerbation of her chronic neck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While it is not surprising that Ms. Kilian experienced exacerbations of her neck pain during this period of time, one cannot reasonably conclude that such exacerbations will intensify and require constantly increasing usage of sick time. To the contrary, until the 2011-2012 school year, it appeared that Ms. Kilian was gradually on course to minimize exacerbations of her neck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In my view, a fair approach involves an averaging of the days Ms. Kilian has missed from her teaching position over the past four years as a result of her injuries. She missed 29.6 days for reasons relating to the injuries she suffered in the accident, or 7.4 days per year on average. The cost to the school district (and to the teacher, in order to replenish her sick bank) to fund a replacement teacher is $307 per day, or $2,271.80 per year. Assuming that Ms. Kilian will work until she is 62 years of age, and taking into account any contingencies, the present value is approximately $30,000. Accordingly, I award Ms. Kilian $30,000 for the cost of future access to her sick bank.</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Loss of opportunity to obtain the Master's Degree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As noted earlier, Ms. Kilian successfully completed the program leading to her graduate diploma from SFU after participating in the program between May 2008 and May 2010. Obtaining the diploma increased her pay scale as a teacher from a Scale 5 to a Scale 5 Plus.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Obtaining the diploma enables Ms. Kilian to apply for entry to a one-year Master's program, but she must succeed in entering the program by 2013. If she completes that program, her pay scale will increase to a Scale 6. Further, completion of the program would make her much more competitive for a position in teaching administration should she decide at some point in the future that she wishes to leave classroom teaching for an administrative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Ms. Kilian wished to enter the Master's program for the 2012-2013 school year. She prepared her application in January 2012. The application required the preparation of two written papers. Ms. Kilian testified that she wrote the second of the two papers during one of the exacerbations of her neck pain. Her application for the program was apparently rejected in large part because of the inadequacies in that paper.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Ms. Kilian has now re-applied to enter the Master's program. It was not known at the time of trial whether she was successful in obtaining entry into the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Ms. Kilian argued, firstly, that the injuries she suffered in the accident may have affected her chances of gaining entry to the Master's program and, if she does succeed in entering the program, from successfully completing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She argued, secondly, that her exacerbations may prevent her from pursuing a career in teaching administration given the long working hours and the intensive periods of working at a computer that are expected of administrators. Both of these possible outcomes, should they occur, will significantly and adversely affect her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In monetary terms, should Ms. Kilian fail to obtain her Master's degree as a result of her injury, she will incur a loss each year representing the difference between income at Scale 5 Plus and 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Ms. Kilian is currently at Step 3.6 on the school district's salary grid. It is expected that she will advance one step each year until reaching the highest step, which is Step 10, in 2018. Should Ms. Kilian achieve Scale 6, her annual salary increase when she reaches Step 10 would be in the amount of $1,618. Before Step 10, the incremental annual increase starts at $1,100 per year at Step 3 and increases yearly until Step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On average, a teacher works until age 62. Ms. Kilian testified that she intended to work until that age. She led expert actuarial evidence, based on both "risk" and "choice" contingencies, assuming that she would work until age 62 and would complete her Master's degree by 2014 but for her symptoms. At pay grade Scale 6, the cumulative present value of her salary to age 62 is $1,253,715. At pay grade Scale 5 Plus, the cumulative present value is $1,139,605. Assuming that Ms. Kilian never attains her Master's degree, the difference in present value terms is $114,110.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The actuarial evidence led at trial by the defendants, which I accept, established that the present value of $1,000 in annual earnings to the age of 62 would be $21,095.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Ms. Kilian also argued that in the event she is not able to attain the Master's degree, she will not have the necessary qualifications to eventually apply for an administrative position. If she attained her Master's degree and, in five years' time successfully applied for a position as an elementary school principal, the present value of her future income loss would be two to three times higher than the loss she would incur as a teacher.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Moreover, said Ms. Kilian, even if she eventually attains her Master's degree, she may be incapable of performing the spectrum of duties of an administrator as a result of exacerbations of her neck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The defendants argued that no damages should be awarded for the claim relating to the loss of opportunity to obtain the Master's degree. First, said the defendants, Ms. Kilian has not established that exacerbation of her neck pain will prevent her from obtaining her Master's degree.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Secondly, said the defendants, there is no evidence establishing that Ms. Kilian may succeed in obtaining an administrative position in the school district. The only evidence led by Ms. Kilian demonstrates that administrative positions are highly competitive and that a teacher must work as a classroom teacher for many, many years before even being considered competitive for such a position. Ms. Kilian's chances of ever obtaining an administrative position are remote. Even more remote, said the defendants, is the proposition that Ms. Kilian's accident-related injury may adversely affect her chances of obtaining an administrative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The defendants argued in the alternative that an award of one year's salary at $60,000 would amply compensate Ms. Kilian for any future loss of income earning capacity and would in fact likely exceed any such loss she will experience.</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I accept that Ms. Kilian's accident-related injuries may affect her future income earning capacity as a teacher as a result of the occasional exacerbations of her neck pain. However, I do not accept that her income earning capacity will be affected to the extent she has argued.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First, I do not accept Dr. le Nobel's opinion that Ms. Kilian's symptoms may worsen, rather than improve, in the future. That opinion is based entirely on Ms. Kilian's account of the exacerbation in her neck pain in February 2011. It must be viewed together with Dr. le Nobel's observation in his report dated April 20, 2011 that Ms. Kilian was, at that time, teaching six blocks of physical education class. She was able to fully participate in the class, including demonstrating the spectrum of activities to the class. He observed that in February 2011, when she reported an exacerbation, she was able to teach all six blocks of physical education but "did not participate to the same level".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Further, Dr. le Nobel expressed the opinion that Ms. Kilian's condition may well improve in the future with an active physical rehabilitation program. She may not reach all of her pre-accident capabilities, he said, but did not specify which capabilities she may not achieve nor did he suggest that she will be unable to perform all normal activities of daily living or all of her job functions.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Second, the evidence of Ms. Kilian's functioning post-accident does not, in general terms, support the argument that the accident will prevent her from completing the Master's program. Only three months post accident, Ms. Kilian entered the graduate diploma program in addition to working in a .8 FTE teaching position. She participated in the program for the next two years. She not only completed the program, but completed it with excellent results. However, she was working four days per week and did not make herself available for TOC assignments on the fifth day, using that extra time to recuperate.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From late 2009 to late 2011, Ms. Kilian had two years during which she suffered some low-grade symptoms but very few exacerbations or intensification of her neck pain. I have earlier described the events leading to the exacerbations between August 2011 and June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While I accept there is a substantial likelihood that Ms. Kilian's neck symptoms may delay her ability to achieve her Master's degree, I do not accept that those symptoms will impair her ability to obtain an administrative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First, Ms. Kilian only recently began to consider the possibility of applying at some point in the future for such a position. Her focus has always been classroom teaching. It was not clear from the evidence whether she will opt to leave the classroom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Second, Ms. Gibbs, who has encouraged Ms. Kilian to consider administration at some point in the future, taught in the classroom for 25 years before she succeeded in obtaining an administrative position. Competition for such positions is fierce. Ms. Kilian has completed only two years as a continuing teacher in the school district. Although she has Ms. Gibbs' confidence, the evidence does not establish that such a career track is anything but a remote possibility. Even on Ms. Gibbs' evidence, it appears the chances of obtaining an administrative position are slight.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Third, and perhaps most importantly, the physical requirements of an administrative position do not differ significantly from those of the job Ms. Kilian currently performs. Nothing in the medical evidence led at trial established that Ms. Kilian's neck symptoms are any more likely to impair her ability to function as an administrator than they are to impair her ability to function as a Resource teacher.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However, I conclude there is a substantial likelihood that Ms. Kilian's mild chronic neck pain, and the occasional exacerbations of that neck pain, may interfere with her ability to achieve her Master's degree, but only in the immediate three to four years. If she does not succeed in gaining entry to the Master's program by 2013, she will be required to start at the beginning of a three-year program. If she does gain entry, she may encounter difficulties from time to time. However, given Ms. Kilian's past performance in the diploma program while teaching almost full-time, I conclude that she will most likely be capable of completing the Master's program once she is admitted.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On the basis of the medical evidence concerning future exacerbations to Ms. Kilian's neck symptoms, I conclude that an award of damages for loss of future income earning capacity should reflect a delay in achieving Scale 6 on the salary grid.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xml:space="preserve">  As observed by the Court in </w:t>
      </w:r>
      <w:r>
        <w:rPr>
          <w:rFonts w:ascii="arial" w:eastAsia="arial" w:hAnsi="arial" w:cs="arial"/>
          <w:i/>
          <w:color w:val="000000"/>
          <w:sz w:val="20"/>
          <w:lang w:val="en-US" w:eastAsia="en-US" w:bidi="ar-SA"/>
        </w:rPr>
        <w:t>Marois v. Pelech,</w:t>
      </w:r>
      <w:r>
        <w:rPr>
          <w:rFonts w:ascii="arial" w:eastAsia="arial" w:hAnsi="arial" w:cs="arial"/>
          <w:color w:val="000000"/>
          <w:sz w:val="20"/>
          <w:lang w:val="en-US" w:eastAsia="en-US" w:bidi="ar-SA"/>
        </w:rPr>
        <w:t xml:space="preserve"> </w:t>
      </w:r>
      <w:hyperlink r:id="rId141" w:history="1">
        <w:r>
          <w:rPr>
            <w:rFonts w:ascii="arial" w:eastAsia="arial" w:hAnsi="arial" w:cs="arial"/>
            <w:i/>
            <w:color w:val="0077CC"/>
            <w:sz w:val="20"/>
            <w:u w:val="single"/>
            <w:shd w:val="clear" w:color="auto" w:fill="FFFFFF"/>
            <w:lang w:val="en-US" w:eastAsia="en-US" w:bidi="ar-SA"/>
          </w:rPr>
          <w:t>2009 BCCA 286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Marois</w:t>
      </w:r>
      <w:r>
        <w:rPr>
          <w:rFonts w:ascii="arial" w:eastAsia="arial" w:hAnsi="arial" w:cs="arial"/>
          <w:color w:val="000000"/>
          <w:sz w:val="20"/>
          <w:lang w:val="en-US" w:eastAsia="en-US" w:bidi="ar-SA"/>
        </w:rPr>
        <w:t>], citing a series of earlier decisions of the Court, the fundamental principle concerning the assessment of the loss of future earning capacity is that a plaintiff is entitled to be put in the position he or she would have occupied but for the accident so far as money can achieve that end. Projections from past earnings may be a useful factor to consider in valuing the loss in appropriate cases, but they are not the only factor.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xml:space="preserve">  The task of the trial judge, said the Court in </w:t>
      </w:r>
      <w:r>
        <w:rPr>
          <w:rFonts w:ascii="arial" w:eastAsia="arial" w:hAnsi="arial" w:cs="arial"/>
          <w:i/>
          <w:color w:val="000000"/>
          <w:sz w:val="20"/>
          <w:lang w:val="en-US" w:eastAsia="en-US" w:bidi="ar-SA"/>
        </w:rPr>
        <w:t>Marois</w:t>
      </w:r>
      <w:r>
        <w:rPr>
          <w:rFonts w:ascii="arial" w:eastAsia="arial" w:hAnsi="arial" w:cs="arial"/>
          <w:color w:val="000000"/>
          <w:sz w:val="20"/>
          <w:lang w:val="en-US" w:eastAsia="en-US" w:bidi="ar-SA"/>
        </w:rPr>
        <w:t>, is to assess damages for the loss of impairment of future income earning capacity, not to calculate the loss of projected earnings according to some mathematical formula. Once the nature and extent of the impairment is established, it must be valued. The valuation may involve a comparison of the likely future of the plaintiff but for the accident with his or her likely future following the accident. The Court may determine the present value of the difference between the two, but that is not the end of the inquiry; it is the starting point only.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I have reviewed the case law cited by Ms. Kilian in support of her submission that the award under this head of damage ought to be in the range of $250,000 (</w:t>
      </w:r>
      <w:r>
        <w:rPr>
          <w:rFonts w:ascii="arial" w:eastAsia="arial" w:hAnsi="arial" w:cs="arial"/>
          <w:i/>
          <w:color w:val="000000"/>
          <w:sz w:val="20"/>
          <w:lang w:val="en-US" w:eastAsia="en-US" w:bidi="ar-SA"/>
        </w:rPr>
        <w:t>Watt v. Meier,</w:t>
      </w:r>
      <w:r>
        <w:rPr>
          <w:rFonts w:ascii="arial" w:eastAsia="arial" w:hAnsi="arial" w:cs="arial"/>
          <w:color w:val="000000"/>
          <w:sz w:val="20"/>
          <w:lang w:val="en-US" w:eastAsia="en-US" w:bidi="ar-SA"/>
        </w:rPr>
        <w:t xml:space="preserve"> </w:t>
      </w:r>
      <w:hyperlink r:id="rId142" w:history="1">
        <w:r>
          <w:rPr>
            <w:rFonts w:ascii="arial" w:eastAsia="arial" w:hAnsi="arial" w:cs="arial"/>
            <w:i/>
            <w:color w:val="0077CC"/>
            <w:sz w:val="20"/>
            <w:u w:val="single"/>
            <w:shd w:val="clear" w:color="auto" w:fill="FFFFFF"/>
            <w:lang w:val="en-US" w:eastAsia="en-US" w:bidi="ar-SA"/>
          </w:rPr>
          <w:t>2006 BCSC 1341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Pham-Fraser</w:t>
      </w:r>
      <w:r>
        <w:rPr>
          <w:rFonts w:ascii="arial" w:eastAsia="arial" w:hAnsi="arial" w:cs="arial"/>
          <w:color w:val="000000"/>
          <w:sz w:val="20"/>
          <w:lang w:val="en-US" w:eastAsia="en-US" w:bidi="ar-SA"/>
        </w:rPr>
        <w:t>). Both of those decisions involved teachers who suffered accident-related injuries and a consequent loss of future income earning capacity. In my respectful view, the severity of the injuries and general circumstances of the plaintiffs in each of those cases differed significantly from those in the present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xml:space="preserve">  In the result, taking into account all of the evidence, it is the overall fairness and reasonableness of the award that must be considered. The Court in </w:t>
      </w:r>
      <w:r>
        <w:rPr>
          <w:rFonts w:ascii="arial" w:eastAsia="arial" w:hAnsi="arial" w:cs="arial"/>
          <w:i/>
          <w:color w:val="000000"/>
          <w:sz w:val="20"/>
          <w:lang w:val="en-US" w:eastAsia="en-US" w:bidi="ar-SA"/>
        </w:rPr>
        <w:t>Marois</w:t>
      </w:r>
      <w:r>
        <w:rPr>
          <w:rFonts w:ascii="arial" w:eastAsia="arial" w:hAnsi="arial" w:cs="arial"/>
          <w:color w:val="000000"/>
          <w:sz w:val="20"/>
          <w:lang w:val="en-US" w:eastAsia="en-US" w:bidi="ar-SA"/>
        </w:rPr>
        <w:t xml:space="preserve"> summarized the approach this way at para. 35, quoting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40"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"The assessment of damages is a matter of judgment, not calculation."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It is difficult to say with any degree of precision the amount of time it may take Ms. Kilian to complete her Master's degree, but that difficulty cannot preclude an assessment of the damages. In reaching a decision concerning this head of damage, I have considered the evidence concerning the difference between the cumulative present values of pay Scales 5 Plus and 6.. As noted earlier, the actuarial evidence established that if Ms. Kilian never achieved her Master's degree, the present value of the resulting loss to her (based on the difference in pay between the respective salary grids), would be $114,100.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The evidence does not support the argument that Ms. Kilian will never achieve her Master's degree, thus it does not support an award of damages of that magnitude. I conclude that an appropriate award reflecting a delay in achieving the Master's degree is $40,000.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In total, taking into account the award of $30,000 to replace future sick bank use, Ms. Kilian is entitled to an award of $70,000 under this head of damage.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6.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xml:space="preserve">  In the recent decision of </w:t>
      </w:r>
      <w:r>
        <w:rPr>
          <w:rFonts w:ascii="arial" w:eastAsia="arial" w:hAnsi="arial" w:cs="arial"/>
          <w:i/>
          <w:color w:val="000000"/>
          <w:sz w:val="20"/>
          <w:lang w:val="en-US" w:eastAsia="en-US" w:bidi="ar-SA"/>
        </w:rPr>
        <w:t>Gignac v. Insurance Corporation of British Columbia</w:t>
      </w:r>
      <w:r>
        <w:rPr>
          <w:rFonts w:ascii="arial" w:eastAsia="arial" w:hAnsi="arial" w:cs="arial"/>
          <w:color w:val="000000"/>
          <w:sz w:val="20"/>
          <w:lang w:val="en-US" w:eastAsia="en-US" w:bidi="ar-SA"/>
        </w:rPr>
        <w:t xml:space="preserve">, </w:t>
      </w:r>
      <w:hyperlink r:id="rId143" w:history="1">
        <w:r>
          <w:rPr>
            <w:rFonts w:ascii="arial" w:eastAsia="arial" w:hAnsi="arial" w:cs="arial"/>
            <w:i/>
            <w:color w:val="0077CC"/>
            <w:sz w:val="20"/>
            <w:u w:val="single"/>
            <w:shd w:val="clear" w:color="auto" w:fill="FFFFFF"/>
            <w:lang w:val="en-US" w:eastAsia="en-US" w:bidi="ar-SA"/>
          </w:rPr>
          <w:t>2012 BCCA 351</w:t>
        </w:r>
      </w:hyperlink>
      <w:r>
        <w:rPr>
          <w:rFonts w:ascii="arial" w:eastAsia="arial" w:hAnsi="arial" w:cs="arial"/>
          <w:color w:val="000000"/>
          <w:sz w:val="20"/>
          <w:lang w:val="en-US" w:eastAsia="en-US" w:bidi="ar-SA"/>
        </w:rPr>
        <w:t xml:space="preserve">, the Court of Appeal, citing </w:t>
      </w:r>
      <w:r>
        <w:rPr>
          <w:rFonts w:ascii="arial" w:eastAsia="arial" w:hAnsi="arial" w:cs="arial"/>
          <w:i/>
          <w:color w:val="000000"/>
          <w:sz w:val="20"/>
          <w:lang w:val="en-US" w:eastAsia="en-US" w:bidi="ar-SA"/>
        </w:rPr>
        <w:t>Gregory v. Insurance Corporation of British Columbia,</w:t>
      </w:r>
      <w:r>
        <w:rPr>
          <w:rFonts w:ascii="arial" w:eastAsia="arial" w:hAnsi="arial" w:cs="arial"/>
          <w:color w:val="000000"/>
          <w:sz w:val="20"/>
          <w:lang w:val="en-US" w:eastAsia="en-US" w:bidi="ar-SA"/>
        </w:rPr>
        <w:t xml:space="preserve"> </w:t>
      </w:r>
      <w:hyperlink r:id="rId39" w:history="1">
        <w:r>
          <w:rPr>
            <w:rFonts w:ascii="arial" w:eastAsia="arial" w:hAnsi="arial" w:cs="arial"/>
            <w:i/>
            <w:color w:val="0077CC"/>
            <w:sz w:val="20"/>
            <w:u w:val="single"/>
            <w:shd w:val="clear" w:color="auto" w:fill="FFFFFF"/>
            <w:lang w:val="en-US" w:eastAsia="en-US" w:bidi="ar-SA"/>
          </w:rPr>
          <w:t>2011 BCCA 144</w:t>
        </w:r>
      </w:hyperlink>
      <w:r>
        <w:rPr>
          <w:rFonts w:ascii="arial" w:eastAsia="arial" w:hAnsi="arial" w:cs="arial"/>
          <w:color w:val="000000"/>
          <w:sz w:val="20"/>
          <w:lang w:val="en-US" w:eastAsia="en-US" w:bidi="ar-SA"/>
        </w:rPr>
        <w:t xml:space="preserve">, observed that while it is not necessary that a physician testify to the medical necessity of each and every item of care claimed by a plaintiff when advancing a future cost of care claim, there must be some evidentiary link drawn between the physician's assessment of pain, disability and recommended treatment, and the care recommended by a qualified health care professional. Ms. Kilian's claim for future cost of care was based primarily on a report titled a </w:t>
      </w:r>
      <w:r>
        <w:rPr>
          <w:rFonts w:ascii="arial" w:eastAsia="arial" w:hAnsi="arial" w:cs="arial"/>
          <w:i/>
          <w:color w:val="000000"/>
          <w:sz w:val="20"/>
          <w:lang w:val="en-US" w:eastAsia="en-US" w:bidi="ar-SA"/>
        </w:rPr>
        <w:t>Cost of Future Care Analysis</w:t>
      </w:r>
      <w:r>
        <w:rPr>
          <w:rFonts w:ascii="arial" w:eastAsia="arial" w:hAnsi="arial" w:cs="arial"/>
          <w:color w:val="000000"/>
          <w:sz w:val="20"/>
          <w:lang w:val="en-US" w:eastAsia="en-US" w:bidi="ar-SA"/>
        </w:rPr>
        <w:t xml:space="preserve"> prepared by Ms. Morin. The </w:t>
      </w:r>
      <w:r>
        <w:rPr>
          <w:rFonts w:ascii="arial" w:eastAsia="arial" w:hAnsi="arial" w:cs="arial"/>
          <w:i/>
          <w:color w:val="000000"/>
          <w:sz w:val="20"/>
          <w:lang w:val="en-US" w:eastAsia="en-US" w:bidi="ar-SA"/>
        </w:rPr>
        <w:t>Analysis</w:t>
      </w:r>
      <w:r>
        <w:rPr>
          <w:rFonts w:ascii="arial" w:eastAsia="arial" w:hAnsi="arial" w:cs="arial"/>
          <w:color w:val="000000"/>
          <w:sz w:val="20"/>
          <w:lang w:val="en-US" w:eastAsia="en-US" w:bidi="ar-SA"/>
        </w:rPr>
        <w:t xml:space="preserve"> references the Physical Capacity Evaluation she conducted on Ms. Kilian in September 2011. On the basis of the PCE, Ms. Morin made a spectrum of recommendations, including ongoing attendance for massage therapy, sessions with a psychologist to address the management of her episodic but chronic pain, a workplace assessment, a supervised exercise program, assistance with housekeeping and yard maintenance, assistance with moving should she decide to sell her condominium and move to another home, a range of home fitness equipment to allow her to work out at home, and medication for future pain relief.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Dr. le Nobel testified that he concurred with Ms. Morin's recommendations for future care. His concurrence is based, in large part, on Ms. Kilian's report of ongoing episodic neck pain and the likelihood that she will continue to have such episodes from time to time in the future. Dr. le Noble did not address the items of care specifically.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I accept that Ms. Kilian is entitled to an award of damages which reflects the present value of costs she will likely incur to address her ongoing need to participate in an active rehabilitation program and other measures designed to maintain her conditioning and thereby minimize the exacerbations of her neck pain. For example, she currently receives massage therapy regularly, which both prevents her neck pain and provides relief during exacerbations. She also participates in a fitness program with a kinesiologist.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Accordingly, I accept those recommendations of Ms. Morin which are designed to address the occasional exacerbations of Ms. Morin's neck symptoms. I will deal specifically with the cost of those recommendations in due course.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I will first deal with the recommendations I do not accept.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In my respectful view, there is no evidentiary basis for an award of damages for loss of housekeeping capacity or assistance in homemaking and yard maintenance. The only evidence advanced in support of this aspect of Ms. Kilian's claim is the comment of Dr. le Nobel in his report dated March 14, 2012, that "[Ms. Kilian] reports the need for increased assistance at home with episodic neck and upper body pain from time to time." He did not specify the nature of the tasks she could not perform or the extent of the assistance she may require.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For the reasons stated earlier, I do not accept Ms. Morin's opinion concerning the extent of Ms. Kilian's physical limitations described in the PCE. The physical stamina testing exceeded to a significant extent the usual physical demands of Ms. Kilian's day-to-day life both at home and at work. Further, Ms. Kilian's own evidence concerning her actual day-to-day functioning does not support all of Ms. Morin's 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Ms. Kilian lived on her own for approximately two years following the accident. She did not seek any housekeeping assistance during that time, nor has she sought it at any time in the past four years. She did not suggest that she lacked the financial resources to hire a house cleaner for a few hours each week. Before cohabiting with Mr. Jones, she performed all housekeeping duties on her own, although she was not (in her words) the "neat freak" she had been prior to the accident. Ms. Kilian testified that even during her relationship with Mr. Jones, she performed the majority of the housework.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In light of the evidence concerning Ms. Kilian's past and current functioning in the home, I have concluded there is no evidentiary basis for an award of damages for future care in areas such as homemaking, child care or yard maintenance, nor is there a basis for an award for diminished housekeeping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Ms. Kilian made a claim for moving expenses which I conclude is too speculative. Ms. Kilian is not intending to move at present. Further, she will incur moving costs in any event should she decide to move at some point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As I have already noted, Ms. Kilian has performed well in her teaching job. In the year following the accident, she did not make herself available for TOC assignments, and spent less time at work before and after class. She was also careful in the first year when teaching her physical education classes. She has otherwise coped well with her teaching load, earning excellent teaching evaluations. Ms. Kilian also completed the graduate diploma while working a .8 FTE teaching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For the most part, Ms. Kilian manages her neck symptoms with stretching, yoga, and massage therapy. Those symptoms become acute only during the occasional exacerbations. I conclude that an award of damages for cost of future care should be based on what is reasonably necessary to assist Ms. Kilian to maintain her general fitness and conditioning and to alleviate her symptoms when they become acute during exacerbations.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The defendants acknowledged that an award representing the present cost of some aspects of future care is appropriate based on Ms. Kilian's current condition and the chances of sporadic exacerbations of her condition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The present cost of the recommendations of Ms. Morin were calculated in the actuarial report of Christiane Clark (Associated Economic Consultants Inc.). On the basis of Ms. Clark's report, the recommendations of Ms. Morin and the opinion of Dr. le Noble, I conclude that Ms. Kilian is entitled to the following amounts:</w:t>
      </w:r>
      <w:r>
        <w:rPr>
          <w:rFonts w:ascii="arial" w:eastAsia="arial" w:hAnsi="arial" w:cs="arial"/>
          <w:sz w:val="20"/>
          <w:lang w:val="en-US" w:eastAsia="en-US" w:bidi="ar-SA"/>
        </w:rPr>
        <w:cr/>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work site assessment to determine whether there are measures available to assist Ms. Kilian during exacerbations of her neck pain: $600;</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multi-adjustable chair with armrests/neck support: $1,670;</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Physiotherapy services (4 hours to design an active rehabilitation program): $720;</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Home exercise equipment to assist with an active rehabilitation program (exercise mat; basic weight set; recumbent stationary bike; exercise ball); and ancillary equipment and aids such as cold packs, heating pad, cervical pillow, and "TENS machine" (present value): $4,775;</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assistance of a psychologist who specializes in pain management (15 sessions): $2,580;</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Occupational therapy (one year): $1,015;</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Massage therapy (initial two years); $2,600;</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Massage therapy (subsequent years) (present value): $6,000;</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Non-prescription medications (present value): $3,200;</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Prescription medication (Dilaudid) (present value): $3,575.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Ms. Kilian is currently participating in a funded kinesiology program. There was no evidence to suggest that such a program should continue indefinitely. Accordingly no award has been made for the cost of that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The total award for future cost of care is $26,735.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7.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The parties have agreed that the total of Ms. Kilian's current out-of-pocket expenses for treatment, medication, supplies and parking for various appointments is $5,300. In addition, I accept Ms. Kilian's mileage expense calculation of $872 (based on a total travel distance of 1,744 at $0.50 per kilometer). Accordingly, the total award for special damages is $6,172.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8. General</w:t>
      </w:r>
    </w:p>
    <w:p>
      <w:pPr>
        <w:spacing w:before="120"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Deductibility of Collateral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xml:space="preserve">  I accept that the disability benefits accruing to Ms. Kilian pursuant to the collective agreement between her union and her employer are not subject to deduction: </w:t>
      </w:r>
      <w:r>
        <w:rPr>
          <w:rFonts w:ascii="arial" w:eastAsia="arial" w:hAnsi="arial" w:cs="arial"/>
          <w:i/>
          <w:color w:val="000000"/>
          <w:sz w:val="20"/>
          <w:lang w:val="en-US" w:eastAsia="en-US" w:bidi="ar-SA"/>
        </w:rPr>
        <w:t>Cunningham v. Wheeler,</w:t>
      </w:r>
      <w:r>
        <w:rPr>
          <w:rFonts w:ascii="arial" w:eastAsia="arial" w:hAnsi="arial" w:cs="arial"/>
          <w:color w:val="000000"/>
          <w:sz w:val="20"/>
          <w:lang w:val="en-US" w:eastAsia="en-US" w:bidi="ar-SA"/>
        </w:rPr>
        <w:t xml:space="preserve"> </w:t>
      </w:r>
      <w:hyperlink r:id="rId144" w:history="1">
        <w:r>
          <w:rPr>
            <w:rFonts w:ascii="arial" w:eastAsia="arial" w:hAnsi="arial" w:cs="arial"/>
            <w:i/>
            <w:color w:val="0077CC"/>
            <w:sz w:val="20"/>
            <w:u w:val="single"/>
            <w:shd w:val="clear" w:color="auto" w:fill="FFFFFF"/>
            <w:lang w:val="en-US" w:eastAsia="en-US" w:bidi="ar-SA"/>
          </w:rPr>
          <w:t>[1994] 1 S.C.R. 359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Kask v. Tam</w:t>
      </w:r>
      <w:r>
        <w:rPr>
          <w:rFonts w:ascii="arial" w:eastAsia="arial" w:hAnsi="arial" w:cs="arial"/>
          <w:color w:val="000000"/>
          <w:sz w:val="20"/>
          <w:lang w:val="en-US" w:eastAsia="en-US" w:bidi="ar-SA"/>
        </w:rPr>
        <w:t xml:space="preserve"> </w:t>
      </w:r>
      <w:hyperlink r:id="rId145" w:history="1">
        <w:r>
          <w:rPr>
            <w:rFonts w:ascii="arial" w:eastAsia="arial" w:hAnsi="arial" w:cs="arial"/>
            <w:i/>
            <w:color w:val="0077CC"/>
            <w:sz w:val="20"/>
            <w:u w:val="single"/>
            <w:shd w:val="clear" w:color="auto" w:fill="FFFFFF"/>
            <w:lang w:val="en-US" w:eastAsia="en-US" w:bidi="ar-SA"/>
          </w:rPr>
          <w:t>(1996), 21 B.C.L.R. (3d) 11</w:t>
        </w:r>
      </w:hyperlink>
      <w:r>
        <w:rPr>
          <w:rFonts w:ascii="arial" w:eastAsia="arial" w:hAnsi="arial" w:cs="arial"/>
          <w:color w:val="000000"/>
          <w:sz w:val="20"/>
          <w:lang w:val="en-US" w:eastAsia="en-US" w:bidi="ar-SA"/>
        </w:rPr>
        <w:t xml:space="preserve"> (C.A.). The evidence (including agreement between counsel, pay stubs, Blue Cross documents, the collective agreement) provides ample proof that the benefits form part of Ms. Kilian's overall compensation package.</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Mitigation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The defendants took the position at the outset of the trial that Ms. Kilian failed to fully mitigate her loss because she did not engage in an active rehabilitation program in 2010 when it was recommended by Dr. le Noble. That position was not vigorously pursued during the trial, nor was it pursued in final argument. In any event, I do not accept that Ms. Kilian failed to fully mitigate her loss. It was not until April 2011 that Dr. le Noble mentioned the benefit of an exercise-based rehabilitation program to help Ms. Kilian return to activities such as golf and kayaking (as distinct from her general functioning). The defendants provided no medical or other evidence to support the argument that earlier attendance at the kinesiology appointments would have lessened the exacerbations in her neck pain which she experienced in 2011-2012.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V. </w:t>
      </w:r>
      <w:r>
        <w:rPr>
          <w:rFonts w:ascii="arial" w:eastAsia="arial" w:hAnsi="arial" w:cs="arial"/>
          <w:b/>
          <w:color w:val="000000"/>
          <w:sz w:val="20"/>
          <w:u w:val="single"/>
          <w:lang w:val="en-US" w:eastAsia="en-US" w:bidi="ar-SA"/>
        </w:rPr>
        <w:t>SUMMARY OF DAMAGES AWARDS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In summary, Ms. Kilian is entitled to the following damages awards: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22"/>
        <w:gridCol w:w="3451"/>
        <w:gridCol w:w="1569"/>
        <w:gridCol w:w="42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337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Non-pecuniary damages:</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$75,000</w:t>
            </w:r>
          </w:p>
        </w:tc>
        <w:tc>
          <w:tcPr>
            <w:tcW w:w="419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3"/>
        <w:gridCol w:w="3033"/>
        <w:gridCol w:w="1987"/>
        <w:gridCol w:w="42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w:t>
            </w:r>
          </w:p>
        </w:tc>
        <w:tc>
          <w:tcPr>
            <w:tcW w:w="29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Past wage loss:</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$15,682</w:t>
            </w:r>
          </w:p>
        </w:tc>
        <w:tc>
          <w:tcPr>
            <w:tcW w:w="419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future income $70,000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23"/>
        <w:gridCol w:w="3346"/>
        <w:gridCol w:w="1673"/>
        <w:gridCol w:w="42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w:t>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Cost of future care:</w:t>
            </w:r>
          </w:p>
        </w:tc>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$26,735</w:t>
            </w:r>
          </w:p>
        </w:tc>
        <w:tc>
          <w:tcPr>
            <w:tcW w:w="419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23"/>
        <w:gridCol w:w="3137"/>
        <w:gridCol w:w="1882"/>
        <w:gridCol w:w="42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w:t>
            </w:r>
          </w:p>
        </w:tc>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damages:</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$6,172</w:t>
            </w:r>
          </w:p>
        </w:tc>
        <w:tc>
          <w:tcPr>
            <w:tcW w:w="419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496"/>
        <w:gridCol w:w="428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40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TOTAL:</w:t>
            </w:r>
          </w:p>
        </w:tc>
        <w:tc>
          <w:tcPr>
            <w:tcW w:w="419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$193,589</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I will leave to counsel for the parties all precise calculations on these amounts, including HST where appropriate, and income tax and other deductions where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Subject to further submissions by the parties, Ms. Kilian is entitled to her taxable costs and court ordered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C.A. WEDGE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40" style="position:absolute;z-index:25186201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46"/>
          <w:headerReference w:type="default" r:id="rId147"/>
          <w:footerReference w:type="even" r:id="rId148"/>
          <w:footerReference w:type="default" r:id="rId149"/>
          <w:headerReference w:type="first" r:id="rId150"/>
          <w:footerReference w:type="first" r:id="rId15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52" w:history="1">
        <w:r>
          <w:rPr>
            <w:rFonts w:ascii="arial" w:eastAsia="arial" w:hAnsi="arial" w:cs="arial"/>
            <w:b/>
            <w:bCs/>
            <w:i/>
            <w:color w:val="0077CC"/>
            <w:kern w:val="32"/>
            <w:sz w:val="28"/>
            <w:szCs w:val="32"/>
            <w:u w:val="single"/>
            <w:shd w:val="clear" w:color="auto" w:fill="FFFFFF"/>
            <w:lang w:val="en-US" w:eastAsia="en-US" w:bidi="ar-SA"/>
          </w:rPr>
          <w:t>Lewis v. Gibson, [2018] B.C.J. No. 3341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L.D. Russell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12-16, 19-23,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5,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M142043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[2018] B.C.J. No. 3341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2018 BCSC 1713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Joseph Scott Lewis, Plaintiff, and Michael Terry Gibson and MKPB Enterprises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(302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41" style="position:absolute;z-index:2516613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9" w:name="Keywords_2"/>
      <w:bookmarkEnd w:id="19"/>
      <w:r>
        <w:rPr>
          <w:rFonts w:ascii="arial" w:eastAsia="arial" w:hAnsi="arial" w:cs="arial"/>
          <w:b/>
          <w:color w:val="000000"/>
          <w:sz w:val="20"/>
          <w:lang w:val="en-US" w:eastAsia="en-US" w:bidi="ar-SA"/>
        </w:rPr>
        <w:t>Damages — Physical and psychological injuries — Physical injuries — Body injuries — Neck — Soft tissue — Head injuries — Headaches — Arm injuries — Leg injuries — Knee — Foot — Psychological injuries — Depression — Prospective pecuniary loss — Action by plaintiff for damages suffered in motor vehicle accident allowed — Plaintiff was knocked off motorcycle when defendant improperly changed lanes — Defendant's vehicle ran over plaintiff's left foot and plaintiff was dragged by motorcycle — Accident caused injuries to plaintiff's left ankle and foot and exacerbated pre-existing right knee injury — Accident increased plaintiff's anxiety and depression and caused increase in his Percocet use.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Cost of future care — Special damages — Past loss of income — Employment income — Expenses and expenditures — Medical — Medications — Therapy or rehabilitation — Non-pecuniary loss — Pain and suffering — Action by plaintiff for damages suffered in motor vehicle accident allowed — Plaintiff was knocked off motorcycle when defendant improperly changed lanes — Accident caused injuries to plaintiff's left ankle and foot, exacerbated pre-existing right knee injury, increased anxiety and depression and increase in Percocet use — Plaintiff awarded non-pecuniary damages of $120,000 — Damages for past loss of income were $45,000 — Damages for future loss of earning capacity were assessed at $300,000 — Plaintiff was also awarded $20,000 for loss of housekeeping capacity, $26,703 for cost of future care and $3,284 for special damages.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0" w:name="Case Summary_2"/>
            <w:bookmarkEnd w:id="2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 Lewis for damages for injuries suffered in a motor vehicle accident. Lewis was injured in September 2012 when a sports utility vehicle driven by the defendant Gibson changed lanes and collided with the motorcycle driven by Lewis. He was knocked the ground and pulled by his sliding motorcycle. Lewis was taken to hospital where he complained of pain in his left leg and foot and his right arm and bicep. He suffered a fracture in a bone in his left heel. Lewis was 46 years old and was married with two children. He suffered from substance abuse problems, using cocaine and Percocet. The Percocet was prescribed for a right knee injury suffered in 2007. He aggravated his knee injury in a fall at work in 2011. Lewis also suffered from anxiety and depression for most of his adult life. He was not a particularly active or social person before the MVA. Lewis worked as a ship foreman. He was away from work for two months after the accident. He missed an additional 24 days of work after his disability time as a result of his injuries. Lewis was compelled to take a less physically demanding job in 2014 as a stevedoring foreman. He continued to suffer from pain in his left foot, right knee and right shoulder, as well and anxiety and depression. Liability for the accident was not conceded by Gibson but was not defended.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1" w:name="Holdings of Court_2"/>
            <w:bookmarkEnd w:id="21"/>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accident was cause by an unsafe lane change by Gibson. He was 100 per cent liable. The accident caused injuries to Lewis' left ankle and foot, exacerbated his right knee injury, increased his anxiety and depression and caused his increased Percocet use. An award of $150,000 for non-pecuniary damages was appropriate. A 20 per cent reduction was appropriate given Lewis' failure to pursue any psychological counselling and by failing to take steps towards dealing with his Percocet and cocaine addiction as it impacted his physical and psychological MVA injuries. Non-pecuniary damages were reduced to $120,000. The accident pushed Lewis' injuries from what was arguably a bothersome level of pain while engaging in ship foreman duties to a debilitating-to-unbearable level of pain. While there was no difference in wages between the foreman positions in and of themselves, there was a difference depending on what shifts were worked on certain days. Lewis also lost overtime shifts. Lewis was awarded $45,000 for past wage loss. Damages for future loss of earning capacity were assessed at $300,000. Lewis was unable to participate in heavier housework, house maintenance and yard work. He was awarded $20,000 for loss of housekeeping capacity. Lewis was entitled to $26,703 for medication and psychological counselling. Special damages were $3,284.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2" w:name="Legislation Cited_1"/>
      <w:bookmarkEnd w:id="2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42" style="position:absolute;z-index:2517125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Court Order Interest Act, </w:t>
      </w:r>
      <w:hyperlink r:id="rId153" w:history="1">
        <w:r>
          <w:rPr>
            <w:rFonts w:ascii="arial" w:eastAsia="arial" w:hAnsi="arial" w:cs="arial"/>
            <w:i/>
            <w:color w:val="0077CC"/>
            <w:sz w:val="20"/>
            <w:u w:val="single"/>
            <w:shd w:val="clear" w:color="auto" w:fill="FFFFFF"/>
            <w:lang w:val="en-US" w:eastAsia="en-US" w:bidi="ar-SA"/>
          </w:rPr>
          <w:t>R.S.B.C. 1996, c. 79, s. 7</w:t>
        </w:r>
      </w:hyperlink>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3" w:name="Counsel_2"/>
      <w:bookmarkEnd w:id="2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43" style="position:absolute;z-index:2517637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Robert B. McNeney.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Ellen S. Hong, Anna Kim.</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4" w:name="Judgment_2"/>
      <w:bookmarkEnd w:id="24"/>
      <w:r>
        <w:pict>
          <v:line id="_x0000_s1044" style="position:absolute;z-index:25181491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PLAINTIFF PRE-MVA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PLAINTIFF POST-MVA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EXPERT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Plaintiff's Experts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Dr. Peter Golin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Dr. Timothy Kostamo</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Dr. Gerard McKenzie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Dr. Danny Goel</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Dr. Shaohua Lu</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Joanne Beattie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Jennifer Lane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Kevin Turnbull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Defendant's Experts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Dr. Mitchell Spivak</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Dr. Paul Marks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Phil Townsley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LIABILITY SUMMARY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Right Knee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Right Shoulder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Anxiety, Depression, PTSD and Sleep Disturbances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Percocet and Cocaine Addiction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ISSUES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Plaintiff's Reliability and Credibility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Did the Plaintiff Fail to Mitigate his Damages?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Loss of Income-Earning Potential: Past and Future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Evidence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Legal Analysis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Loss of Housekeeping Capacity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Cost of Future Care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5" w:name="L.D. RUSSELL J."/>
            <w:bookmarkEnd w:id="25"/>
            <w:r>
              <w:rPr>
                <w:rFonts w:ascii="arial" w:eastAsia="arial" w:hAnsi="arial" w:cs="arial"/>
                <w:b/>
                <w:color w:val="000000"/>
                <w:sz w:val="30"/>
                <w:lang w:val="en-US" w:eastAsia="en-US" w:bidi="ar-SA"/>
              </w:rPr>
              <w:t>L.D. RUSSELL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September 30, 2012, the plaintiff was riding his motorcycle west on Marine Way in Burnaby,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He and three friends had ridden their bikes to White Rock and were returning home in the late afternoon.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According to the evidence of an eyewitness, they were all riding sensibly.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Just as the plaintiff approached a strip mall known as Market Crossing, a sport utility vehicle ("SUV") in the lane beside him changed lanes into his motorcycle (the "MVA"). He was knocked to the ground and the SUV crushed his left foot. His vest hooked onto his handlebars and while trapped by his motorcycle, he slid on his right side towards a triangular traffic island that marks the entrance to the strip mall.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He came to a stop within 2 feet of a utility pole in the center of the island.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First responders attended and he was taken to Royal Columbian Hospital ("RCH") by ambulance.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Once he arrived at RCH, he complained of pain in his left leg and foot and his right arm and bicep.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Radiographs did not reveal a break in his ankle but the plaintiff insisted on a CT scan. It revealed a fracture of the talus, a bone in the heel, but there was no displacement.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treating physician gave him an air cast and crutches, some painkillers and discharged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He saw his general practitioner, Dr. Peter Golin, on October 1,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Liability is not conceded but was not defended. I find that the MVA was entirely the result of an unsafe lane change by the defendant Michael Gibson and in the result, I find the defendants fully liable for the plaintiff's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PLAINTIFF PRE-MVA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Lewis is now 46 years old. He is married to Annie Lewis and has two children, 10 and 13. He lives in Burnaby, BC. He describes his relationship with his wife as excellent and that it has saved his life. His wife is supportive of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He has been a longshoreman since 1996 and in 2010, became a foreman. He describes the foreman job as a physical job, notwithstanding that there is a great variety of positions within the occupation, some more physically demanding than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He testified that his father was a brutal man and he hates his siblings. He changed his name as an adult to insulate himself from any identification with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As a young man, he suffered from Attention Deficit Hyperactivity Disorder and was medicated with Ritalin. He was often in trouble as a teenager and spent time incarcerated. During that time, he saw psychologists and social workers and developed a mistrust for these professionals that has endured. Despite his juvenile record, the plaintiff has not had any legal issues since 1992. Notwithstanding his behavioural difficulties at school, as an adult he was able to complete high school with a 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He has suffered from anxiety and depression for most of his adult life. On or about April 20, 2012, he went off work indefinitely due to depression and anxiety. He had lost a friend of 35 years to cancer and was suffering from an extreme grief reaction. It was while he was off work for depression and anxiety that he was involved in the 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Substance abuse has been an issue for him through his adult life. He was addicted to cocaine, alcohol, and Percocet, a narcotic painkiller. While the plaintiff testified that he knew he had to stop using drugs and alcohol, he did not take any steps to deal with his addictions before or after the 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He testified that he is no longer a frequent user of cocaine and has cut his drinking to almost none. His cocaine use is substantially reduced to only occasional indulgence. He admitted to being a poor historian and I note here that he told Dr. Shaohua Lu that he had continued his use of cocaine before the MVA and after, unlike what he told Dr. Spivak, which was that he was abstinent before the MVA and 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As part of his pattern of addiction, prior to the MVA he had been using vast amounts of Percocet: up to 20 or 30 a day, an amount that would kill a person who had not built a tolerance for the drug. The plaintiff advised Dr. Lu that he stopped abusing Percocet for a couple of years before the MVA, and that he was not using any Percocet at the time of the MVA. This evidence was contradicted by Dr. Gerard McKenzie's July 8, 2014 report where it states that as of April 25, 2012 the plaintiff was still using Percocet, having started taking them again when he hurt his knee in a 2011 work-related accident. There is no clear evidence as to the plaintiff's Percocet use between April 25, 2012 and the date of the 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He had complained about chronic pain in his right knee as early as 2007. An MRI dated February 12, 2010 showed a medial meniscal tear in the plaintiff's right knee. The MRI stated that the plaintiff had a history of chronic knee pain, and was experiencing significant knee pain even with mild activity.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He received WCB compensation for two incidents, one in 2010 and one in August 2011 when he fell on a log at work (the "2011 Accident"). The 2011 Accident aggravated his right knee pain, and Dr. Golin noted osteoarthritis in the right knee shortly after the 2011 Accident, on or about September 9,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plaintiff testified that he did miss some time from work after the 2011 Accident and thereafter, although not disabled from working, he avoided tasks that put pressure on his knee, including climbing ladders and walking on uneven surfaces. In particular, he testified that after he hurt his knee for the second time in 2011, he knew he had to give up a job where he was forced to walk on rail lines for long periods.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his testimony, the plaintiff said he did not have any shoulder issues before the MVA. His wife supported him on this point in her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His health was otherwise relatively good before the accident, although he did smoke 1-2 packages of cigarettes a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Lewis was not a particularly active or social person before the MVA. His wife and children went on vacations without him. While the plaintiff did not partake in any specific sport, he would participate in his son's baseball activities and play catch in his back yard. He attended his daughter's dance events. He also performed renovations to his house and did his own yard work. His hobby was fly fishing, of which he said he did a lot in local rivers.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PLAINTIFF POST-MVA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plaintiff was away from work due to his MVA injuries from September 30, 2012 until November 30, 2012. At the time of the MVA, while employed by Western Stevedoring, he had already sought new employment with DP World, and began work there in November 2012 when he returned to work after the MVA. He missed an additional 24 days of work after his disability time as a result of his injuries. On his return to work, the plaintiff testified he could not go up and down log ships.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July 2014, he moved to Ceres Corporation ("Ceres"), a cruise ship company, as a stevedoring foreman. This job involved the loading and unloading of cruise ships as well as the management of 80-100 longshoremen, and 10 or so other foremen. The plaintiff testified that he could do the job physically, but that it was emotionally stressful having to manage 80-100 longshoremen. He stopped working at Ceres in March 2017 and transferred to the Fraser Surrey Docks on or about March 17, 2017 where he currently works as a container gate foreman. This job does not involve supervisory or managerial duties, and the physical duties required are relatively light. In this job, he can see his children more reliably and be more involved in their dance and baseball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left ankle that was crushed between the SUV and the motorcycle continues to give him pain. At this stage, the pain he feels from the intra-articular fracture of the talus is not something that can be reduced with surgery. A CT scan of his ankle initially revealed this fracture in 2012; more recent scans show it has healed but the pain has not gone away. However, he has found relief from cortisone injections into the joint. They give him much reduced pain for a period of about 6-8 months each time. There seems to be a possibility that ankle fusion surgery could be considered but this would only be in 10-20 years and be a last resort, according to Dr. McKenzie.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He had arthroscopic surgery to repair meniscus issues in his right knee on June 13, 2013, and was off work until August 3, 2013 to recover. This surgery removed 10-15% of the plaintiff's meniscus tissue. The plaintiff presently uses a brace for uneven surfaces and ladders, and says his knee is still sore and gives him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Although his right shoulder looked to be normal in a 2014 examination by Dr. McKenzie, it became increasingly painful as time passed. He underwent rotator cuff surgery on April 24, 2017, almost 5 years post-MVA. He reported to Dr. Danny Goel that he had had some pre-existing shoulder pain before the MVA but that it had worsened after the MVA. This contradicts his testimony that he had no pre-existing shoulder issues. The plaintiff testified that it was hard to recover from this surgery, and that as of the time of trial he was only 60% recovered.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plaintiff continues to use approximately 3-5 non-prescription Percocet a day, a substantial amount not medically prescribed except to cancer patients. The plaintiff continues to smoke 1-2 packages of cigarettes a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A summary of the plaintiff's injuries immediately following the MVA is found in Dr. Golin's November 28, 2017 letter at page 5:</w:t>
      </w:r>
      <w:r>
        <w:rPr>
          <w:rFonts w:ascii="arial" w:eastAsia="arial" w:hAnsi="arial" w:cs="arial"/>
          <w:sz w:val="20"/>
          <w:lang w:val="en-US" w:eastAsia="en-US" w:bidi="ar-SA"/>
        </w:rPr>
        <w:cr/>
      </w:r>
    </w:p>
    <w:p>
      <w:pPr>
        <w:numPr>
          <w:numId w:val="9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Undisplaced verticle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 xml:space="preserve"> intra articular fracture of the posterior lateral margin of the talus and lateral process (left foot &amp; ankle)</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Multiple bruises over the body including the right biceps, both knees, left lower leg and chest wall;</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Aggravation of the patient's underlying chronic anxiety disorder;</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Aggravation of the patient's right knee pain from previous torn medial meniscus and arthritis requiring arthroscopic surgery;</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Soft tissue injuries to the neck;</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Muscle tension headaches;</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Right shoulder injury with full thickness incomplete tear of the upper subscapularis, medial instability biceps tendon, high grade near full thickness and near complete tear of the supraspinatus, rotator cuff syndrome, subclavicular impingement;</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Post Traumatic Stress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bruises healed. His left foot, left ankle, and right knee did not heal. The plaintiff's chronic anxiety and depression have persisted. The defendants admitted liability for the plaintiff's left foot and ankle injury, but the following disputes remain:</w:t>
      </w:r>
      <w:r>
        <w:rPr>
          <w:rFonts w:ascii="arial" w:eastAsia="arial" w:hAnsi="arial" w:cs="arial"/>
          <w:sz w:val="20"/>
          <w:lang w:val="en-US" w:eastAsia="en-US" w:bidi="ar-SA"/>
        </w:rPr>
        <w:cr/>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MVA caused the plaintiff's right shoulder injury;</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to which the MVA caused the plaintiff's right knee injury;</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to which the MVA exacerbated the plaintiff's chronic anxiety and depression; and</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has Post Traumatic Stress Disorder ("PTSD") and, if so, was it caused by the 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parties also dispute whether the plaintiff's cocaine and Percocet addiction was exacerbated or created by the MVA, either directly or indirectly.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EXPERT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Court received evidence from several experts. All of these experts testified at trial. A summary of each expert's evidence is summarized below. Unless otherwise noted, each expert presented as both credible and reliable. Specifically, I did not find any evidence that Dr. Golin was acting as an advocate for the plaintiff.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Plaintiff's Experts</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Peter Golin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Dr. Peter Golin has been a family physician for more than 30 years and has been the plaintiff's family physician for approximately 16 years. Dr. Golin prepared two main medico-legal reports, and treated the plaintiff at all material times before and after the 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Regarding the plaintiff's pre-MVA history, Dr. Golin testified that the plaintiff had chronic and recurring right knee pain in 2010 so significant that he ordered an MRI for his right knee in February 2010. This MRI showed a showed a tear in the medial meniscus and a small defect in the lateral femoral condyle. Dr. Golin agreed that the plaintiff's right knee situation at that time could be described as chronic and affecting his ability to work. In Dr. Golin's November 28, 2017 report he states that the plaintiff had chronic right knee pain for approximately 5 years before the MVA. This dates the plaintiff's chronic knee pain to approximately September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Dr. Golin testified that the plaintiff never presented with any right shoulder complaints prior to the 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Dr. Golin's medical examination documents further chronicle the state of the plaintiff's health from June 2010 up until the time of the MVA.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June 9, 2010</w:t>
      </w:r>
      <w:r>
        <w:rPr>
          <w:rFonts w:ascii="arial" w:eastAsia="arial" w:hAnsi="arial" w:cs="arial"/>
          <w:color w:val="000000"/>
          <w:sz w:val="20"/>
          <w:lang w:val="en-US" w:eastAsia="en-US" w:bidi="ar-SA"/>
        </w:rPr>
        <w:t xml:space="preserve"> - Dr. Golin notes that the plaintiff has "significant problems with meniscus, loose bodies, and chondral defect. Every time he does checking, </w:t>
      </w:r>
      <w:r>
        <w:rPr>
          <w:rFonts w:ascii="arial" w:eastAsia="arial" w:hAnsi="arial" w:cs="arial"/>
          <w:i/>
          <w:color w:val="000000"/>
          <w:sz w:val="20"/>
          <w:lang w:val="en-US" w:eastAsia="en-US" w:bidi="ar-SA"/>
        </w:rPr>
        <w:t>i.e</w:t>
      </w:r>
      <w:r>
        <w:rPr>
          <w:rFonts w:ascii="arial" w:eastAsia="arial" w:hAnsi="arial" w:cs="arial"/>
          <w:color w:val="000000"/>
          <w:sz w:val="20"/>
          <w:lang w:val="en-US" w:eastAsia="en-US" w:bidi="ar-SA"/>
        </w:rPr>
        <w:t>. walks the railway lines he develops severe pain and swelling in his knee preventing him from working for the next 2-3 days". Dr. Golin recommended that the plaintiff "avoid all activities that aggravate right need pain". His chronic anxiety and Attention Deficit Disorder ("ADD") were also reviewed. Dr. Golin notes that the plaintiff is taking 4 Percocet a day, and one "oxy 5" a day. The plaintiff says he has chronic pain and is unable to come off these drugs. Dr. Golin instructed him to wean down very slowly by a quarter tablet a week.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April 25, 2012</w:t>
      </w:r>
      <w:r>
        <w:rPr>
          <w:rFonts w:ascii="arial" w:eastAsia="arial" w:hAnsi="arial" w:cs="arial"/>
          <w:color w:val="000000"/>
          <w:sz w:val="20"/>
          <w:lang w:val="en-US" w:eastAsia="en-US" w:bidi="ar-SA"/>
        </w:rPr>
        <w:t xml:space="preserve"> - Dr. Golin notes that the plaintiff continues to suffer from a significant anxiety disorder. The plaintiff recently attempted to come off all his Percocet and stop smoking at the same time. Dr. Golin's plan is to have the plaintiff use Tramacet instead of Percocet, and undergo "prolonged counselling".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May 17, 2012</w:t>
      </w:r>
      <w:r>
        <w:rPr>
          <w:rFonts w:ascii="arial" w:eastAsia="arial" w:hAnsi="arial" w:cs="arial"/>
          <w:color w:val="000000"/>
          <w:sz w:val="20"/>
          <w:lang w:val="en-US" w:eastAsia="en-US" w:bidi="ar-SA"/>
        </w:rPr>
        <w:t xml:space="preserve"> - Dr. Golin notes that the plaintiff is suffering from increasing anxiety, depression, poor concentration and memory and irritability. He is easily angered and is not able to work, with fleeting thoughts of suicide but no plan to act on his ideation. Dr. Golin continues to recommend prolonged counselling,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May 31, 2012</w:t>
      </w:r>
      <w:r>
        <w:rPr>
          <w:rFonts w:ascii="arial" w:eastAsia="arial" w:hAnsi="arial" w:cs="arial"/>
          <w:color w:val="000000"/>
          <w:sz w:val="20"/>
          <w:lang w:val="en-US" w:eastAsia="en-US" w:bidi="ar-SA"/>
        </w:rPr>
        <w:t xml:space="preserve"> - The plaintiff's insurance company will not cover his disability unless he sees a counsellor or psychiatrist. Dr. Golin refers the plaintiff to a psychologist, and gives him several names.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June 14, 2012</w:t>
      </w:r>
      <w:r>
        <w:rPr>
          <w:rFonts w:ascii="arial" w:eastAsia="arial" w:hAnsi="arial" w:cs="arial"/>
          <w:color w:val="000000"/>
          <w:sz w:val="20"/>
          <w:lang w:val="en-US" w:eastAsia="en-US" w:bidi="ar-SA"/>
        </w:rPr>
        <w:t xml:space="preserve"> - The plaintiff is complaining of increasing depression and anger. He is thinking about suicide by shooting himself. The plaintiff is afraid to drive his motorcycle because he thinks he would drive himself into a truck. He is presently seeing a counsellor.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July 25, 2012</w:t>
      </w:r>
      <w:r>
        <w:rPr>
          <w:rFonts w:ascii="arial" w:eastAsia="arial" w:hAnsi="arial" w:cs="arial"/>
          <w:color w:val="000000"/>
          <w:sz w:val="20"/>
          <w:lang w:val="en-US" w:eastAsia="en-US" w:bidi="ar-SA"/>
        </w:rPr>
        <w:t xml:space="preserve"> - Dr. Golin notes that the plaintiff is showing good improvement regarding his anxiety, and significant improvement regarding his depression. Nonetheless, he continues to have some anxiety attacks, especially in certain situations such as restaurants and visiting friends, particularly where large crowds of people exist.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August 14, 2012</w:t>
      </w:r>
      <w:r>
        <w:rPr>
          <w:rFonts w:ascii="arial" w:eastAsia="arial" w:hAnsi="arial" w:cs="arial"/>
          <w:color w:val="000000"/>
          <w:sz w:val="20"/>
          <w:lang w:val="en-US" w:eastAsia="en-US" w:bidi="ar-SA"/>
        </w:rPr>
        <w:t xml:space="preserve"> - The plaintiff continues to slowly improve regarding his depression and anxiety. He is applying for a new job where he believes the environment is much healthier. This appears to refer to his application to DP World.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September 17, 2012</w:t>
      </w:r>
      <w:r>
        <w:rPr>
          <w:rFonts w:ascii="arial" w:eastAsia="arial" w:hAnsi="arial" w:cs="arial"/>
          <w:color w:val="000000"/>
          <w:sz w:val="20"/>
          <w:lang w:val="en-US" w:eastAsia="en-US" w:bidi="ar-SA"/>
        </w:rPr>
        <w:t xml:space="preserve"> - Dr. Golin notes that the plaintiff has felt much better this last week, stating, "This is the best he had felt for the last few years according to him. His wife has noticed a big change, as have his children and friends. He is sleeping well, he is waking up at a good time in the morning and getting much done around the house, he is thinking more clearly, he has less anxiety, his thoughts are positive".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MVA then occurs on September 30,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Dr. Golin's first medico-legal report, dated May 7, 2014, summarizes the plaintiff's post-MVA history up until this point and the plaintiff's current prognosis.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Dr. Golin first saw the plaintiff after the MVA on October 1, 2012. The plaintiff complained of pain, bruising and swelling of his left foot, and that he was unable to bear weight on his left foot. He further complained of swelling and bruising of the right bicep muscle; abrasions over the right anterior chest wall; swelling and bruising over the left lower leg; pain in both knees; pain in his neck; and multiple aches and pains all over his body. A physical examination bore all the plaintiff's complaints out as accurate, and further revealed muscle spasms in his neck with a reduced range of motion in all planes; a fractured left talus bone; and pain with flexion and extension in both knees. The plaintiff was deemed not fit to go back to any type of work. Tylenol 3s were prescribed for pain control. Dr. Golin noted that the plaintiff did not have any significant anxiety or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May 7, 2014 report, as well as other medical documents Dr. Golin authored, provide further detail regarding the plaintiff's post-MVA medical narrative.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July 1, 2013</w:t>
      </w:r>
      <w:r>
        <w:rPr>
          <w:rFonts w:ascii="arial" w:eastAsia="arial" w:hAnsi="arial" w:cs="arial"/>
          <w:color w:val="000000"/>
          <w:sz w:val="20"/>
          <w:lang w:val="en-US" w:eastAsia="en-US" w:bidi="ar-SA"/>
        </w:rPr>
        <w:t xml:space="preserve"> - Dr. Golin told the plaintiff not to take any further medications unless he was having significant pain.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September 5, 2013</w:t>
      </w:r>
      <w:r>
        <w:rPr>
          <w:rFonts w:ascii="arial" w:eastAsia="arial" w:hAnsi="arial" w:cs="arial"/>
          <w:color w:val="000000"/>
          <w:sz w:val="20"/>
          <w:lang w:val="en-US" w:eastAsia="en-US" w:bidi="ar-SA"/>
        </w:rPr>
        <w:t xml:space="preserve"> - Dr. Golin notes that the plaintiff is now using painkillers on a daily basis to help him through work and also at the end of his workday.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January 22, 2014</w:t>
      </w:r>
      <w:r>
        <w:rPr>
          <w:rFonts w:ascii="arial" w:eastAsia="arial" w:hAnsi="arial" w:cs="arial"/>
          <w:color w:val="000000"/>
          <w:sz w:val="20"/>
          <w:lang w:val="en-US" w:eastAsia="en-US" w:bidi="ar-SA"/>
        </w:rPr>
        <w:t xml:space="preserve"> - A CT of the plaintiff's left foot revealed no abnormalities.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April 9, 2014</w:t>
      </w:r>
      <w:r>
        <w:rPr>
          <w:rFonts w:ascii="arial" w:eastAsia="arial" w:hAnsi="arial" w:cs="arial"/>
          <w:color w:val="000000"/>
          <w:sz w:val="20"/>
          <w:lang w:val="en-US" w:eastAsia="en-US" w:bidi="ar-SA"/>
        </w:rPr>
        <w:t xml:space="preserve"> - The plaintiff continued to complain of left ankle pain and right knee pain. His job required him to do repetitive climbing including ladders, which was aggravating his pain. The plaintiff was not showing any significant improvement over the last few months. No abnormality such as swelling, redness, heat or reduced range of motion could be seen on examination. Dr. Golin advised him to continue with his work, taking lighter duties as possible, and to use painkillers only for severe pain.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May 7, 2014</w:t>
      </w:r>
      <w:r>
        <w:rPr>
          <w:rFonts w:ascii="arial" w:eastAsia="arial" w:hAnsi="arial" w:cs="arial"/>
          <w:color w:val="000000"/>
          <w:sz w:val="20"/>
          <w:lang w:val="en-US" w:eastAsia="en-US" w:bidi="ar-SA"/>
        </w:rPr>
        <w:t xml:space="preserve"> - Dr. Golin opined that the plaintiff's right knee medial meniscus tear did not occur because of the MVA. The MVA injury, however, did cause a significant flare-up of right knee pain aggravating the pain he suffered from this tear, and did cause some mild arthritis. If it were not for the MVA, Dr. Golin believes the plaintiff would not have required right knee surgery and would not have required any time off work for this procedure. Dr. Golin expects the plaintiff will develop further arthritis over the next 10 to 20 years, as well as progressive right knee pain. Dr. Golin notes that the plaintiff is currently able to do his job with some pain, but that lighter duties are preferable. While the plaintiff will have pain in his right knee and left foot regardless of the type of work he does, choosing lighter work can reduce the pain. Any type of work requiring repetitive climbing of stairs and ladders may aggravate his knee and ankle pain, and should be avoided if possible.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April 8, 2015</w:t>
      </w:r>
      <w:r>
        <w:rPr>
          <w:rFonts w:ascii="arial" w:eastAsia="arial" w:hAnsi="arial" w:cs="arial"/>
          <w:color w:val="000000"/>
          <w:sz w:val="20"/>
          <w:lang w:val="en-US" w:eastAsia="en-US" w:bidi="ar-SA"/>
        </w:rPr>
        <w:t xml:space="preserve"> - The plaintiff saw a psychologist who diagnosed him with possible PTSD. This appears to refer to Dr. Lu. Dr. Golin stated that he personally did not think this was the plaintiff's diagnosis, and instead recommended Selective Serotonin Receptive Inhibitors, a commonly prescribed type of anti-depressant. Given the plaintiff's anxiety and depression, Dr. Golin was of the view that he may benefit from the use of an SSRI.</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May 3, 2017</w:t>
      </w:r>
      <w:r>
        <w:rPr>
          <w:rFonts w:ascii="arial" w:eastAsia="arial" w:hAnsi="arial" w:cs="arial"/>
          <w:color w:val="000000"/>
          <w:sz w:val="20"/>
          <w:lang w:val="en-US" w:eastAsia="en-US" w:bidi="ar-SA"/>
        </w:rPr>
        <w:t xml:space="preserve"> - Following the plaintiff's shoulder surgery, he is continuing to take Percocet for pain; is not fit for work for at least several months; is not sleeping well due to significant pain; and is having anxiety due to constant pain, disability, and stress.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w:t>
      </w:r>
      <w:r>
        <w:rPr>
          <w:rFonts w:ascii="arial" w:eastAsia="arial" w:hAnsi="arial" w:cs="arial"/>
          <w:color w:val="000000"/>
          <w:sz w:val="20"/>
          <w:u w:val="single"/>
          <w:lang w:val="en-US" w:eastAsia="en-US" w:bidi="ar-SA"/>
        </w:rPr>
        <w:t>August 8, 2017</w:t>
      </w:r>
      <w:r>
        <w:rPr>
          <w:rFonts w:ascii="arial" w:eastAsia="arial" w:hAnsi="arial" w:cs="arial"/>
          <w:color w:val="000000"/>
          <w:sz w:val="20"/>
          <w:lang w:val="en-US" w:eastAsia="en-US" w:bidi="ar-SA"/>
        </w:rPr>
        <w:t xml:space="preserve"> - Plaintiff is still using Percocet 2-3 times a day for pain. Dr. Golin recommended prolonged counselling regarding his anxiety disorder. The plaintiff describes that he is presently avoiding all social activities other than spending time with his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This leads up to the time of Dr. Golin's second medico-legal report, dated November 28, 2017. As noted above, Dr. Golin's final diagnosis of the plaintiff's MVA injuries at this time were:</w:t>
      </w:r>
      <w:r>
        <w:rPr>
          <w:rFonts w:ascii="arial" w:eastAsia="arial" w:hAnsi="arial" w:cs="arial"/>
          <w:sz w:val="20"/>
          <w:lang w:val="en-US" w:eastAsia="en-US" w:bidi="ar-SA"/>
        </w:rPr>
        <w:cr/>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Undisplaced verticle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 xml:space="preserve"> intra-articular fracture of the posterior lateral margin or the talus and lateral process (left ankle and foot);</w:t>
      </w:r>
    </w:p>
    <w:p>
      <w:pPr>
        <w:numPr>
          <w:numId w:val="1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Multiple bruises over the body including the right biceps, both knees, left lower leg and chest wall;</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Aggravation of patient's underlying right knee pain from previous torn medial meniscus and arthritis requiring arthroscopic surgery;</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Aggravation of the patient's underlying chronic anxiety disorder;</w:t>
      </w:r>
    </w:p>
    <w:p>
      <w:pPr>
        <w:numPr>
          <w:numId w:val="1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Soft tissue injuries to the neck;</w:t>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Muscle tension headaches;</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Right shoulder injury with full thickness incomplete tear of the upper subscapularis, medial instability biceps tendon, high grade near full thickness and near complete tear of the supraspinatus, rotator cuff syndrome, subclavicular impingement; and</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PTSD.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Dr. Golin provided further diagnostic details in regard to the following injuries: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Left Ankle and Foot</w:t>
      </w:r>
      <w:r>
        <w:rPr>
          <w:rFonts w:ascii="arial" w:eastAsia="arial" w:hAnsi="arial" w:cs="arial"/>
          <w:color w:val="000000"/>
          <w:sz w:val="20"/>
          <w:lang w:val="en-US" w:eastAsia="en-US" w:bidi="ar-SA"/>
        </w:rPr>
        <w:t>: The plaintiff's undisplaced fracture of the talus and lateral process were completely due to the MVA. The plaintiff will continue to have left foot and ankle pain, and the prognosis for full recovery with no remaining pain and full function is "poor". Ankle injections will give the plaintiff some temporary relief. The plaintiff will not require any surgery, but will require intermittent pain medication. Ankle pain will affect his ability to repeatedly climb ladders and stairs, and will affect his ability to do heavier housework and yard work and more vigorous recreational activities involving running, hiking and baseball. The plaintiff is at risk for developing early degenerative osteoarthritis in the left ankle.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Right Knee</w:t>
      </w:r>
      <w:r>
        <w:rPr>
          <w:rFonts w:ascii="arial" w:eastAsia="arial" w:hAnsi="arial" w:cs="arial"/>
          <w:color w:val="000000"/>
          <w:sz w:val="20"/>
          <w:lang w:val="en-US" w:eastAsia="en-US" w:bidi="ar-SA"/>
        </w:rPr>
        <w:t>: The flare-up of the right knee is completely due to the MVA. The arthroscopic surgery and injections into the right knee were all necessary because of the flare-up.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Chronic Anxiety Disorder</w:t>
      </w:r>
      <w:r>
        <w:rPr>
          <w:rFonts w:ascii="arial" w:eastAsia="arial" w:hAnsi="arial" w:cs="arial"/>
          <w:color w:val="000000"/>
          <w:sz w:val="20"/>
          <w:lang w:val="en-US" w:eastAsia="en-US" w:bidi="ar-SA"/>
        </w:rPr>
        <w:t>: Commenting generally on the plaintiff's mental health, Dr. Golin states that he will "probably" continue to have persistent symptoms of anxiety, depression, reduced metal stamina, poor concentration and attention, irritability, poor emotional control, loss of mental energy, and increased risk of further substance abuse. Dr. Golin does not expressly state whether the MVA was the cause of or aggravated any of these issues.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Right Shoulder</w:t>
      </w:r>
      <w:r>
        <w:rPr>
          <w:rFonts w:ascii="arial" w:eastAsia="arial" w:hAnsi="arial" w:cs="arial"/>
          <w:color w:val="000000"/>
          <w:sz w:val="20"/>
          <w:lang w:val="en-US" w:eastAsia="en-US" w:bidi="ar-SA"/>
        </w:rPr>
        <w:t>: Based on an absence of previous past history of right shoulder problems, Dr. Golin's conclusion was that this injury is completely due to MVA. Because of shoulder surgery, the plaintiff was not fit for any work from the date of surgery, April 24, 2017, until approximately mid-May 2017. The shoulder surgery has reduced the plaintiff's pain, improved his strength and function. Dr. Golin believes that the plaintiff will recover fully from his surgery and will be able to continue with normal activities once he fully rehabilitates his right shoulder. However, he will likely continue to have some pain due to osteoarthritis of the acromio-clavicular joint.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PTSD</w:t>
      </w:r>
      <w:r>
        <w:rPr>
          <w:rFonts w:ascii="arial" w:eastAsia="arial" w:hAnsi="arial" w:cs="arial"/>
          <w:color w:val="000000"/>
          <w:sz w:val="20"/>
          <w:lang w:val="en-US" w:eastAsia="en-US" w:bidi="ar-SA"/>
        </w:rPr>
        <w:t>: The plaintiff suffered from PTSD due to the MVA. Dr. Golin believes the plaintiff will continue to suffer from chronic PTSD for the rest of his life and that it will affect his ability to work, as well as his social and recreational activities. PTSD has significantly aggravated the plaintiff's underlying chronic anxiety disorder and insomnia, and the plaintiff's chronic pain in his ankle and knee will be an aggravating factor in his PTSD. The plaintiff will require ongoing medication for PTSD including intermittent use of anti-depressant medications, anti-anxiety medications, and possibly anti-psychotic medications, for the rest of his life. He will require intermittent psychotherapy and counselling, as recommended by Dr. Lu. Because of his PTSD, Dr. Golin does not believe that the plaintiff will be fit to take on work as a supervisor or manager due to the mental stress involved.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Dr. Golin makes the following overall conclusions regarding the plaintiff's diagnosis:</w:t>
      </w:r>
      <w:r>
        <w:rPr>
          <w:rFonts w:ascii="arial" w:eastAsia="arial" w:hAnsi="arial" w:cs="arial"/>
          <w:sz w:val="20"/>
          <w:lang w:val="en-US" w:eastAsia="en-US" w:bidi="ar-SA"/>
        </w:rPr>
        <w:cr/>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 high probability of flare-up pain in his left ankle and right knee, and well as periods of significant anxiety and depression, which will require time off from work.</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 high probability of the plaintiff developing degenerative arthritis in the left foot and ankle and right knee over next 15-20 years. This will cause further increased pain and affect the plaintiff's functionality. It will affect his recreational, social and work activities at a greater level than present. It will not likely require surgery, but will require increased pain medications and further physical therapy such as physiotherapy.</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is at risk for further substance abuse. If substance abuse was to become a more significant problem, the plaintiff's mental and physical health will be significantly affected.</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are no limitations or risk of limitations on the plaintiff's self-care and/or independent living.</w:t>
      </w:r>
    </w:p>
    <w:p>
      <w:pPr>
        <w:numPr>
          <w:numId w:val="2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is fit to participate in most leisure activities that do not involve jumping, running, rapid twisting of his ankles.</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is unable to participate in heavier housework and yard work.</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is fit to continue working at his regular job.</w:t>
      </w:r>
    </w:p>
    <w:p>
      <w:pPr>
        <w:numPr>
          <w:numId w:val="2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will be able to work full time, as long as he avoids heavier work, heavy lifting, repeat bending and repeat use of ladders or stairs.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Dr. Golin testified at trial that the plaintiff's Percocet use amounted to dependence, and could change his mental health, anxiety, and cause more pain. Reducing Percocet usage could result in heightening the plaintiff's pre-existing chronic anxiety. He agreed that work as a supervisor or head foreman could also compound the plaintiff's anxiety in that it was a stressful job. He stated that the plaintiff avoiding certain jobs pre-MVA was his "choice" as opposed to a strict medical recommendation. He clarified that his position was that absent the MVA the plaintiff would not have required right knee arthroscopic surgery in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cross-examination, Dr. Golin stated that he changed his initial opinion and came to his PTSD diagnosis having had the "benefit of" Dr. Lu's opinion, and a sit- down review with the plaintiff regarding his symptoms. He did not simply adopt Dr. Lu's opinion, but came to the diagnosis having reconsidered matters.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Timothy Kostamo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Dr. Timothy Kostamo is an orthopedic surgeon. His report is dated May 7, 2014, where he states that the plaintiff's left talus fracture, exacerbation of increased pain and increased mechanical symptoms of a pre-existing medial meniscus tear in the right knee were due to MVA. The long-term prognosis of normal ankle function following a non-displaced talar fracture is "excellent".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In testimony, Dr. Kostamo stated that the plaintiff "should" be able to continue with his current job on an unrestricted basis after his knee surgery (which removed 10-15% of his meniscus tissue). Dr. Kostamo's prognosis of the plaintiff having normal knee function in the long term is "good". Dr. Kostamo did concede that the risk of the plaintiff developing arthritis in this portion of the knee was "certainly higher" compared to someone with 100% of their meniscus tissue in the long term, </w:t>
      </w:r>
      <w:r>
        <w:rPr>
          <w:rFonts w:ascii="arial" w:eastAsia="arial" w:hAnsi="arial" w:cs="arial"/>
          <w:i/>
          <w:color w:val="000000"/>
          <w:sz w:val="20"/>
          <w:lang w:val="en-US" w:eastAsia="en-US" w:bidi="ar-SA"/>
        </w:rPr>
        <w:t>i.e</w:t>
      </w:r>
      <w:r>
        <w:rPr>
          <w:rFonts w:ascii="arial" w:eastAsia="arial" w:hAnsi="arial" w:cs="arial"/>
          <w:color w:val="000000"/>
          <w:sz w:val="20"/>
          <w:lang w:val="en-US" w:eastAsia="en-US" w:bidi="ar-SA"/>
        </w:rPr>
        <w:t>. 15-20 years in the future. Dr. Kostamo's opinion was that the increased catching in his plaintiff's knee was caused by the MVA. He stated that his opinion might change if there was clear documentation of catching before the MVA.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Gerard McKenzie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Dr. Gerard McKenzie is an orthopedic surgeon. He prepared three expert reports. In his first report dated July 8, 2014, Dr. McKenzie reviewed some of his previous records in relation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plaintiff describes his knee pain after the 2011 Accident as being triggered by jobs involving uneven surfaces and ladders, such as a log job. He stated that he had no pain when not working these jobs. The plaintiff states that he had intermittent knee pain for 5 years before the 2011 Accident. While this pre-2011 Accident pain did not cause him to miss any work, it did lead him to avoid certain jobs.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records dated April 25, 2012, the plaintiff describes trying to come off his 1-3 Percocet a day habit at the time, having been on them for about 8 years. He states that he took "up to 20 a day for 2-3 years", was then off Percocet for 3 years, before he started up again around the time of the 2011 Accident. These records state that the plaintiff has a significant anxiety disorder. As the plaintiff told Dr. McKenzie, 2012 was a "bad year", having lost a friend of 35 years. Dr. McKenzie notes that the plaintiff has had sleep disturbance issues for a number of years pre- dating the accident, which the plaintiff described as "terrible". At some point, the plaintiff was put on Risperidone.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By September 17, 2012, it is noted that the plaintiff reports feeling "much better this last year" and that "this is the best he has felt for the last few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July 8, 2014 report also provides a snapshot of the plaintiff's left ankle/foot and right knee injuries, his job status, and his overall lifestyle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In Dr. McKenzie's opinion, the causation of the plaintiff's constant left foot and ankle pain is the MVA. He had no pain prior to the accident. The pain is aggravated by walking on uneven surfaces, climbing ladders and stairs. The plaintiff avoids jumping on the left foot. He has difficulty with squatting and kneeling. Typical day-to- day pain is described as a 3-4/10, with an overall pain range from 2-7/10. At higher levels of pain, the plaintiff has to sit down and stop working. The plaintiff did not think he is improving.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In Dr. McKenzie's opinion, the plaintiff aggravated a pre-existing problem in his right knee consistent with an MVA of this nature and a direct blow to the knee, leading to more intense and frequent pain. In his view, the bulk of the plaintiff's problems were coming from the patellofemoral joint, and not the medial meniscus, which was the source of the plaintiff's previous knee pain. The only management for his pain is ongoing exercises. Injections are unlikely to help as he has no knee fluid.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plaintiff complains of constant knee pain, aggravated by the same activities as the left foot/ankle. Any weight bearing activity aggravates it, but "ladders are the absolute worst". Typical knee pain is a 2-3/10. The overall pain ranges from a 2/10 to a 5-6/10. The plaintiff describes his knee pain as "significant", worse than it was before the MVA. Before it was intermittent pain, now it is constant.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plaintiff describes his job at Ceres as involving a lot of walking and being on his feet for long hours. However, there are very few ladders. He states that he is able to do his job, albeit not comfortably. The plaintiff says there are no issues with his housework, but his yard work has been affected by his injuries. He cannot do any roofing or other house maintenance. He is no longer fly fishing on the 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Dr. McKenzie notes that trying to evaluate the pain caused by the MVA injuries is complicated by the plaintiff's pre-existing chronic knee pain condition as this predisposes him to developing chronic pain in other areas. The pain evaluation is also complicated by the plaintiff taking narcotics on an ongoing basis, showing some addiction issues. At that time, the plaintiff was using 1-3 Percocet a day without a prescription - the same amount the plaintiff told Dr. McKenzie he was using at the time of the April 25, 2012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In his second report dated September 12, 2017, the plaintiff reports that his shoulder pain ranged from 2-7/10 but is significantly better than it was before his surgery. The plaintiff thinks his shoulder is continuing to improve.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Dr. McKenzie's opinion remained that the causation of plaintiff's left foot pain is the MVA. He adds that the plaintiff has a risk of developing osteoarthritis in the subtalar joint, though it is likely to be slow in its onset and while the plaintiff is likely to have ongoing persistent pain for the foreseeable future in this area, he is not a candidate for surgery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Dr. McKenzie's opinion remained that the MVA permanently aggravated the plaintiff's right knee problem, an aggravation which has now persisted for 5 years. Dr. McKenzie further opined that the plaintiff likely would have continued to have pain in the knee as he had before the accident were it not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plaintiff continued to report issues at work due to his right knee and left hind foot, mainly involving climbing ladders and walking on uneven ground, as well as issues with his yard work and recreational activities. Dr. McKenzie's opinion was that these issues were consistent with the mechanism of injury, the plaintiff's diagnosis and his physical 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As for the plaintiff's right shoulder injury, and possible further issues with his left shoulder, Dr. McKenzie said, "In my opinion it is more likely than not that he did not have a significant injury to his shoulders as a result of this accident." In his opinion it was more likely than not that his shoulder pain and the need for surgery was not a result of the MVA. In his opinion it was more likely due to his "age and work related activities". The plaintiff told Dr. McKenzie he took 4-5 Ativan a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In his third report dated December 20, 2017, Dr. McKenzie opined that as the plaintiff had a reasonable response to injection in the subtalar joint, he is a candidate for further injections on an as needed basis. It remained his opinion that it was "unlikely" the MVA caused a significant injury to the plaintiff's right shoulder. Dr. McKenzie's position was that while the MVA did not aggravate the plaintiff's meniscus, the mechanism of injury, his examination and the plaintiff's subjective complaints (which Dr. McKenzie assumed were credible) were all consistent with an aggravation of a pre-existing right knee problem of some sort, and "perhaps" the onset of a new problem in the patellofemoral joint.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Dr. McKenzie's testimony at trial was that while he did not know where the plaintiff's post-MVA knee pain was coming from, the source of it was not his pre- existing meniscal tear. In Dr. McKenzie's opinion the plaintiff's new pain was in his patellofemoral joint and it was caused by the MVA. He notes that the knee is a complex joint. Dr. McKenzie was of the view that surgery was probable given the plaintiff's pre-MVA symptoms, if these symptoms continued. He stated that a person can have a meniscal tear without any symptoms. Dr. McKenzie testified that while the plaintiff had knee problems pre-MVA, the plaintiff did not feel they were significant enough to warrant surgery. Dr. McKenzie opined that he would not have operated on the plaintiff's knee without the meniscal tear if the knee otherwise looked normal, even if the plaintiff's pain was still there. In his opinion, surgery would not have solved the plaintiff's pain problems, and in fact did not solve these problems.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Danny Goel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Dr. Danny Goel is the treating orthopedic surgeon for the plaintiff's shoulder. The plaintiff reported to Dr. Goel that while he did have some shoulder pain prior to the MVA, his symptoms did not become worse until the summer of 2016, nearly 4 years following the MVA. On or about March 30, 2017 Dr. Goel opined that the plaintiff had a right shoulder rotator cuff tear with biceps tendon subluxation, which required arthroscopic rotator cuff repair surgery. This surgery took place on April, 24 2017. In his May 8, 2017 notes, Dr. Goel states that the plaintiff will remain in sling immobilization until the next visit in one month's time. While the notes from this next visit do not indicate whether the sling immobilization continued, approximately 6 weeks following the surgery, Dr. Goel commented that the plaintiff was "doing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In his expert report dated October 2, 2017, Dr. Goel concluded that the plaintiff's shoulder symptoms were not fully attributable to the accident based on his history, physical exam, self-reports of pain pre-injury, as well as the fact that the plaintiff had shoulder pain for a short while after the MVA, but then no pain for several years. In Dr. Goel's opinion, should he have suffered an acute rotator cuff injury in the MVA, it would have been expected to have caused consistent pain and disability following the MVA. By the plaintiff's own account, this was not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Dr. Goel describes that the plaintiff's shoulder has a near full range of motion in all planes, with mild stiffness globally. While the plaintiff is currently unable to do any heavy lifting, pushing or pulling, Dr. Goel anticipated that this would improve with ongoing therapy. Strength testing was otherwise a 5/5 and his neurological exam was normal.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Dr. Goel's January 22, 2018 medical notes state that the plaintiff was still "doing well" some 8 months following surgery, with the plaintiff rating his shoulder as "about 65% normal". An examination of the plaintiff's right shoulder "reveals near full range of motion in all planes and excellent strength".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Dr. Goel maintained his conclusion that the shoulder injury was not fully attributable to the MVA at trial. In his opinion, while it was premature to talk about permanent limitations, no further care would be required for the plaintiff's shoulder.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Shaohua Lu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Dr. Shaohua Lu is a psychiatrist. He prepared two medico-legal reports, as well as a third responsive report to the findings of Dr. Mitchell Spivak. Dr. Lu's first report, dated April 6, 2015, details his assessment of the plaintiff on April 1, 2015. His findings are based on a review of the plaintiff's medical documentation, a semi- structured psychiatric interview, and a mental status 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At time of the MVA, the plaintiff was recovering from a period of depression related to his friend's death. He states that after his friend's death, he knew he had to "change his ways" and reduce his cocaine use quite a bit. He says he was getting emotionally stronger, and that "the black cloud was lifting". After the MVA "everything seemed to be set back". After the accident, he began to use cocaine more frequently, up to 2-3 times a week until about early January 2015 where he tapered his usage off because he knew it was not a good way to live.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plaintiff is still angry about the MVA, and has become bitter, "pissed off" and reclusive. For a long time after the MVA, the plaintiff did not "give a shit" about anything. He has not coped well with his frustration and pain. He blames the other driver for everything that went wrong in his life, and could not understand why he was injured. He viewed being injured by someone's carelessness as totally unfair.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plaintiff states that he could not feel positive. Sometimes he feels dead inside. He has lost his libido. His wife feels like the major change is that his memory has gotten bad. He is not fun anymore, and seems to be in a bad mood all the time. He says he is not social in the way he was before the MVA. He has poor energy and gets tired. In the past he liked entertaining. Now he goes to work, comes home, and avoids everything. He no longer contacts friends, and rarely goes out to see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plaintiff feels that he is living the accident all the time, and is "pissed off" by all the reminders of the accident, especially his constant pain. The plaintiff states that he has been having a "very terrible memory". He can get very distracted by his pain, leading to poor attention and concentration. Since the MVA, his mind is always active. The problems in his mind seem repetitive.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Driving is "brutally difficult" because he gets upset on the road by every little problem. He pays attention to all the potential dangers to the point where he gets distracted. When his children are in the car, he is even more nervous. He is "pissed off" that riding season in on now and he is not out with his friends. He "knows" that he will never be able to ride a motorcycle again as it is "way too scary".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Dr. Lu notes that the plaintiff had a history of "inappropriate" opiate use to manage his chronic pain, but that the plaintiff was not taking any drugs at the time of the report and was not using his ankle injury to justify a relapse into opiate use. Dr. Lu opined that as the plaintiff did not show opiate tolerance, there was a high degree of certainty that he was not using opiates inappropriately at the time of the MVA. The plaintiff reported to Dr. Lu that at the time of the MVA, he had reduced his opiate use for at least a couple of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Dr. Lu's opinion was that the plaintiff likely had psychological and physical symptoms associated with his opiate and cocaine use, and that his cocaine use in particular likely played a role in exacerbating his negative mood symptoms. Dr. Lu's recommendation was that the plaintiff should have at least a few sessions with an addictions counsellor to help him to sustain his efforts to stop substance abuse.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Dr. Lu's opinion was that the plaintiff had moderately severe chronic PTSD, and that this PTSD developed soon after the MVA. Dr. Lu linked the plaintiff's PTSD to the MVA. The plaintiff's injuries and physical pain likely heightened his emotional response. These injuries and pain were reminders of the 2012 MVA. This put the plaintiff, already in a psychologically vulnerable state due his pre-existing substance abuse, depression and anxiety, in an even more heightened state of psychological vulnerability. This heightened psychological vulnerability increased the likelihood that he would develop PTSD. This increased likelihood, coupled with the plaintiff exhibiting symptoms consistent with those outlined in the fifth edition of the Diagnostic and Statistical Manual of Mental Disorders ("DSM-5") clinical features of PTSD, led Dr. Lu to his conclusion that the plaintiff had PTSD. Dr. Lu also found symptoms of persistent anxiety, negative mood and a "neuro-vegetative" 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In Dr. Lu's opinion the plaintiff exhibited the following symptoms of PTSD: avoidance (</w:t>
      </w:r>
      <w:r>
        <w:rPr>
          <w:rFonts w:ascii="arial" w:eastAsia="arial" w:hAnsi="arial" w:cs="arial"/>
          <w:i/>
          <w:color w:val="000000"/>
          <w:sz w:val="20"/>
          <w:lang w:val="en-US" w:eastAsia="en-US" w:bidi="ar-SA"/>
        </w:rPr>
        <w:t>e.g</w:t>
      </w:r>
      <w:r>
        <w:rPr>
          <w:rFonts w:ascii="arial" w:eastAsia="arial" w:hAnsi="arial" w:cs="arial"/>
          <w:color w:val="000000"/>
          <w:sz w:val="20"/>
          <w:lang w:val="en-US" w:eastAsia="en-US" w:bidi="ar-SA"/>
        </w:rPr>
        <w:t>. swearing off riding his bike again); sleep pattern changes; irritability; hypervigilance; and poor subjective attention and concentration. Dr. Lu found that the plaintiff's PCL-5 scores were consistent with findings of PTSD, and that given his prior cocaine use, the use of cocaine as a way to "self-medicate" is a commonly encountered phenomenon in PTSD.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As the plaintiff's PTSD reduced his overall functional efficiency and efficacy, Dr. Lu's opinion was that based on PTSD alone he could have difficulty balancing the demands of his work and his usual personal function. The plaintiff's chronic pain, PTSD, and cocaine use all impacted his cognitive function, in particular his mental fatigue, loss of stamina and inability to sustain attention and concentration. Dr. Lu recommended that a psychologist provide cognitive behavioural therapy to the plaintiff for his chronic PTSD "over the next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In his second report, dated August 14, 2017, Dr. Lu opined that the plaintiff's poly-substance misuse history increased his psychiatric vulnerability, and that long- term opioid use can potentially lead to Opioid-Induced Hyperalgesia, a condition associated with increased pain perception. Dr. Lu states that the plaintiff is currently taking 3-5 Percocet a day for his pain. While the plaintiff is now open to the idea of getting a psychologist, previously being resistant, he still does not feel that he needs addiction treatment support. In his view, his family and church support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In his responsive report to Dr. Spivak's findings, dated December 27, 2017, Dr. Lu is critical of Dr. Spivak for not commenting on or assessing the physical, cognitive and psychological symptoms of the plaintiff's chronic pain. He criticizes the lack of discussion regarding the motivational affective component of pain and its mutually aggravating interaction with the plaintiff's psychological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Dr. Lu testified at trial that the plaintiff's Percocet use "could" affect how he experiences psychological distress. In Dr. Lu's view, the use of 20-30 Percocet a day indicates full-on dependency and the plaintiff was addicted to Percocet pre-MVA by using this amount. Dr. Lu states that the plaintiff continues to take 3-5 Percocet a day and there is no indication that the plaintiff's addiction has resolved post-MVA. Dr. Lu opined that using 2-3 Percocet a day would not cause significant anxiety, but admitted that where a person is obtaining drugs from a non-prescription source it makes it more difficult to verify consumption.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Dr. Lu agreed that it is inappropriate to consume Percocet unless managed by a physician, and the plaintiff should get treatment for his Percocet use. In Dr. Lu's opinion, while the plaintiff "likely" would be using Percocet and cocaine due to his stress in the absence of the MVA, the MVA nonetheless played a significant role in his drug use. While chronic opioid use can increase pain, Dr. Lu opined that there currently was no indication that the plaintiff had Opioid-Induced Hyperalgesia.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Dr. Lu's opinion remained that the plaintiff's PTSD developed post-MVA. Dr. Lu testified that the plaintiff's pre-existing chronic anxiety disorder, depression, troublesome childhood, and possible cocaine-induced psychosis indicated a vulnerability and heightened likelihood of developing PTSD pre-existing the MVA. While Dr. Lu testified that "a lot" of people get better from PTSD without treatment, he stated that treatment generally helps better manage the symptoms of PTSD.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Joanne Beattie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Joanne Beattie is an occupational therapist. She prepared a December 14, 2017 Functional Capacity Evaluation (the "FCE"), after assessing the plaintiff for approximately 6 hours and 20 minutes on or about November 22, 2017. In the FCE, Ms. Beattie opined that it was "likely" the plaintiff would not be able to competitively meet the job demands of a ship foreman. The plaintiff presented with limitations in the following areas, each of which indicated a lack of job match to the requirements of the ship foreman position:</w:t>
      </w:r>
      <w:r>
        <w:rPr>
          <w:rFonts w:ascii="arial" w:eastAsia="arial" w:hAnsi="arial" w:cs="arial"/>
          <w:sz w:val="20"/>
          <w:lang w:val="en-US" w:eastAsia="en-US" w:bidi="ar-SA"/>
        </w:rPr>
        <w:cr/>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standing (job demand: constant; plaintiff's functionality: occasional);</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shoulder reach (job demand: frequent; plaintiff's functionality: occasional);</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walking (job demand: constant; plaintiff's functionality: unable);</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balancing (job demand: frequent; plaintiff's functionality: unable);</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kneeling (job demand: occasional; plaintiff's functionality: rare);</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bending (job demand: frequent; plaintiff's functionality: occasional);</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twisting (job demand: frequent; plaintiff's functionality: occasional); and h) lifting (job demand: medium; plaintiff's functionality: light).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Heart rate measurements taken at the time of the plaintiff's testing indicate that full effort was provided by the plaintiff. Heart rate is not a falsifiable metric.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Ms. Beattie notes that the plaintiff is not able to sustain the level of activity needed for a full workday and would benefit from breaks throughout the workday to sit and offload weight from his "right lower extremity". She opines that he would "probably" require assistance with heavier seasonal house work and heavier yard work, which involves shoulder to overhead reaching, lifting, kneeing, bending, climbing ladders, walking and/or static standing.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Ms. Beattie reports that at the Fraser Surrey Docks, the plaintiff has been positioned at the container gate for 90% of his shifts since his return from shoulder surgery. 10% of the time he will do dock work and drive pick up trucks at work. Typical container gate shifts are 8:00 a.m. to 4:30 p.m., up to seven days a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Ms. Beattie testified that while she was not provided with the plaintiff's job title, and did not attend the plaintiff's job site as part of the FCE, she had participated in other assessments involving longshoremen and had participated in the return-to- work of "perhaps" three longshoremen. While Ms. Beattie testified she was aware of the main characteristics of the plaintiff's job per the 2011 National Occupation Classification, she conceded that job simulation could not be fully tested accurately in this case. However, her opinion was that with the plaintiff's reported aggravation of knee and left ankle pain during testing in certain areas, it was anticipated that the job demands would also aggravate these pain as they engaged these areas. For example, while on-the-job type climbing was not measured, the plaintiff's climbing was measured by observing him climb an A-frame ladder using only his left arm to pull himself up and lower extremities to climb.</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Jennifer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Jennifer Lane is an occupational therapist. She prepared a cost of future care assessment dated December 14, 2017. In the assessment, the plaintiff reports that he can assist with light housecleaning tasks, such as folding laundry and loading the dishwasher. As for heavy housecleaning, the plaintiff reports that at the time of the assessment he was not using his right arm for most activities due to his shoulder pain and lack of functional strength. The plaintiff reports that he is currently unable to vacuum due to his right shoulder problems. The plaintiff reports that he is unable to assist with maintaining the exterior home maintenance including yard work, lawn care, and taking care of the other exterior home maintenance tasks - tasks he was able to complete prior to the MVA. The plaintiff can manage independent walking outdoors on even surfaces for short periods. If he experiences difficulties, he can sit down and rest. However, he experiences difficulties if the ground is uneven. The plaintiff reports that he no longer rides his motorcycle.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Ms. Lane found that the plaintiff's total annual cost of care amounted to $6,534.53-$7,595.81, broken down into the following categories:</w:t>
      </w:r>
      <w:r>
        <w:rPr>
          <w:rFonts w:ascii="arial" w:eastAsia="arial" w:hAnsi="arial" w:cs="arial"/>
          <w:sz w:val="20"/>
          <w:lang w:val="en-US" w:eastAsia="en-US" w:bidi="ar-SA"/>
        </w:rPr>
        <w:cr/>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Medication (Ativan; Abilify; Zoplicone): $1,098.63-$1,147.91;</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Psychologist: $400-$800 (fixed costs $5,400-$10,600);</w:t>
      </w:r>
    </w:p>
    <w:p>
      <w:pPr>
        <w:numPr>
          <w:numId w:val="3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Physiotherapy: $600-$900;</w:t>
      </w:r>
    </w:p>
    <w:p>
      <w:pPr>
        <w:numPr>
          <w:numId w:val="3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Kinesiology Sessions: $936-$1,248;</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Indoor and outdoor home maintenance, house cleaning, lawn care, and gardening: $3,499.90 (house cleaning costs, being $841.75/year, reduced by 20% starting at the age of 75 and ending at the age of 80).</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Kevin Turnbull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Kevin Turnbull is a chartered accountant and labour economist. He prepared five reports on the plaintiff's past and future loss of earnings, and his future care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In his November 15, 2017 report, Mr. Turnbull valued the plaintiff's future care damages as "$1,000/year in 2018 dollars incurred each year from the trial date to the end of life expectancy, with real discount rate of 2.0% per annum, as per regulation, adjusted for probability of survival, assuming normal life expectancy, based upon mortality stats for Canadian males of Mr. Lewis's age". The total value of the plaintiff's future care was found to be $24,431 using this methodology. Mr. Turnbull valued the loss of the plaintiff's future earnings using the same $1,000/year figure and the same methodology (save for using a real discount rate of 1.5%, as per regulation). The total value of the plaintiff's future earnings loss was $18,758.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In his December 12, 2017 report, Mr. Turnbull assessed the plaintiff's past wage loss. He assumed in this report that that the effects of the plaintiff's pre- accident issues would have ceased by the end of 2012 if the MVA had not occurred. In other words, he assumed that any lost work time from the beginning of 2013 onwards was solely attributable to the effects of the MVA. In this report, Mr. Turnbull used the gross earnings of Ferdinand Del Giglio, a foreman at the Fraser Surrey Docks, as a comparator for the plaintiff's wages from 2014 to 2017. Mr. Turnbull testified that he assumed the plaintiff's earnings would be identical to Mr. Del Giglio's from 2014-2017 but for the 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This methodology was revised in Mr. Turnbull's addendum report on March 16, 2018, such that the plaintiff's 2014-2017 wages were set as the average of Mr. Del Giglio's and those of two additional foremen, Casey Strain and Leonard Wilson. The plaintiff's 2013 earnings were assumed to be identical to the plaintiff's 2011 earnings, adjusted upwards by 5% per the wage increases for the intervening two years. For 2018, the estimated annual loss was projected as the 2017 figure with a 3.5% upwards adjustment, with the plaintiff's actual 2018 earnings based on two weeks of income in January 2018, prorated to the date of trial. Mr. Turnbull's opinion was that the plaintiff did not suffer any pension loss. Mr. Turnbull's estimate for total past loss of earnings was $237,611, broken down by year as:</w:t>
      </w:r>
      <w:r>
        <w:rPr>
          <w:rFonts w:ascii="arial" w:eastAsia="arial" w:hAnsi="arial" w:cs="arial"/>
          <w:sz w:val="20"/>
          <w:lang w:val="en-US" w:eastAsia="en-US" w:bidi="ar-SA"/>
        </w:rPr>
        <w:cr/>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2013: $34,829;</w:t>
      </w:r>
    </w:p>
    <w:p>
      <w:pPr>
        <w:numPr>
          <w:numId w:val="4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2014: $48,057;</w:t>
      </w:r>
    </w:p>
    <w:p>
      <w:pPr>
        <w:numPr>
          <w:numId w:val="4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2015: $22,657;</w:t>
      </w:r>
    </w:p>
    <w:p>
      <w:pPr>
        <w:numPr>
          <w:numId w:val="4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2016: $41,286;</w:t>
      </w:r>
    </w:p>
    <w:p>
      <w:pPr>
        <w:numPr>
          <w:numId w:val="4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2017: $84,621;</w:t>
      </w:r>
    </w:p>
    <w:p>
      <w:pPr>
        <w:numPr>
          <w:numId w:val="4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2018: $6,162.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Mr. Turnbull provided a future care cost report on December 29, 2017. Using the same methodology as before, he estimated the present value of the future care costs identified by Ms. Lane in her report as $126,426, broken down as:</w:t>
      </w:r>
      <w:r>
        <w:rPr>
          <w:rFonts w:ascii="arial" w:eastAsia="arial" w:hAnsi="arial" w:cs="arial"/>
          <w:sz w:val="20"/>
          <w:lang w:val="en-US" w:eastAsia="en-US" w:bidi="ar-SA"/>
        </w:rPr>
        <w:cr/>
      </w:r>
    </w:p>
    <w:p>
      <w:pPr>
        <w:numPr>
          <w:numId w:val="4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Medication (Ativan; Abilify; Zoplicone): $27,360;</w:t>
      </w:r>
    </w:p>
    <w:p>
      <w:pPr>
        <w:numPr>
          <w:numId w:val="4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Psychologist: $21,980;</w:t>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Physiotherapy: $750;</w:t>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Kinesiology Sessions: $1,147; and</w:t>
      </w:r>
    </w:p>
    <w:p>
      <w:pPr>
        <w:numPr>
          <w:numId w:val="5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Indoor and outdoor home maintenance; house cleaning; lawn care and gardening: $75,189.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Mr. Turnbull testified that he was provided with information regarding weekly overtime and shift premium earnings, but the information was "relatively unrevealing" so he did not factor it into his calculations. Mr. Turnbull testified that he was not asked to take negative contingencies such as the plaintiff's smoking, cocaine or Percocet use into consideration for the purposes of calculating the plaintiff's life expectancy. Nor does Mr. Turnbull's report indicate whether he took the plaintiff's other psychological issues into account for the purposes of this calculation. Mr. Turnbull agreed that if his assumptions were found to not be accurate, his wage loss estimations would change.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Defendant's Experts</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Mitchell Spivak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Dr. Mitchell Spivak is a psychiatrist. He prepared two reports. The first, dated November 25, 2017, details his evaluation of the plaintiff on November 24, 2017. This evaluation lasted 60-105 minutes.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The plaintiff relayed to Dr. Spivak that he used 3-5 Percocet a day to control his pain, and that pre-MVA he used as much as 30 Percocet a day. He told Dr. Spivak that he had not used cocaine since the accident. Since the MVA, the plaintiff indicated that he has grown progressively sadder. The plaintiff does not directly attribute this circumstance solely to the MVA, but notes that he went from being a "social individual to one who enjoys going out less and less".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The plaintiff also reports increased anxiety while driving. This angst will occasionally result in him asking his wife to do the driving. This happens most frequently at night time. There have not been any occasions where he has absolutely refused to drive, but over time has become more inclined to ask his wife if she would rather drive because he does not feel as comfortable as he had prior to the collision. He did not indicate any feeling of anxiety as a passenger.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Post-MVA, the plaintiff has not seen a psychologist for more than two appointments, despite being referred to do so on more than one occasion. The plaintiff says he has not had the time to properly attempt rehabilitation due to the nature of his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In Dr. Spivak's opinion, the collision had materially contributed to the plaintiff's depressive disposition. Dr. Spivak further believed that opioid use contributed to his depressive symptoms, and was "arguably" impacting his overall cognitive and emotional status. In Dr. Spivak's view, the situation "may" require some form of medical intervention, and that using fewer opioids would "significantly improve his overall prognosis, from a psychiatric perspective".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Dr. Spivak provided a further rebuttal report, dated January 19, 2018 responding to Dr. Lu's report. In Dr. Spivak's opinion, there was no evidence the plaintiff suffered from impairment because of PTSD symptoms. There was no evidence that he had been unable to work or has been impeded from any specific activity due to psychological factors. While he has some social withdrawal, Dr. Spivak proposes that it is not due to PTSD but, rather, due to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While Dr. Spivak rejects the PTSD diagnosis, he states that even if PTSD is accepted as diagnosis, Dr. Lu's qualifier of moderate "seems highly imprecise". If one were to use the PTSD label it could perhaps be described as "mild, or at the very least, in partial remission. The qualifier of moderate impairment is entirely incompatible with an individual who has continued to work since his accident and has, for the most part, functioned in all facets of his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In Dr. Spivak's opinion Dr. Lu uses PTSD to describe all of the plaintiff's symptoms when there might be other explanations. For example, Dr. Lu associated the plaintiff's cocaine use with his PTSD when it could be attributed to his addiction. In Dr. Spivak's opinion, the plaintiff's cocaine use was not brought on by the accident as he was "not traumatized psychologically in that fashion".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In Dr. Spivak's view, the plaintiff did not describe PTSD symptoms. While Dr. Spivak "did not disagree" that some of the symptoms he describes "could" be consistent with PTSD criteria, they do not meet the criteria "in terms of the narrative that he provides and how it has impacted his life". In Dr. Spivak's view, the plaintiff did not see himself as someone who was struggling with memories and intrusive thoughts regarding the MVA, so much as he was bothered by his pain and depressive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Instead, Dr. Spivak diagnosed the plaintiff with Persistent Depressive Disorder ("PDD"), finding that the changes in the plaintiff's emotional function were due to PDD. In Dr. Spivak's opinion, the plaintiff's depression could not be major as the plaintiff could navigate occupationally on a full-time basis. Chronic pain was one of the factors that was likely driving his PDD symptoms, and in that sense it was related to the MVA. However, PDD symptoms could also be due to issues in his life pre-dating the MVA, including his perspective of his workplace. Additionally, the plaintiff's opioid use "could" also be having an impact on his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Lastly, Dr. Spivak comments that 5 Percocet a day is an extremely high dose and rarely offered by physicians in a non-cancer pain setting. This amount is usually associated with individuals who are abusing their medication. Dr. Spivak testified that 30 tablets of Percocet a day represented a "gargantuan" dose that would affect the plaintiff's sensorium. He would not diagnose the plaintiff with depression in view of this Percocet use, and stated that the substance abuse issue prevented getting at underlying psychological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In his testimony at trial, Dr. Spivak maintained his opinion that there was no evidence the plaintiff had PTSD. While the plaintiff had some anxiety and some disruption from the MVA, he did not experience "terror". Dr. Spivak presumed the MVA scared the plaintiff, but DSM-5 refers to the need for impairment for a diagnosis of PTSD and he could find no signs that PTSD was causing the plaintiff's impairment. For example, the plaintiff did not come back to the MVA over and over. Furthermore, PTSD symptoms must be several months in duration, and that when someone gets the "real deal" they are broken and not functioning.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Paul Marks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Dr. Paul Marks is an orthopedic surgeon. He evaluated the plaintiff on October 3, 2017 and prepared a report dated December 6, 2017 based on this evaluation. Dr. Marks asked the plaintiff to describe his pain on a 1-10 scale, with a 10 being described to him as "the worst possible pain one can imagine, like a hot knife in your eye". The plaintiff self-reported as:</w:t>
      </w:r>
      <w:r>
        <w:rPr>
          <w:rFonts w:ascii="arial" w:eastAsia="arial" w:hAnsi="arial" w:cs="arial"/>
          <w:sz w:val="20"/>
          <w:lang w:val="en-US" w:eastAsia="en-US" w:bidi="ar-SA"/>
        </w:rPr>
        <w:cr/>
      </w:r>
    </w:p>
    <w:p>
      <w:pPr>
        <w:numPr>
          <w:numId w:val="5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Neck pain at worst is 4-5/10, with a 1/10 while he is in the office.</w:t>
      </w:r>
    </w:p>
    <w:p>
      <w:pPr>
        <w:numPr>
          <w:numId w:val="5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Right shoulder pain at worst is 6/10, with a 3/10 in the office. The pain decreases with medication or ice. The plaintiff says his shoulder is now 40-45% of normal.</w:t>
      </w:r>
    </w:p>
    <w:p>
      <w:pPr>
        <w:numPr>
          <w:numId w:val="5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Back pain at worst is 2-3/10, with a 0/10 in the office. The pain decreases with medication.</w:t>
      </w:r>
    </w:p>
    <w:p>
      <w:pPr>
        <w:numPr>
          <w:numId w:val="5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Right knee pain at worst is 5-6/10, with 3/10 in the office. The plaintiff says his right knee is back to 70% of normal.</w:t>
      </w:r>
    </w:p>
    <w:p>
      <w:pPr>
        <w:numPr>
          <w:numId w:val="5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Ankle pain at worst is 7/10, 4/10 in the office. The plaintiff says his ankle is back to 60% of normal.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The plaintiff currently has tolerance limitations with regard to standing, sitting and walking. Dr. Marks states that the plaintiff's left ankle may have problems with prolonged standing, walking and running. Degenerative change would not be considered imminent, but would "certainly" be possible beyond two decades. The plaintiff's ankle range of motion revealed slight diminished dorsiflexion and plantar flexion for the left ankle compared to the right side. The plaintiff does not use an ankle brace.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In Dr. Marks's opinion, the plaintiff was going to have problems with his right knee and eventually require the possibility of arthroscopic surgery irrespective of the accident. As for his right shoulder, Dr. Marks opines that the pathologies could have been caused by the MVA. Maximal medical improvement of the right shoulder could take up to 2 decades.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Prior to the MVA, the plaintiff was involved with vacuuming, sweeping, laundry, making the bed, taking out the garbage, utilizing a dishwasher, cutting the grass and shovelling the snow. Currently, he does not vacuum or sweep. His wife mostly performs these chores. His wife does the laundry and takes out the garbage. He can still take out small bags of garbage, make the bed and wash the dishes. He states that he has hired someone to do the outside chores, such as cutting the grass and shoveling snow.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The plaintiff reports that he continues to use 3-4 Percocet a day. Dr. Marks recommended that the plaintiff taper off the Percocet at this juncture. Dr. Marks considered the plaintiff's treatments to date as reasonable, and considered his post- operation treatments as both necessary and mandatory.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Dr. Marks added in his testimony that he could not identify any evidence that the MVA right knee injury changed the trajectory of his overall knee injury. He opined that an "excellent" outcome post-surgery is likely, and the plaintiff will have no restrictions regarding basketball or running. The plaintiff's Percocet use concerns him as it is very addictive. Dr. Marks never prescribes Percocet for arthroscopy as it can create additional problems for patients.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Phil Townsley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Phil Townsley is an occupational therapist. He prepared a report dated January 26, 2018 critically evaluating Ms. Beattie's FCE methodology.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Mr. Townsley criticizes the fact that the "observed longest sustained time" was 20 minutes for the plaintiff's sitting and static standing, and only 5 minutes for the plaintiff's walking. The total cumulative time that Ms. Beattie observed the plaintiff was "more than 60 minutes" for sitting and static standing, and 12 minutes for walking. Mr. Townsley states that it is unclear if the 12 minutes of walking represented the plaintiff's maximum tolerance, or if it represented all of the walking performed by the plaintiff. Mr. Townsley's conclusion is that these observation times during the assessment were not sufficient for Ms. Beattie to draw the conclusions she did regarding the plaintiff's functional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Mr. Townsley is critical of the fact that the plaintiff's job simulation was limited to climbing an A-frame ladder and pushing a sled. The plaintiff's ability to climb vertical ladders on the sides of ships and climbing over large logs was not tested.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Mr. Townsley also questions some of Ms. Beattie's conclusions. While she states that the plaintiff is "unable" to perform both balancing and walking, he was, in fact, able to balance and walk during testing. As Mr. Townsley put it, "If an individual is actually capable of performing activities such as walking and bending, but testing indicates that they are "unable" to perform such activities the accuracy of the testing methodology must be questioned".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Mr. Townsley never met the plaintiff. He agreed on cross-examination that observation of a plaintiff is extremely important in the preparation of a report. He further agreed that he could not contradict Ms. Beattie's 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LIABILITY 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xml:space="preserve">  The plaintiff does not need to establish that the defendant was the sole cause of the injury, as long as he establishes the defendant was </w:t>
      </w:r>
      <w:r>
        <w:rPr>
          <w:rFonts w:ascii="arial" w:eastAsia="arial" w:hAnsi="arial" w:cs="arial"/>
          <w:i/>
          <w:color w:val="000000"/>
          <w:sz w:val="20"/>
          <w:lang w:val="en-US" w:eastAsia="en-US" w:bidi="ar-SA"/>
        </w:rPr>
        <w:t>a</w:t>
      </w:r>
      <w:r>
        <w:rPr>
          <w:rFonts w:ascii="arial" w:eastAsia="arial" w:hAnsi="arial" w:cs="arial"/>
          <w:color w:val="000000"/>
          <w:sz w:val="20"/>
          <w:lang w:val="en-US" w:eastAsia="en-US" w:bidi="ar-SA"/>
        </w:rPr>
        <w:t xml:space="preserve"> cause of the injury beyond the </w:t>
      </w:r>
      <w:r>
        <w:rPr>
          <w:rFonts w:ascii="arial" w:eastAsia="arial" w:hAnsi="arial" w:cs="arial"/>
          <w:i/>
          <w:color w:val="000000"/>
          <w:sz w:val="20"/>
          <w:lang w:val="en-US" w:eastAsia="en-US" w:bidi="ar-SA"/>
        </w:rPr>
        <w:t>de minimus</w:t>
      </w:r>
      <w:r>
        <w:rPr>
          <w:rFonts w:ascii="arial" w:eastAsia="arial" w:hAnsi="arial" w:cs="arial"/>
          <w:color w:val="000000"/>
          <w:sz w:val="20"/>
          <w:lang w:val="en-US" w:eastAsia="en-US" w:bidi="ar-SA"/>
        </w:rPr>
        <w:t xml:space="preserve"> range. As summarized in </w:t>
      </w:r>
      <w:r>
        <w:rPr>
          <w:rFonts w:ascii="arial" w:eastAsia="arial" w:hAnsi="arial" w:cs="arial"/>
          <w:i/>
          <w:color w:val="000000"/>
          <w:sz w:val="20"/>
          <w:lang w:val="en-US" w:eastAsia="en-US" w:bidi="ar-SA"/>
        </w:rPr>
        <w:t>Dhillon v. Song</w:t>
      </w:r>
      <w:r>
        <w:rPr>
          <w:rFonts w:ascii="arial" w:eastAsia="arial" w:hAnsi="arial" w:cs="arial"/>
          <w:color w:val="000000"/>
          <w:sz w:val="20"/>
          <w:lang w:val="en-US" w:eastAsia="en-US" w:bidi="ar-SA"/>
        </w:rPr>
        <w:t xml:space="preserve">, </w:t>
      </w:r>
      <w:hyperlink r:id="rId154" w:history="1">
        <w:r>
          <w:rPr>
            <w:rFonts w:ascii="arial" w:eastAsia="arial" w:hAnsi="arial" w:cs="arial"/>
            <w:i/>
            <w:color w:val="0077CC"/>
            <w:sz w:val="20"/>
            <w:u w:val="single"/>
            <w:shd w:val="clear" w:color="auto" w:fill="FFFFFF"/>
            <w:lang w:val="en-US" w:eastAsia="en-US" w:bidi="ar-SA"/>
          </w:rPr>
          <w:t>2016 BCSC 486</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[140] The plaintiff must prove on a balance of probabilities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or materially contributed to an injury.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need not be the sole cause of the injury so long as it is part of the cause beyond the range of </w:t>
      </w:r>
      <w:r>
        <w:rPr>
          <w:rFonts w:ascii="arial" w:eastAsia="arial" w:hAnsi="arial" w:cs="arial"/>
          <w:i/>
          <w:color w:val="000000"/>
          <w:sz w:val="20"/>
          <w:lang w:val="en-US" w:eastAsia="en-US" w:bidi="ar-SA"/>
        </w:rPr>
        <w:t>de minimus</w:t>
      </w:r>
      <w:r>
        <w:rPr>
          <w:rFonts w:ascii="arial" w:eastAsia="arial" w:hAnsi="arial" w:cs="arial"/>
          <w:color w:val="000000"/>
          <w:sz w:val="20"/>
          <w:lang w:val="en-US" w:eastAsia="en-US" w:bidi="ar-SA"/>
        </w:rPr>
        <w:t xml:space="preserve">. Causation need not be determined by scientific precision: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3"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paras. 13-17.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[141] The primary test for causation is the "but for" test. But 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would the plaintiff have suffered the injury? This test recognizes that compensation for negligent conduct should only occur where a substantial connection between the injury and the defendant's conduct is present: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77"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xml:space="preserve"> at paras. 21-23. Causation must be established on a balance of probabilities before damages are assessed. As McLachlin C.J.C. stated in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75" w:history="1">
        <w:r>
          <w:rPr>
            <w:rFonts w:ascii="arial" w:eastAsia="arial" w:hAnsi="arial" w:cs="arial"/>
            <w:i/>
            <w:color w:val="0077CC"/>
            <w:sz w:val="20"/>
            <w:u w:val="single"/>
            <w:shd w:val="clear" w:color="auto" w:fill="FFFFFF"/>
            <w:lang w:val="en-US" w:eastAsia="en-US" w:bidi="ar-SA"/>
          </w:rPr>
          <w:t>2005 SCC 58</w:t>
        </w:r>
      </w:hyperlink>
      <w:r>
        <w:rPr>
          <w:rFonts w:ascii="arial" w:eastAsia="arial" w:hAnsi="arial" w:cs="arial"/>
          <w:color w:val="000000"/>
          <w:sz w:val="20"/>
          <w:lang w:val="en-US" w:eastAsia="en-US" w:bidi="ar-SA"/>
        </w:rPr>
        <w:t xml:space="preserve"> at para. 78:</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Even though there may be several tortious and non-tortious causes of injury, so long as the defendant's act is a cause of the plaintiff's damage, the defendant is fully liable for that damage. The rules of damages then consider what the original position of the plaintiff would have been. The governing principle is that the defendant need not put the plaintiff in a better position than his original position and should not compensate the plaintiff for any damages he would have suffered anyway: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xml:space="preserve">  As </w:t>
      </w:r>
      <w:r>
        <w:rPr>
          <w:rFonts w:ascii="arial" w:eastAsia="arial" w:hAnsi="arial" w:cs="arial"/>
          <w:i/>
          <w:color w:val="000000"/>
          <w:sz w:val="20"/>
          <w:lang w:val="en-US" w:eastAsia="en-US" w:bidi="ar-SA"/>
        </w:rPr>
        <w:t>T.W.N.A. v. Canada (Ministry of Indian Affairs)</w:t>
      </w:r>
      <w:r>
        <w:rPr>
          <w:rFonts w:ascii="arial" w:eastAsia="arial" w:hAnsi="arial" w:cs="arial"/>
          <w:color w:val="000000"/>
          <w:sz w:val="20"/>
          <w:lang w:val="en-US" w:eastAsia="en-US" w:bidi="ar-SA"/>
        </w:rPr>
        <w:t xml:space="preserve">, </w:t>
      </w:r>
      <w:hyperlink r:id="rId79" w:history="1">
        <w:r>
          <w:rPr>
            <w:rFonts w:ascii="arial" w:eastAsia="arial" w:hAnsi="arial" w:cs="arial"/>
            <w:i/>
            <w:color w:val="0077CC"/>
            <w:sz w:val="20"/>
            <w:u w:val="single"/>
            <w:shd w:val="clear" w:color="auto" w:fill="FFFFFF"/>
            <w:lang w:val="en-US" w:eastAsia="en-US" w:bidi="ar-SA"/>
          </w:rPr>
          <w:t>2003 BCCA 670</w:t>
        </w:r>
      </w:hyperlink>
      <w:r>
        <w:rPr>
          <w:rFonts w:ascii="arial" w:eastAsia="arial" w:hAnsi="arial" w:cs="arial"/>
          <w:color w:val="000000"/>
          <w:sz w:val="20"/>
          <w:lang w:val="en-US" w:eastAsia="en-US" w:bidi="ar-SA"/>
        </w:rPr>
        <w:t xml:space="preserve"> notes at para. 28, "[A] pre-existing condition, whether it is quiescent or active, is part of the plaintiff's original position". The court adds a further useful comment at para. 48: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Whether manifest or not, a weakness inherent in a plaintiff that might realistically cause or contribute to the loss claimed regardless of the tort is relevant to the assessment of damages. It is a contingency that should be accounted for in the award. Moreover, such a contingency does not have to be proven to a certainty. Rather, it should be given weight according to its relative likelihood.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xml:space="preserve">  On this point, it is also helpful to set out the thin skull and crumbling skull doctrines as defined by the Supreme Court of Canada in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3"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 </w:t>
      </w:r>
      <w:r>
        <w:rPr>
          <w:rFonts w:ascii="arial" w:eastAsia="arial" w:hAnsi="arial" w:cs="arial"/>
          <w:color w:val="000000"/>
          <w:sz w:val="20"/>
          <w:u w:val="single"/>
          <w:lang w:val="en-US" w:eastAsia="en-US" w:bidi="ar-SA"/>
        </w:rPr>
        <w:t>The Thin Skull and "Crumbling Skull" Doctrines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[34] The respondents argued that the plaintiff was predisposed to disc herniation and that this is therefore a case where the "crumbling skull" rule applies. The "crumbling skull" doctrine is an awkward label for a fairly simple idea. It is named after the well-known "thin skull" rule, which makes the tortfeasor liable for the plaintiff's injuries even if the injuries are unexpectedly severe owing to a pre-existing condition. The tortfeasor must take his or her victim as the tortfeasor finds the victim, and is therefore liable even though the plaintiff's losses are more dramatic than they would be for the average person.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[35] The so-called "crumbling skull" rule simply recognizes that the pre- existing condition was inherent in the plaintiff's "original position". The defendant need not put the plaintiff in a position </w:t>
      </w:r>
      <w:r>
        <w:rPr>
          <w:rFonts w:ascii="arial" w:eastAsia="arial" w:hAnsi="arial" w:cs="arial"/>
          <w:color w:val="000000"/>
          <w:sz w:val="20"/>
          <w:u w:val="single"/>
          <w:lang w:val="en-US" w:eastAsia="en-US" w:bidi="ar-SA"/>
        </w:rPr>
        <w:t>better</w:t>
      </w:r>
      <w:r>
        <w:rPr>
          <w:rFonts w:ascii="arial" w:eastAsia="arial" w:hAnsi="arial" w:cs="arial"/>
          <w:color w:val="000000"/>
          <w:sz w:val="20"/>
          <w:lang w:val="en-US" w:eastAsia="en-US" w:bidi="ar-SA"/>
        </w:rPr>
        <w:t xml:space="preserve"> than his or her original position. The defendant is liable for the injuries caused, even if they are extreme, but need not compensate the plaintiff for any debilitating effects of the pre-existing condition which the plaintiff would have experienced anyway. The defendant is liable for the additional damage but not the pre-existing damage: Cooper-Stephenson,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pp. 779-780 and John Munkman, Damages for Personal Injuries and Death (9th ed. 1993), at pp. 39-40. Likewise, if there is a measurable risk that the pre-existing condition would have detrimentally affected the plaintiff in the future, regardless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then this can be taken into account in reducing the overall award: </w:t>
      </w:r>
      <w:r>
        <w:rPr>
          <w:rFonts w:ascii="arial" w:eastAsia="arial" w:hAnsi="arial" w:cs="arial"/>
          <w:i/>
          <w:color w:val="000000"/>
          <w:sz w:val="20"/>
          <w:lang w:val="en-US" w:eastAsia="en-US" w:bidi="ar-SA"/>
        </w:rPr>
        <w:t>Graham v. Rourke, supra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Malec v. J. C. Hutton Proprietary Ltd., supra</w:t>
      </w:r>
      <w:r>
        <w:rPr>
          <w:rFonts w:ascii="arial" w:eastAsia="arial" w:hAnsi="arial" w:cs="arial"/>
          <w:color w:val="000000"/>
          <w:sz w:val="20"/>
          <w:lang w:val="en-US" w:eastAsia="en-US" w:bidi="ar-SA"/>
        </w:rPr>
        <w:t xml:space="preserve">; Cooper-Stephenson,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at pp. 851-852. This is consistent with the general rule that the plaintiff must be returned to the position he would have been in, with all of its attendant risks and shortcomings, and not a better position.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[Underline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See also </w:t>
      </w:r>
      <w:r>
        <w:rPr>
          <w:rFonts w:ascii="arial" w:eastAsia="arial" w:hAnsi="arial" w:cs="arial"/>
          <w:i/>
          <w:color w:val="000000"/>
          <w:sz w:val="20"/>
          <w:lang w:val="en-US" w:eastAsia="en-US" w:bidi="ar-SA"/>
        </w:rPr>
        <w:t>McKelvie v. Ng</w:t>
      </w:r>
      <w:r>
        <w:rPr>
          <w:rFonts w:ascii="arial" w:eastAsia="arial" w:hAnsi="arial" w:cs="arial"/>
          <w:color w:val="000000"/>
          <w:sz w:val="20"/>
          <w:lang w:val="en-US" w:eastAsia="en-US" w:bidi="ar-SA"/>
        </w:rPr>
        <w:t xml:space="preserve">, </w:t>
      </w:r>
      <w:hyperlink r:id="rId155" w:history="1">
        <w:r>
          <w:rPr>
            <w:rFonts w:ascii="arial" w:eastAsia="arial" w:hAnsi="arial" w:cs="arial"/>
            <w:i/>
            <w:color w:val="0077CC"/>
            <w:sz w:val="20"/>
            <w:u w:val="single"/>
            <w:shd w:val="clear" w:color="auto" w:fill="FFFFFF"/>
            <w:lang w:val="en-US" w:eastAsia="en-US" w:bidi="ar-SA"/>
          </w:rPr>
          <w:t>2001 BCCA 384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Heska v. Little</w:t>
      </w:r>
      <w:r>
        <w:rPr>
          <w:rFonts w:ascii="arial" w:eastAsia="arial" w:hAnsi="arial" w:cs="arial"/>
          <w:color w:val="000000"/>
          <w:sz w:val="20"/>
          <w:lang w:val="en-US" w:eastAsia="en-US" w:bidi="ar-SA"/>
        </w:rPr>
        <w:t xml:space="preserve">, </w:t>
      </w:r>
      <w:hyperlink r:id="rId156" w:history="1">
        <w:r>
          <w:rPr>
            <w:rFonts w:ascii="arial" w:eastAsia="arial" w:hAnsi="arial" w:cs="arial"/>
            <w:i/>
            <w:color w:val="0077CC"/>
            <w:sz w:val="20"/>
            <w:u w:val="single"/>
            <w:shd w:val="clear" w:color="auto" w:fill="FFFFFF"/>
            <w:lang w:val="en-US" w:eastAsia="en-US" w:bidi="ar-SA"/>
          </w:rPr>
          <w:t>2000 BCCA 255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Gordon v. Ahn</w:t>
      </w:r>
      <w:r>
        <w:rPr>
          <w:rFonts w:ascii="arial" w:eastAsia="arial" w:hAnsi="arial" w:cs="arial"/>
          <w:color w:val="000000"/>
          <w:sz w:val="20"/>
          <w:lang w:val="en-US" w:eastAsia="en-US" w:bidi="ar-SA"/>
        </w:rPr>
        <w:t xml:space="preserve">, </w:t>
      </w:r>
      <w:hyperlink r:id="rId157" w:history="1">
        <w:r>
          <w:rPr>
            <w:rFonts w:ascii="arial" w:eastAsia="arial" w:hAnsi="arial" w:cs="arial"/>
            <w:i/>
            <w:color w:val="0077CC"/>
            <w:sz w:val="20"/>
            <w:u w:val="single"/>
            <w:shd w:val="clear" w:color="auto" w:fill="FFFFFF"/>
            <w:lang w:val="en-US" w:eastAsia="en-US" w:bidi="ar-SA"/>
          </w:rPr>
          <w:t>2017 BCCA 221</w:t>
        </w:r>
      </w:hyperlink>
      <w:r>
        <w:rPr>
          <w:rFonts w:ascii="arial" w:eastAsia="arial" w:hAnsi="arial" w:cs="arial"/>
          <w:color w:val="000000"/>
          <w:sz w:val="20"/>
          <w:lang w:val="en-US" w:eastAsia="en-US" w:bidi="ar-SA"/>
        </w:rPr>
        <w:t>, recently discussed the crumbling skull doctrine: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[33] The use of the phrase "crumbling skull" to describe a plaintiff's condition is, in any event, rarely helpful. As Major J. explained in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there are no special rules or analyses that apply to claims made by plaintiffs who, before becoming victims of a tort, are affected by conditions that may deteriorate in the future. Damages are always to be assessed by reference to the situation that the plaintiff would be in but for the wrongdoing. Describing a plaintiff as coming within the "crumbling skull doctrine" does not eliminate the need for a complete analysis of the pain and suffering caused by the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[34] The judge found that there was "an inter-relationship between the pain that the plaintiff experienced from her physical injuries and her emotional or psychological problems". He also found that her psychological problems "worsened because of the accident". Even in cases where a plaintiff is suffering from serious chronic depression, an aggravation of the symptoms attributable to a tort is compensable: </w:t>
      </w:r>
      <w:r>
        <w:rPr>
          <w:rFonts w:ascii="arial" w:eastAsia="arial" w:hAnsi="arial" w:cs="arial"/>
          <w:i/>
          <w:color w:val="000000"/>
          <w:sz w:val="20"/>
          <w:lang w:val="en-US" w:eastAsia="en-US" w:bidi="ar-SA"/>
        </w:rPr>
        <w:t>Sangha v. Chen</w:t>
      </w:r>
      <w:r>
        <w:rPr>
          <w:rFonts w:ascii="arial" w:eastAsia="arial" w:hAnsi="arial" w:cs="arial"/>
          <w:color w:val="000000"/>
          <w:sz w:val="20"/>
          <w:lang w:val="en-US" w:eastAsia="en-US" w:bidi="ar-SA"/>
        </w:rPr>
        <w:t xml:space="preserve">, </w:t>
      </w:r>
      <w:hyperlink r:id="rId158" w:history="1">
        <w:r>
          <w:rPr>
            <w:rFonts w:ascii="arial" w:eastAsia="arial" w:hAnsi="arial" w:cs="arial"/>
            <w:i/>
            <w:color w:val="0077CC"/>
            <w:sz w:val="20"/>
            <w:u w:val="single"/>
            <w:shd w:val="clear" w:color="auto" w:fill="FFFFFF"/>
            <w:lang w:val="en-US" w:eastAsia="en-US" w:bidi="ar-SA"/>
          </w:rPr>
          <w:t>2013 BCCA 267</w:t>
        </w:r>
      </w:hyperlink>
      <w:r>
        <w:rPr>
          <w:rFonts w:ascii="arial" w:eastAsia="arial" w:hAnsi="arial" w:cs="arial"/>
          <w:color w:val="000000"/>
          <w:sz w:val="20"/>
          <w:lang w:val="en-US" w:eastAsia="en-US" w:bidi="ar-SA"/>
        </w:rPr>
        <w:t>. In the present case, where the plaintiff's symptoms were fairly minor before the accident, but developed into major depression as a result of the accident, it is clear that damages ought to have been awarded.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[36] A proper analysis of the issue would have required the judge to consider the degree to which Ms. Gordon's psychological and emotional health was damaged by the accident. Such an analysis would have required a detailed consideration of her pre-accident and post-accident mental health, as well as an assessment of the likelihood that a deterioration would have occurred even in the absence of an accident (see </w:t>
      </w:r>
      <w:r>
        <w:rPr>
          <w:rFonts w:ascii="arial" w:eastAsia="arial" w:hAnsi="arial" w:cs="arial"/>
          <w:i/>
          <w:color w:val="000000"/>
          <w:sz w:val="20"/>
          <w:lang w:val="en-US" w:eastAsia="en-US" w:bidi="ar-SA"/>
        </w:rPr>
        <w:t>Laidlaw v. Couturier</w:t>
      </w:r>
      <w:r>
        <w:rPr>
          <w:rFonts w:ascii="arial" w:eastAsia="arial" w:hAnsi="arial" w:cs="arial"/>
          <w:color w:val="000000"/>
          <w:sz w:val="20"/>
          <w:lang w:val="en-US" w:eastAsia="en-US" w:bidi="ar-SA"/>
        </w:rPr>
        <w:t xml:space="preserve">, </w:t>
      </w:r>
      <w:hyperlink r:id="rId159" w:history="1">
        <w:r>
          <w:rPr>
            <w:rFonts w:ascii="arial" w:eastAsia="arial" w:hAnsi="arial" w:cs="arial"/>
            <w:i/>
            <w:color w:val="0077CC"/>
            <w:sz w:val="20"/>
            <w:u w:val="single"/>
            <w:shd w:val="clear" w:color="auto" w:fill="FFFFFF"/>
            <w:lang w:val="en-US" w:eastAsia="en-US" w:bidi="ar-SA"/>
          </w:rPr>
          <w:t>2010 BCCA 59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xml:space="preserve">  The crumbling skull doctrine dictates in part that if there is a measurable risk that a pre-existing condition would have detrimentally affected the plaintiff in the future, regardless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then this can be taken into account in reducing the overall award. </w:t>
      </w:r>
      <w:r>
        <w:rPr>
          <w:rFonts w:ascii="arial" w:eastAsia="arial" w:hAnsi="arial" w:cs="arial"/>
          <w:i/>
          <w:color w:val="000000"/>
          <w:sz w:val="20"/>
          <w:lang w:val="en-US" w:eastAsia="en-US" w:bidi="ar-SA"/>
        </w:rPr>
        <w:t>Yoshikawa v. Yu</w:t>
      </w:r>
      <w:r>
        <w:rPr>
          <w:rFonts w:ascii="arial" w:eastAsia="arial" w:hAnsi="arial" w:cs="arial"/>
          <w:color w:val="000000"/>
          <w:sz w:val="20"/>
          <w:lang w:val="en-US" w:eastAsia="en-US" w:bidi="ar-SA"/>
        </w:rPr>
        <w:t xml:space="preserve"> </w:t>
      </w:r>
      <w:hyperlink r:id="rId81" w:history="1">
        <w:r>
          <w:rPr>
            <w:rFonts w:ascii="arial" w:eastAsia="arial" w:hAnsi="arial" w:cs="arial"/>
            <w:i/>
            <w:color w:val="0077CC"/>
            <w:sz w:val="20"/>
            <w:u w:val="single"/>
            <w:shd w:val="clear" w:color="auto" w:fill="FFFFFF"/>
            <w:lang w:val="en-US" w:eastAsia="en-US" w:bidi="ar-SA"/>
          </w:rPr>
          <w:t>(1996), 21 B.C.L.R. (3d) 318</w:t>
        </w:r>
      </w:hyperlink>
      <w:r>
        <w:rPr>
          <w:rFonts w:ascii="arial" w:eastAsia="arial" w:hAnsi="arial" w:cs="arial"/>
          <w:color w:val="000000"/>
          <w:sz w:val="20"/>
          <w:lang w:val="en-US" w:eastAsia="en-US" w:bidi="ar-SA"/>
        </w:rPr>
        <w:t xml:space="preserve"> (C.A.), clarifies that psychological injuries are to be analyzed in same manner as physical injuries: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[19] One of the most important principles, for the purposes of this case, is the principle that, for the purposes of assessing damages, a tortfeasor must take the person injured by the tort in the actual condition of that person at that time. This has been called the "thin skull" principle. In its application to psychological problems it has been called the "egg shell personality" application of the principle. In my opinion there is no basis for giving a more restrictive application to this principle in cases where psychological injuries are suffered than would be given in cases where only physical injuries are suffered. A predisposition to suffer psychological injury in circumstances such as those brought about in a particular case by a defendant's wrongful act does not relieve the defendant of the liability to compensate the plaintiff for the injuries represented by those psychological symptoms. Such relief could only occur, as I have said, if the psychological symptoms would have occurred in any event, even without the defendant's wrongful act, through an application of the cause-in-fact test.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[32] ... psychological injury will be compensable on the basis of a pre- existing thin skull, except only in cases where the psychological problem is so dominant as a pre-existing condition and the injuries sustained in the accident are so trivial that the accident can no longer be said to be a sufficient cause in law to support an award of damages on the basis of proximate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xml:space="preserve">  This statement accords with the recent decision in </w:t>
      </w:r>
      <w:r>
        <w:rPr>
          <w:rFonts w:ascii="arial" w:eastAsia="arial" w:hAnsi="arial" w:cs="arial"/>
          <w:i/>
          <w:color w:val="000000"/>
          <w:sz w:val="20"/>
          <w:lang w:val="en-US" w:eastAsia="en-US" w:bidi="ar-SA"/>
        </w:rPr>
        <w:t>Saadati v. Morehead</w:t>
      </w:r>
      <w:r>
        <w:rPr>
          <w:rFonts w:ascii="arial" w:eastAsia="arial" w:hAnsi="arial" w:cs="arial"/>
          <w:color w:val="000000"/>
          <w:sz w:val="20"/>
          <w:lang w:val="en-US" w:eastAsia="en-US" w:bidi="ar-SA"/>
        </w:rPr>
        <w:t xml:space="preserve">, </w:t>
      </w:r>
      <w:hyperlink r:id="rId160" w:history="1">
        <w:r>
          <w:rPr>
            <w:rFonts w:ascii="arial" w:eastAsia="arial" w:hAnsi="arial" w:cs="arial"/>
            <w:i/>
            <w:color w:val="0077CC"/>
            <w:sz w:val="20"/>
            <w:u w:val="single"/>
            <w:shd w:val="clear" w:color="auto" w:fill="FFFFFF"/>
            <w:lang w:val="en-US" w:eastAsia="en-US" w:bidi="ar-SA"/>
          </w:rPr>
          <w:t>2017 SCC 28</w:t>
        </w:r>
      </w:hyperlink>
      <w:r>
        <w:rPr>
          <w:rFonts w:ascii="arial" w:eastAsia="arial" w:hAnsi="arial" w:cs="arial"/>
          <w:color w:val="000000"/>
          <w:sz w:val="20"/>
          <w:lang w:val="en-US" w:eastAsia="en-US" w:bidi="ar-SA"/>
        </w:rPr>
        <w:t>, where Brown J. for the unanimous Court held that physical and psychological injuries should be subject to the same standard of proof: paras. 35- 36.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With that in mind, I conclude as follows in regard to the defendant's liability for the plaintiff's injuries.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Right Knee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I find the defendant liable for aggravating the plaintiff's pre-existing right knee injury. This was the opinion of all the doctors who assessed the plaintiff's knee, Drs. McKenzie, Kostamo, Marks and Golin. The live question is whether the plaintiff would have been suffering from the same pain and symptomology, and would have required his 2013 surgery, irrespective of the 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In Dr. McKenzie's opinion, while the MVA did not aggravate the plaintiff's meniscus tear, the source of the plaintiff's previous pain, it was his opinion that the mechanism of injury, his examination and the plaintiff's subjective complaints were all consistent with an aggravation of a pre-existing right knee problem of some sort. In Dr. McKenzie's opinion the plaintiff's new pain in his patellofemoral joint was caused by MVA. In his view, the bulk of the plaintiff's problems were coming from the patellofemoral joint, a post-MVA knee problem, and not the medial meniscus.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xml:space="preserve">  Dr. McKenzie's testimony at trial was that knee surgery was probable given the plaintiff's pre-MVA symptoms, </w:t>
      </w:r>
      <w:r>
        <w:rPr>
          <w:rFonts w:ascii="arial" w:eastAsia="arial" w:hAnsi="arial" w:cs="arial"/>
          <w:color w:val="000000"/>
          <w:sz w:val="20"/>
          <w:u w:val="single"/>
          <w:lang w:val="en-US" w:eastAsia="en-US" w:bidi="ar-SA"/>
        </w:rPr>
        <w:t>if</w:t>
      </w:r>
      <w:r>
        <w:rPr>
          <w:rFonts w:ascii="arial" w:eastAsia="arial" w:hAnsi="arial" w:cs="arial"/>
          <w:color w:val="000000"/>
          <w:sz w:val="20"/>
          <w:lang w:val="en-US" w:eastAsia="en-US" w:bidi="ar-SA"/>
        </w:rPr>
        <w:t xml:space="preserve"> these symptoms continued. In my view, this statement is clearly predicated on a hypothetical, which may have been the case, the likelihood of which Dr. McKenzie did not comment on. Dr. McKenzie stated that a person can have a meniscal tear without any symptoms. As such, the probability of surgery was not inevitable, as it depended on whether the plaintiff's symptoms continued. While Dr. McKenzie also stated that he would not have operated on the plaintiff's knee in 2013 </w:t>
      </w:r>
      <w:r>
        <w:rPr>
          <w:rFonts w:ascii="arial" w:eastAsia="arial" w:hAnsi="arial" w:cs="arial"/>
          <w:i/>
          <w:color w:val="000000"/>
          <w:sz w:val="20"/>
          <w:lang w:val="en-US" w:eastAsia="en-US" w:bidi="ar-SA"/>
        </w:rPr>
        <w:t>without</w:t>
      </w:r>
      <w:r>
        <w:rPr>
          <w:rFonts w:ascii="arial" w:eastAsia="arial" w:hAnsi="arial" w:cs="arial"/>
          <w:color w:val="000000"/>
          <w:sz w:val="20"/>
          <w:lang w:val="en-US" w:eastAsia="en-US" w:bidi="ar-SA"/>
        </w:rPr>
        <w:t xml:space="preserve"> the meniscal tear, he did not say that he would have operated on the knee at this time </w:t>
      </w:r>
      <w:r>
        <w:rPr>
          <w:rFonts w:ascii="arial" w:eastAsia="arial" w:hAnsi="arial" w:cs="arial"/>
          <w:i/>
          <w:color w:val="000000"/>
          <w:sz w:val="20"/>
          <w:lang w:val="en-US" w:eastAsia="en-US" w:bidi="ar-SA"/>
        </w:rPr>
        <w:t>regardless</w:t>
      </w:r>
      <w:r>
        <w:rPr>
          <w:rFonts w:ascii="arial" w:eastAsia="arial" w:hAnsi="arial" w:cs="arial"/>
          <w:color w:val="000000"/>
          <w:sz w:val="20"/>
          <w:lang w:val="en-US" w:eastAsia="en-US" w:bidi="ar-SA"/>
        </w:rPr>
        <w:t xml:space="preserve"> of the MVA. That is to say, the meniscal tear was necessary, but not necessarily sufficient, to warrant surgery in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In Dr. Kostamo's opinion, the MVA exacerbated the plaintiff's pre-existing medial meniscus tear leading to increased pain and increased mechanical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Dr. Golin opined that the significant flare-up of the plaintiff's right knee was completely due to the MVA, which aggravated the pain he suffered from his medial meniscus tear. In his opinion, the arthroscopic surgery and injections into the plaintiff's right knee were all necessary because of the flare-up.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In Dr. Marks's opinion, the plaintiff was going to have problems with his right knee and would have required knee surgery irrespective of the MVA. He could not identify any evidence that the MVA right knee injury changed the trajectory of his overall knee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While I accept that the plaintiff would be suffering pain in his right knee regardless of the MVA at this time and into the future due to the meniscus tear and subsequent removal of meniscus tissue stemming from the 2011 Accident, the preponderance of the evidence is that he would not have been suffering as much pain and would not have necessarily required the 2013 surgery, at least not at the time that he did, but for the 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xml:space="preserve">  While the right knee </w:t>
      </w:r>
      <w:r>
        <w:rPr>
          <w:rFonts w:ascii="arial" w:eastAsia="arial" w:hAnsi="arial" w:cs="arial"/>
          <w:i/>
          <w:color w:val="000000"/>
          <w:sz w:val="20"/>
          <w:lang w:val="en-US" w:eastAsia="en-US" w:bidi="ar-SA"/>
        </w:rPr>
        <w:t>may</w:t>
      </w:r>
      <w:r>
        <w:rPr>
          <w:rFonts w:ascii="arial" w:eastAsia="arial" w:hAnsi="arial" w:cs="arial"/>
          <w:color w:val="000000"/>
          <w:sz w:val="20"/>
          <w:lang w:val="en-US" w:eastAsia="en-US" w:bidi="ar-SA"/>
        </w:rPr>
        <w:t xml:space="preserve"> have required surgery at some point notwithstanding the MVA, insofar as the MVA aggravated his knee pain it accelerated the need for surgery. No evidence was given that regardless of the MVA knee surgery was a probability in 2013, nor that the type of surgery the plaintiff eventually would have required was to be of the same type and in regard to the same issue as the surgery he did have.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All that can be said is that the plaintiff had the meniscus tear before the MVA and did not require surgery, and that the plaintiff aggravated his knee in the MVA, and then required surgery. The degree to which the MVA aggravation played a part in the plaintiff's need for surgery is unclear, but I accept that, on a balance of probabilities, in view of all the expert opinions on this point, the plaintiff would not have required surgery were it not for the MVA. The plaintiff's kneecap may have been thin, but it was not crumbling in the way contemplated by law. The defendant is fully liable for the plaintiff's right knee injury.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Right Shoulder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Dr. McKenzie opined that while the MVA "may" have caused ongoing shoulder problems, it was more likely than not that he did not have a significant injury to his right shoulder as a result of the MVA. In his opinion, the injury was more likely due to his age and work-related activities. In his view, had the shoulder injury been related to the MVA, he would have expected the pain and disability to have appeared much sooner than it eventually did some 4 years after the 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Dr. Goel's opinion was that the plaintiff's shoulder injury was not fully attributable to the MVA. Had it been an acute injury causing the symptoms, the plaintiff would have had pain and disability consistently following the MVA. However, he only had short-term pain after the MVA, and then no pain in his shoulder for several years until it became acute in approximately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Dr. Marks opined that the plaintiff's right shoulder injury "could" have been caused by the MVA. Dr. Golin concluded that the right shoulder injury was completely due to MVA, based on an absence of previous past history of right shoulder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I find that the defendants are not liable for the plaintiff's shoulder injury given this evidence. Two of the four doctors, both of whom were orthopedic surgeons, found that as a matter of probability, the shoulder injury was not caused by the MVA. Dr. Marks's diagnosis is in the realm of a possibility, and not stated as a matter of probability. The only doctor who linked the plaintiff's shoulder injury to the MVA was Dr. Golin. With respect, he is not a specialist in this area. As a general practitioner, his opinion is outweighed against the expertise and qualifications of Drs. Goel and McKenzie. Furthermore, the methodology by which Dr. Golin reached his conclusion is unconvincing. Past history of injury may have no bearing on the emergence of a nascent injury, especially given the plaintiff's age and the nature of his occupation making such an injury suddenly appearing a plausible scenario.</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Anxiety, Depression, PTSD and Sleep Disturbances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The defendants submitted that before the accident, Mr. Lewis struggled with a longstanding chronic anxiety disorder, sleep disorder, and ADHD. They posit that to the extent the plaintiff has experienced low mood or depressive symptoms, it is far more likely attributable than the MVA to the plaintiff's ongoing long-term use of Percocet as well as the 2 1/2 years after the MVA that the plaintiff used cocaine. Because of his ongoing use of opioids, his already chronic right knee condition, chronic anxiety, sleep disorder, and ADHD, he would have experienced psychological symptoms of depression and anxiety regardless of the accident. Any worsening of the plaintiff's depression and anxiety can be explained by his continued use of opioids and cocaine, a use that existed on its own trajectory and apart from the 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xml:space="preserve">  I reject this argument. No expert testified that absent the MVA the deterioration of the plaintiff's pre-existing bouts of depression or anxiety issues were inevitable, much less to the degree they were post-MVA. This is fatal. An aggravation of a pre-existing injury is compensable, no matter how serious that pre- existing injury may have already been: </w:t>
      </w:r>
      <w:r>
        <w:rPr>
          <w:rFonts w:ascii="arial" w:eastAsia="arial" w:hAnsi="arial" w:cs="arial"/>
          <w:i/>
          <w:color w:val="000000"/>
          <w:sz w:val="20"/>
          <w:lang w:val="en-US" w:eastAsia="en-US" w:bidi="ar-SA"/>
        </w:rPr>
        <w:t>Gordon v. Ahn</w:t>
      </w:r>
      <w:r>
        <w:rPr>
          <w:rFonts w:ascii="arial" w:eastAsia="arial" w:hAnsi="arial" w:cs="arial"/>
          <w:color w:val="000000"/>
          <w:sz w:val="20"/>
          <w:lang w:val="en-US" w:eastAsia="en-US" w:bidi="ar-SA"/>
        </w:rPr>
        <w:t xml:space="preserve"> at paras. 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While I agree that the plaintiff would likely be suffering from some degree of depression or anxiety regardless of the MVA, and that there was no indication these issues would ever go away, it does not absolve the defendants of their liability for aggravating these conditions by way of their negligent act. The plaintiff may have had an exceedingly thin skull in this regard, but the evidence is that the MVA cracked it wide open.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While the plaintiff may not have been a particularly social person before the accident, he nonetheless testified that he was "social" before the accident, but is now a "recluse". He says he has undergone a "100% change". The plaintiff's wife testified that he has changed. He is now moody and withdrawn. He was cheerful and social. He is now reclusive and reluctant to engage in the types of things which he enjoyed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While I reject that the plaintiff changed to this degree, the evidence from Drs. Golin and Spivak, and especially Dr. Lu in his April 6, 2015 report, paint a picture of an individual whose pre-existing chronic anxiety and depression were worsened by the MVA. While Dr. Golin did not initially note any anxiety or depression on the plaintiff first post-MVA visit on October 1, 2012, the day after the MVA, by April 8, 2015 Dr. Golin states that the plaintiff has anxiety and depression. Dr. Lu's April 6, 2015 report describes several symptoms consistent with a depression and chronic anxiety diagnosis, with Dr. Lu positing that these symptoms also were consistent with a PTSD diagnosis. In Dr. Spivak's opinion, the plaintiff did not have PTSD, but he nonetheless did not disagree with the symptoms noted in Dr. Lu's report, finding that the MVA had materially contributed to the plaintiff's depressive disposition. Dr. Spivak diagnosed the plaintiff with PDD.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This raises the question of whether the plaintiff, in addition to his aggravated chronic anxiety and depression, also suffered from PTSD as a result of the MVA. Dr. Lu and Dr. Spivak divided on this issue. Dr. Lu found that the plaintiff suffered from symptomology over and above his chronic anxiety and depression. Dr. Spivak found that the plaintiff's symptoms could be fully explained without a PTSD diagnosis, and that there was not sufficient severity or intrusion of these symptoms to warrant a PTSD diagnosis. Dr. Golin initially rejected Dr. Lu's PTSD diagnosis, finding that the plaintiff should be treated with anti-depressants for his anxiety and depression, before changing his mind as of November 28, 2017 to find that the plaintiff suffered from PTSD due to the MVA, and that his PTSD significantly aggravated the plaintiff's underlying chronic anxiety.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xml:space="preserve">  The diagnostic criteria for PTSD are outlined in DSM-5 at pages 271-272. A review of these criteria indicates that the plaintiff suffered from </w:t>
      </w:r>
      <w:r>
        <w:rPr>
          <w:rFonts w:ascii="arial" w:eastAsia="arial" w:hAnsi="arial" w:cs="arial"/>
          <w:i/>
          <w:color w:val="000000"/>
          <w:sz w:val="20"/>
          <w:lang w:val="en-US" w:eastAsia="en-US" w:bidi="ar-SA"/>
        </w:rPr>
        <w:t>some</w:t>
      </w:r>
      <w:r>
        <w:rPr>
          <w:rFonts w:ascii="arial" w:eastAsia="arial" w:hAnsi="arial" w:cs="arial"/>
          <w:color w:val="000000"/>
          <w:sz w:val="20"/>
          <w:lang w:val="en-US" w:eastAsia="en-US" w:bidi="ar-SA"/>
        </w:rPr>
        <w:t xml:space="preserve"> of the symptoms of PTSD. The ultimate question, however, is whether the plaintiff </w:t>
      </w:r>
      <w:r>
        <w:rPr>
          <w:rFonts w:ascii="arial" w:eastAsia="arial" w:hAnsi="arial" w:cs="arial"/>
          <w:i/>
          <w:color w:val="000000"/>
          <w:sz w:val="20"/>
          <w:lang w:val="en-US" w:eastAsia="en-US" w:bidi="ar-SA"/>
        </w:rPr>
        <w:t>did</w:t>
      </w:r>
      <w:r>
        <w:rPr>
          <w:rFonts w:ascii="arial" w:eastAsia="arial" w:hAnsi="arial" w:cs="arial"/>
          <w:color w:val="000000"/>
          <w:sz w:val="20"/>
          <w:lang w:val="en-US" w:eastAsia="en-US" w:bidi="ar-SA"/>
        </w:rPr>
        <w:t xml:space="preserve"> suffer from PTSD given these criteria. Answering this question requires a review of the medical opinion evidence. Both Drs. Lu and Spivak refer to these criteria, to some degree, in forming their opinions at to whether the plaintiff had PTSD.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Dr. Lu's opinion was that the plaintiff had moderately severe chronic PTSD, and that this PTSD developed soon after the MVA. Dr. Lu linked the plaintiff's PTSD to the MVA. The plaintiff, already in a psychologically vulnerable state due to his pre- existing substance abuse, depression and anxiety, was pushed over the proverbial edge by the events of the MVA, his MVA injuries and the physical pain from these injuries. Dr. Lu's found that the plaintiff's PCL-5 scores were also consistent with findings of PTSD. Dr. Lu also found symptoms of persistent anxiety, negative mood and a "neuro-vegetative" 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Dr. Lu's April 6, 2015 report details that the plaintiff feels that he is living the accident all the time. He is "pissed off" by all the reminders of the accident, especially his constant pain. Since the MVA, his mind is always active. The problems in his mind seem repetitive. The plaintiff's wife testified that he would routinely think about how the accident happened, and that he always seemed to be replaying how the MVA occurred in his mind.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Part of the DSM-5 PTSD diagnostic criteria is the presence of one (or more) of the following intrusion symptoms associated with the traumatic event:</w:t>
      </w:r>
      <w:r>
        <w:rPr>
          <w:rFonts w:ascii="arial" w:eastAsia="arial" w:hAnsi="arial" w:cs="arial"/>
          <w:sz w:val="20"/>
          <w:lang w:val="en-US" w:eastAsia="en-US" w:bidi="ar-SA"/>
        </w:rPr>
        <w:cr/>
      </w:r>
    </w:p>
    <w:p>
      <w:pPr>
        <w:numPr>
          <w:numId w:val="5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Recurrent, involuntary, and intrusive distressing memories of the traumatic event;</w:t>
      </w:r>
    </w:p>
    <w:p>
      <w:pPr>
        <w:numPr>
          <w:numId w:val="5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Dissociative reactions (</w:t>
      </w:r>
      <w:r>
        <w:rPr>
          <w:rFonts w:ascii="arial" w:eastAsia="arial" w:hAnsi="arial" w:cs="arial"/>
          <w:i/>
          <w:color w:val="000000"/>
          <w:sz w:val="20"/>
          <w:lang w:val="en-US" w:eastAsia="en-US" w:bidi="ar-SA"/>
        </w:rPr>
        <w:t>e.g.</w:t>
      </w:r>
      <w:r>
        <w:rPr>
          <w:rFonts w:ascii="arial" w:eastAsia="arial" w:hAnsi="arial" w:cs="arial"/>
          <w:color w:val="000000"/>
          <w:sz w:val="20"/>
          <w:lang w:val="en-US" w:eastAsia="en-US" w:bidi="ar-SA"/>
        </w:rPr>
        <w:t>, flashbacks) in which the individual feels or acts as if the traumatic events were re-occurring; and</w:t>
      </w:r>
    </w:p>
    <w:p>
      <w:pPr>
        <w:numPr>
          <w:numId w:val="5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Intense or prolonged psychological distress at exposure to internal or external cues that symbolize or resemble an aspect of the traumatic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The above account generally aligns with these intrusion symptoms. As the plaintiff's statement to Dr. Lu was contemporaneous, and Ms. Lewis's credibility and reliability were not questioned, I accept the veracity of these statements.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In Dr. Lu's opinion the plaintiff also exhibited symptoms of avoidance. While Dr. Lu's conclusion that the plaintiff no longer rides his motorcycle was a symptom of avoidance, as contemplated by the DSM-5, is insufficiently drawn (and, as Dr. Lu notes, may be explained by the plaintiff's ankle injury limiting his riding capacity), I accept that the plaintiff reported to Dr. Lu intense efforts to avoid memories, thoughts and feelings related to the MVA. I accept the veracity of this statement. This symptomology fits the DSM-5 diagnostic criteria of "persistent avoidance of stimuli".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Marked alterations in arousal and reactivity associated with the traumatic event are other DSM-5 diagnostic criteria, as evidenced by two or more such symptoms. Dr. Lu found several such symptoms: sleep pattern changes; irritability; hypervigilance; and poor subjective attention and concentration. There is ample evidence that the plaintiff exhibited these symptoms. He suffering from sleep disturbances after the MVA that were markedly worse than before the MVA. He told Dr. Lu that he got very distracted by his pain, leading to poor attention and concentration. Regarding his irritability, his wife stated that he seems to be in a bad mood all the time. While driving, he pays attention to all the potential dangers to the point where he gets distracted. When his children are in the car, he is even more nervous. This is arguably consistent with hypervigilance.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At least two negative alterations in cognition and mood associated with the traumatic event, beginning or worsening after the traumatic event, are required to meet the DSM-5 diagnostic criteria. At least at the time of Dr. Lu's April 6, 2015 report, the following negative alterations were present in my view:</w:t>
      </w:r>
      <w:r>
        <w:rPr>
          <w:rFonts w:ascii="arial" w:eastAsia="arial" w:hAnsi="arial" w:cs="arial"/>
          <w:sz w:val="20"/>
          <w:lang w:val="en-US" w:eastAsia="en-US" w:bidi="ar-SA"/>
        </w:rPr>
        <w:cr/>
      </w:r>
    </w:p>
    <w:p>
      <w:pPr>
        <w:numPr>
          <w:numId w:val="6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Persistent negative emotional state - the plaintiff was still angry about the MVA, and has become bitter, "pissed off" and reclusive;</w:t>
      </w:r>
    </w:p>
    <w:p>
      <w:pPr>
        <w:numPr>
          <w:numId w:val="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Markedly diminished interest or participation in significant activities - the plaintiff says he is not social the way he was before the MVA, and avoids everything;</w:t>
      </w:r>
    </w:p>
    <w:p>
      <w:pPr>
        <w:numPr>
          <w:numId w:val="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Feelings of detachment or estrangement from others - the plaintiff no longer contacts friends, and rarely goes out to see friends; and</w:t>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Persistent inability to experience positive emotions - the plaintiff told Dr. Lu that he "can't feel positive".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Crucially, however, the DSM-5 states that an overriding PTSD diagnosis criterion is for the above disturbances to cause "clinically significant distress or impairment in social, occupational, or other important areas of functioning" for more that one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xml:space="preserve">  While Dr. Spivak "did not disagree" that some of the symptoms evidenced by the plaintiff "could" be consistent with PTSD criteria, in his opinion there was no evidence the plaintiff suffered from </w:t>
      </w:r>
      <w:r>
        <w:rPr>
          <w:rFonts w:ascii="arial" w:eastAsia="arial" w:hAnsi="arial" w:cs="arial"/>
          <w:i/>
          <w:color w:val="000000"/>
          <w:sz w:val="20"/>
          <w:lang w:val="en-US" w:eastAsia="en-US" w:bidi="ar-SA"/>
        </w:rPr>
        <w:t>impairment</w:t>
      </w:r>
      <w:r>
        <w:rPr>
          <w:rFonts w:ascii="arial" w:eastAsia="arial" w:hAnsi="arial" w:cs="arial"/>
          <w:color w:val="000000"/>
          <w:sz w:val="20"/>
          <w:lang w:val="en-US" w:eastAsia="en-US" w:bidi="ar-SA"/>
        </w:rPr>
        <w:t xml:space="preserve"> due to his PTSD symptoms. While the plaintiff had some anxiety and some disruption from the MVA, he did not experience "terror". PTSD symptoms must be several months in duration, and when someone gets the "real deal", they are broken and not functioning.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There was no evidence that the plaintiff had been unable to work or had been impeded from any specific activity due to psychological factors. The plaintiff continued to work since the MVA and had, in Dr. Spivak's opinion, for the most part, functioned in all facets of his life. While he had some social withdrawal, Dr. Spivak's view was that it was not due to PTSD but, rather, due to his depression. Dr. Spivak diagnosed the plaintiff with PDD, and found that the changes in the plaintiff's emotional function were due to this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Dr. Golin, for his part, testified on cross-examination that he changed his initial opinion and came to his PTSD diagnosis having had the "benefit of" Dr. Lu's opinion, and a sit-down review with the plaintiff regarding his symptoms. He stated that he did not simply adopt Dr. Lu's opinion, but came to the diagnosis having reconsidered matters. Given Dr. Golin's lack of expertise on this issue as compared to Drs. Lu and Spivak, and the lack of independent diagnostic criteria cited as justifying his changed mind regarding the plaintiff's PTSD diagnosis, I find his opinion in this regard to have little to no weight. While I do not find that Dr. Golin simply adopted Dr. Lu's findings as his own, I also find that he did not do enough substantive testing on his own to independently verify this diagnosis.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The issue, then, is not necessarily whether the plaintiff suffered PTSD symptoms, but how intensely he suffered these symptoms. I am of the view that Dr. Spivak's opinion that the plaintiff did not have PTSD is to be preferred. I agree that the plaintiff's symptoms, while serious both individually and in conjunction with each other, were not debilitating to the degree of impairment or significant distress. Furthermore, these symptoms were more or less in concordance with symptoms of depression, and possibly chronic anxiety, and can be fully explained without resort to a PTSD diagnosis.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xml:space="preserve">  While it has not been established the plaintiff had PTSD, he is nonetheless still compensable for the injuries caused by the MVA associated with this diagnosis consistent with </w:t>
      </w:r>
      <w:r>
        <w:rPr>
          <w:rFonts w:ascii="arial" w:eastAsia="arial" w:hAnsi="arial" w:cs="arial"/>
          <w:i/>
          <w:color w:val="000000"/>
          <w:sz w:val="20"/>
          <w:lang w:val="en-US" w:eastAsia="en-US" w:bidi="ar-SA"/>
        </w:rPr>
        <w:t>Saadati</w:t>
      </w:r>
      <w:r>
        <w:rPr>
          <w:rFonts w:ascii="arial" w:eastAsia="arial" w:hAnsi="arial" w:cs="arial"/>
          <w:color w:val="000000"/>
          <w:sz w:val="20"/>
          <w:lang w:val="en-US" w:eastAsia="en-US" w:bidi="ar-SA"/>
        </w:rPr>
        <w:t xml:space="preserve">, which holds that a medical label or diagnosis is not required to compensate for the effects of injuries sustained by a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see para. 31. Ultimately, the lack of a PTSD diagnosis is of minimal consequence given that Drs. Spivak and Lu agreed to a significant extent regarding the effects the MVA had on the plaintiff's mental state. </w:t>
      </w:r>
      <w:r>
        <w:rPr>
          <w:rFonts w:ascii="arial" w:eastAsia="arial" w:hAnsi="arial" w:cs="arial"/>
          <w:i/>
          <w:color w:val="000000"/>
          <w:sz w:val="20"/>
          <w:lang w:val="en-US" w:eastAsia="en-US" w:bidi="ar-SA"/>
        </w:rPr>
        <w:t>Saadati</w:t>
      </w:r>
      <w:r>
        <w:rPr>
          <w:rFonts w:ascii="arial" w:eastAsia="arial" w:hAnsi="arial" w:cs="arial"/>
          <w:color w:val="000000"/>
          <w:sz w:val="20"/>
          <w:lang w:val="en-US" w:eastAsia="en-US" w:bidi="ar-SA"/>
        </w:rPr>
        <w:t xml:space="preserve"> is clear it is the effects of the injuries that are the basis of the Court's causation analysis. In this regard, the aggravation of the plaintiff's chronic anxiety and depression is clearly established.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As for the plaintiff's sleep disturbances, in Dr. McKenzie's September 12, 2017 report, the plaintiff reports that his sleep is "not good" and worse than it was before the MVA. His sleep is disturbed every night. The plaintiff is generally unsure what wakes him up, although sometimes it is his shoulder. The evidence of Drs. McKenzie and Golin is that the plaintiff had sleep disturbance issues for a number of years pre-dating the MVA. However, the plaintiff was put on Risperidone, which seemed to help. On September 17, 2012, 13 days before the accident, the plaintiff reported that he was sleeping well, and would wake feeling rested. I accept that the plaintiff's sleep disturbances have been aggravated by his MVA injuries.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Percocet and Cocaine Addiction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The plaintiff alleges that the MVA compounded his depression and anxiety and, in an effort to self-medicate as best he could, he increasingly turned to Percocet and cocaine--in lieu of other treatment options--to deal with his mental health issues. The use of Percocet and cocaine, in turn, furthered the plaintiff's depression and anxiety. In essence, but for the MVA the plaintiff would not be as addicted, or at least, as in need of Percocet and cocaine as he was, and may currently still be. The evidence is that the plaintiff no longer uses cocaine.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The defendant alleges that the plaintiff was already a heavy user and addicted to both Percocet and cocaine before the MVA, and the MVA, in and of itself, did not materially contribute to this pattern of use or addiction. Furthermore, whatever depression or anxiety that may have been caused by the use of these drugs would have been caused regardless of the MVA by whatever dose the plaintiff was likely to continue taking. Insofar as there may have an increase in drug usage post-MVA, that increase did not have a corresponding effect on the plaintiff's depression or anxiety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This is one area in particular where the plaintiff's lack of reliability is manifest. He gave different doctors very different accounts of his historic Percocet use, though the evidence seemed to get more consistent in terms of what he reported his current usage was to these respective doctors.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To Dr. McKenzie, in records dated April 25, 2012, he plaintiff states that has been on Percocet for 8 years--since 2004 or so--and is currently trying to come off his 1-3 non-prescription Percocet a day habit. The plaintiff advised Dr. McKenzie that he took up to 20 Percocet a day for 2-3 years, was then off Percocet for three years, and then started taking them again when he hurt his knee at work, in August 2011. The dates in this account do not line up. Making the most sense of this timeline, the plaintiff used Percocet from 2004 to 2009 (2-3 years of which he was using 20-30 Percocet a day), was off from 2009 to 2011, and was then back on from 2011 to the date of the report, with 2-3 of these years being when he was up to 20 Percocet a day. When the plaintiff saw Dr. McKenzie on July 8, 2014, he advised him that he was using 1-3 Percocet a day. When the plaintiff saw Dr. McKenzie on September 12, 2017, he advised him that he was using 3 Percocet a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The plaintiff told Dr. Lu in April 2015 that he historically had used up to 20-30 tablets per day, but stopped using Percocet for a "couple of years" before the MVA and was not using as of the date of the MVA. This is inconsistent with his account to Dr. McKenzie. He told Dr. Lu in August 14, 2017 that he was taking 3-5 Percocet a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Dr. Golin's reports indicate that as of June 9, 2010, the plaintiff was taking 4 Percocet a day. As of April 25, 2012, the plaintiff was trying to come off his Percocet use. In May 2017, the plaintiff was using Percocet for pain following his shoulder surgery. In August 2017, the plaintiff was still using Percocet 2-3 times a day for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To Dr. Spivak in November 2017, he said he took as much as 30 Percocet a day in the past, and was then using 3-5 tablets per day for control of his pain. The plaintiff saw his use as a necessity.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Dr. Lu testified at trial that as the plaintiff did not show opiate tolerance, there was a high degree of certainty that he was not using opiates inappropriately at the time of the MVA. As support for this assertion, plaintiff's counsel points to the fact that he was responsive to normal amounts of painkiller at the RCH when he was brought to the emergency room following the MVA. The plaintiff's wife further testified that before the MVA the plaintiff was attempting to "wean off everything". This is all the evidence available, other than the plaintiff's own testimony, regarding his Percocet use at the time of the 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The meta-narrative of the plaintiff's Percocet use can be summarized as follows. He started taking Percocet around 2004. For 2-3 years between 2004 and 2009, he used up to 20-30 Percocet a day. He was using 4 Percocet a day as of June 2010. He may have discontinued his use for up to 3 years, before or after June 2010, however he was using 1-3 Percocet a day as of April 25, 2012. He indicated a desire to stop using Percocet at this time, and the only evidence available indicates that he was not using Percocet at the time of the MVA on September 30 2012. As of July 8, 2014, he was using 1-3 Percocet a day. As of August 2017 he was using 2-5 Percocet a day, and on September 12, 2017 he stated he was using 3 Percocet a day. As of November 2017, he was using 3-5 Percocet a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As for his post-MVA cocaine use, he told Dr. Lu in April 2015 that he used cocaine more frequently after the MVA, up to 2-3 times per week until approximately January 2015, when his use tapered off. He told Dr. Spivak on November 24, 2017 that he had not used cocaine since the accident. This directly contradicts what he said to Dr. Lu. Nevertheless, there is no evidence that the plaintiff's cocaine use continued past January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Kirilenko v. Bowie</w:t>
      </w:r>
      <w:r>
        <w:rPr>
          <w:rFonts w:ascii="arial" w:eastAsia="arial" w:hAnsi="arial" w:cs="arial"/>
          <w:color w:val="000000"/>
          <w:sz w:val="20"/>
          <w:lang w:val="en-US" w:eastAsia="en-US" w:bidi="ar-SA"/>
        </w:rPr>
        <w:t xml:space="preserve">, </w:t>
      </w:r>
      <w:hyperlink r:id="rId161" w:history="1">
        <w:r>
          <w:rPr>
            <w:rFonts w:ascii="arial" w:eastAsia="arial" w:hAnsi="arial" w:cs="arial"/>
            <w:i/>
            <w:color w:val="0077CC"/>
            <w:sz w:val="20"/>
            <w:u w:val="single"/>
            <w:shd w:val="clear" w:color="auto" w:fill="FFFFFF"/>
            <w:lang w:val="en-US" w:eastAsia="en-US" w:bidi="ar-SA"/>
          </w:rPr>
          <w:t>2017 BCSC 2048</w:t>
        </w:r>
      </w:hyperlink>
      <w:r>
        <w:rPr>
          <w:rFonts w:ascii="arial" w:eastAsia="arial" w:hAnsi="arial" w:cs="arial"/>
          <w:color w:val="000000"/>
          <w:sz w:val="20"/>
          <w:lang w:val="en-US" w:eastAsia="en-US" w:bidi="ar-SA"/>
        </w:rPr>
        <w:t xml:space="preserve">, the court took judicial notice that cocaine is highly addictive and users face a risk of relapse: see para. 33. I venture to say that the same is true for the plaintiff in this case, not only in regard to his cocaine use, but also his Percocet use. In </w:t>
      </w:r>
      <w:r>
        <w:rPr>
          <w:rFonts w:ascii="arial" w:eastAsia="arial" w:hAnsi="arial" w:cs="arial"/>
          <w:i/>
          <w:color w:val="000000"/>
          <w:sz w:val="20"/>
          <w:lang w:val="en-US" w:eastAsia="en-US" w:bidi="ar-SA"/>
        </w:rPr>
        <w:t>McCullum v. White</w:t>
      </w:r>
      <w:r>
        <w:rPr>
          <w:rFonts w:ascii="arial" w:eastAsia="arial" w:hAnsi="arial" w:cs="arial"/>
          <w:color w:val="000000"/>
          <w:sz w:val="20"/>
          <w:lang w:val="en-US" w:eastAsia="en-US" w:bidi="ar-SA"/>
        </w:rPr>
        <w:t xml:space="preserve">, </w:t>
      </w:r>
      <w:hyperlink r:id="rId162" w:history="1">
        <w:r>
          <w:rPr>
            <w:rFonts w:ascii="arial" w:eastAsia="arial" w:hAnsi="arial" w:cs="arial"/>
            <w:i/>
            <w:color w:val="0077CC"/>
            <w:sz w:val="20"/>
            <w:u w:val="single"/>
            <w:shd w:val="clear" w:color="auto" w:fill="FFFFFF"/>
            <w:lang w:val="en-US" w:eastAsia="en-US" w:bidi="ar-SA"/>
          </w:rPr>
          <w:t>2016 BCSC 569</w:t>
        </w:r>
      </w:hyperlink>
      <w:r>
        <w:rPr>
          <w:rFonts w:ascii="arial" w:eastAsia="arial" w:hAnsi="arial" w:cs="arial"/>
          <w:color w:val="000000"/>
          <w:sz w:val="20"/>
          <w:lang w:val="en-US" w:eastAsia="en-US" w:bidi="ar-SA"/>
        </w:rPr>
        <w:t>, the plaintiff had serious and longstanding difficulties with illegal drug use before two motor vehicle accidents. The court concluded that the plaintiff failed to prove his drug addiction was aggravated by the accident, despite an observable escalation of use, as the necessary medical expert evidence was not before the court to establish causation between the accident injuries and that escalation.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I find that the plaintiff did increase his self-dosage of Percocet after the MVA. I accept that Percocet is used for pain and I accept that the plaintiff did use the Percocet, at least in part, for this pain relief purpose. While this increase in usage did not amount to a fresh, or crystallized, addiction that was not present before, I find it did have some of its causal origins in the MVA such that it can be said that but for the MVA, the plaintiff would still be addicted to Percocet but would be taking a lower dose. In April 2012, the plaintiff was taking 1-3 Percocet a day. As of November 2017, he is taking 3-5 Percocet a day. Even if one ignores the plaintiff's position that he was not using Percocet at the time of the MVA, going from 1-3 to 3-5 is a 40% increase in usage.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There was no direct evidence proffered as to what effect going from 1-3 to 3- 5 Percocet a day may have had on the plaintiff. However, given the extremely high doses the plaintiff took prior to the accident--up to 20-30 a day--and the evidence that such high doses can lead to heightened tolerance to Percocet, which lowers its effectiveness, I find that the difference between 1-3 and 3-5 Percocet a day, is of no incidence. I accept that the plaintiff may have had Opioid-Induced Hyperalgesia due to his use of Percocet, but in my view if he did have such a condition, it pre-dated the 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I find no cogent evidence establishing causation between the MVA injuries and the plaintiff's cocaine use. The plaintiff has failed to prove that his cocaine addiction was aggravated by the MVA. In my view, the plaintiff would have used cocaine post-MVA regardless of the MVA. I find that any increase in cocaine use was due to the plaintiff's pre-existing addiction and not due to injuries sustained in the MVA, on a balance of probabilities. There is no evidence that the plaintiff used cocaine for any pain-related purpose, or even any direct evidence that the plaintiff used cocaine to deal with his MVA-related psychological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To conclude, the MVA caused the plaintiff to increase his Percocet use, but did not create the plaintiff's Percocet addiction. This Percocet addiction pre-existed the MVA. The MVA did not cause the plaintiff to increase his cocaine use, nor did it create the plaintiff's cocaine addiction. This cocaine addiction pre-existed the 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Having found the defendants liable for the plaintiff's left ankle and foot injury, right knee injury, anxiety, depression and increased Percocet use, the following issues remain:</w:t>
      </w:r>
      <w:r>
        <w:rPr>
          <w:rFonts w:ascii="arial" w:eastAsia="arial" w:hAnsi="arial" w:cs="arial"/>
          <w:sz w:val="20"/>
          <w:lang w:val="en-US" w:eastAsia="en-US" w:bidi="ar-SA"/>
        </w:rPr>
        <w:cr/>
      </w:r>
    </w:p>
    <w:p>
      <w:pPr>
        <w:numPr>
          <w:numId w:val="6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plaintiff a reliable and credible witness?</w:t>
      </w:r>
    </w:p>
    <w:p>
      <w:pPr>
        <w:numPr>
          <w:numId w:val="6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are the plaintiff's non-pecuniary damages?</w:t>
      </w:r>
    </w:p>
    <w:p>
      <w:pPr>
        <w:numPr>
          <w:numId w:val="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Has the plaintiff failed to mitigate his non-pecuniary damages?</w:t>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are the plaintiff's past wage and future earning capacity losses?</w:t>
      </w:r>
    </w:p>
    <w:p>
      <w:pPr>
        <w:numPr>
          <w:numId w:val="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are the plaintiff's loss of housekeeping damages, future care costs and special damages?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The Plaintiff's Reliability and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The defendants argue that the plaintiff's recollection of facts cannot be relied on, not least due to testifying that he has a terrible memory. The plaintiff testified that he was 100% truthful with Dr. Golin, and otherwise agreed that the written clinical records were accurate both in terms of what he actually said and the truth of those statements. As such, insofar as the plaintiff's testimony is not supported by or contradicts the documentary evidence or the testimony of others, the latter is to be preferred.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The defendants also attacked the plaintiff's credibility in their submissions. In doing so, they claim that the plaintiff's testimony not only exhibited inaccuracy, but also insincerity, if not untruthfulness.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As will be seen in the discussion of the further issues, I broadly accept the categorization of the plaintiff as an unreliable witness. He was often a poor historian whose account of events clashed with more reliable documentary evidence or led to internal contradictions. On the other hand, I do not find that the plaintiff lacked credibility. I accept that he endeavoured to be truthful, notwithstanding that he sometimes failed in that pursuit due to his memory leading him astray. Where the plaintiff was wrong about a matter, the more plausible explanation was that he did not remember, not that he remembered but chose to lie or be insincere.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xml:space="preserve">  Instead of globally branding the plaintiff as unreliable but credible, I will carefully consider his evidence in each particular situation where it is not supported or is contradicted, and give it what weight it merits. The following statement from </w:t>
      </w:r>
      <w:r>
        <w:rPr>
          <w:rFonts w:ascii="arial" w:eastAsia="arial" w:hAnsi="arial" w:cs="arial"/>
          <w:i/>
          <w:color w:val="000000"/>
          <w:sz w:val="20"/>
          <w:lang w:val="en-US" w:eastAsia="en-US" w:bidi="ar-SA"/>
        </w:rPr>
        <w:t>Faryna v. Chorny</w:t>
      </w:r>
      <w:r>
        <w:rPr>
          <w:rFonts w:ascii="arial" w:eastAsia="arial" w:hAnsi="arial" w:cs="arial"/>
          <w:color w:val="000000"/>
          <w:sz w:val="20"/>
          <w:lang w:val="en-US" w:eastAsia="en-US" w:bidi="ar-SA"/>
        </w:rPr>
        <w:t xml:space="preserve">, </w:t>
      </w:r>
      <w:hyperlink r:id="rId64" w:history="1">
        <w:r>
          <w:rPr>
            <w:rFonts w:ascii="arial" w:eastAsia="arial" w:hAnsi="arial" w:cs="arial"/>
            <w:i/>
            <w:color w:val="0077CC"/>
            <w:sz w:val="20"/>
            <w:u w:val="single"/>
            <w:shd w:val="clear" w:color="auto" w:fill="FFFFFF"/>
            <w:lang w:val="en-US" w:eastAsia="en-US" w:bidi="ar-SA"/>
          </w:rPr>
          <w:t>[1952] 2 D.L.R. 354</w:t>
        </w:r>
      </w:hyperlink>
      <w:r>
        <w:rPr>
          <w:rFonts w:ascii="arial" w:eastAsia="arial" w:hAnsi="arial" w:cs="arial"/>
          <w:color w:val="000000"/>
          <w:sz w:val="20"/>
          <w:lang w:val="en-US" w:eastAsia="en-US" w:bidi="ar-SA"/>
        </w:rPr>
        <w:t xml:space="preserve"> at 357, in instructive as an operating principle to keep in mind whenever the plaintiff's evidence is to be scrutinized: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test must reasonably subject his story to an examination of its consistency with the probabilities which surround the currently existing conditions. In short, the real test of the truth of the story of a witness in such a case must be its harmony with the preponderance of the probabilities which a practical and informed person would readily recognize as reasonable in that place and in those conditions.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14"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leave to appeal ref'd </w:t>
      </w:r>
      <w:hyperlink r:id="rId163" w:history="1">
        <w:r>
          <w:rPr>
            <w:rFonts w:ascii="arial" w:eastAsia="arial" w:hAnsi="arial" w:cs="arial"/>
            <w:i/>
            <w:color w:val="0077CC"/>
            <w:sz w:val="20"/>
            <w:u w:val="single"/>
            <w:shd w:val="clear" w:color="auto" w:fill="FFFFFF"/>
            <w:lang w:val="en-US" w:eastAsia="en-US" w:bidi="ar-SA"/>
          </w:rPr>
          <w:t>[2006] SCCA No. 100</w:t>
        </w:r>
      </w:hyperlink>
      <w:r>
        <w:rPr>
          <w:rFonts w:ascii="arial" w:eastAsia="arial" w:hAnsi="arial" w:cs="arial"/>
          <w:color w:val="000000"/>
          <w:sz w:val="20"/>
          <w:lang w:val="en-US" w:eastAsia="en-US" w:bidi="ar-SA"/>
        </w:rPr>
        <w:t>, Madam Justice Kirkpatrick outlined the factors to be considered in awarding non-pecuniary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[46] The inexhaustive list of common factors cited in Boyd that influence an award of non-pecuniary damages includes:</w:t>
      </w:r>
    </w:p>
    <w:p>
      <w:pPr>
        <w:numPr>
          <w:numId w:val="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age of the plaintiff;</w:t>
      </w:r>
    </w:p>
    <w:p>
      <w:pPr>
        <w:numPr>
          <w:numId w:val="7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the injury;</w:t>
      </w:r>
    </w:p>
    <w:p>
      <w:pPr>
        <w:numPr>
          <w:numId w:val="7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severity and duration of pain;</w:t>
      </w:r>
    </w:p>
    <w:p>
      <w:pPr>
        <w:numPr>
          <w:numId w:val="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disability;</w:t>
      </w:r>
    </w:p>
    <w:p>
      <w:pPr>
        <w:numPr>
          <w:numId w:val="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emotional suffering; and</w:t>
      </w:r>
    </w:p>
    <w:p>
      <w:pPr>
        <w:numPr>
          <w:numId w:val="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or impairment of life;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add the following factors, although they may arguably be subsumed in the above list:</w:t>
      </w:r>
    </w:p>
    <w:p>
      <w:pPr>
        <w:numPr>
          <w:numId w:val="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family, marital and social relationships;</w:t>
      </w:r>
    </w:p>
    <w:p>
      <w:pPr>
        <w:numPr>
          <w:numId w:val="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physical and mental abilities;</w:t>
      </w:r>
    </w:p>
    <w:p>
      <w:pPr>
        <w:numPr>
          <w:numId w:val="7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lifestyle; and</w:t>
      </w:r>
    </w:p>
    <w:p>
      <w:pPr>
        <w:numPr>
          <w:numId w:val="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stoicism (as a factor that should not, generally speaking, penalize the plaintiff: </w:t>
      </w:r>
      <w:r>
        <w:rPr>
          <w:rFonts w:ascii="arial" w:eastAsia="arial" w:hAnsi="arial" w:cs="arial"/>
          <w:i/>
          <w:color w:val="000000"/>
          <w:sz w:val="20"/>
          <w:lang w:val="en-US" w:eastAsia="en-US" w:bidi="ar-SA"/>
        </w:rPr>
        <w:t>Giang v. Clayton</w:t>
      </w:r>
      <w:r>
        <w:rPr>
          <w:rFonts w:ascii="arial" w:eastAsia="arial" w:hAnsi="arial" w:cs="arial"/>
          <w:color w:val="000000"/>
          <w:sz w:val="20"/>
          <w:lang w:val="en-US" w:eastAsia="en-US" w:bidi="ar-SA"/>
        </w:rPr>
        <w:t xml:space="preserve">, </w:t>
      </w:r>
      <w:hyperlink r:id="rId16" w:history="1">
        <w:r>
          <w:rPr>
            <w:rFonts w:ascii="arial" w:eastAsia="arial" w:hAnsi="arial" w:cs="arial"/>
            <w:i/>
            <w:color w:val="0077CC"/>
            <w:sz w:val="20"/>
            <w:u w:val="single"/>
            <w:shd w:val="clear" w:color="auto" w:fill="FFFFFF"/>
            <w:lang w:val="en-US" w:eastAsia="en-US" w:bidi="ar-SA"/>
          </w:rPr>
          <w:t>[2005] B.C.J. No. 163</w:t>
        </w:r>
      </w:hyperlink>
      <w:r>
        <w:rPr>
          <w:rFonts w:ascii="arial" w:eastAsia="arial" w:hAnsi="arial" w:cs="arial"/>
          <w:color w:val="000000"/>
          <w:sz w:val="20"/>
          <w:lang w:val="en-US" w:eastAsia="en-US" w:bidi="ar-SA"/>
        </w:rPr>
        <w:t xml:space="preserve"> (QL), </w:t>
      </w:r>
      <w:hyperlink r:id="rId16" w:history="1">
        <w:r>
          <w:rPr>
            <w:rFonts w:ascii="arial" w:eastAsia="arial" w:hAnsi="arial" w:cs="arial"/>
            <w:i/>
            <w:color w:val="0077CC"/>
            <w:sz w:val="20"/>
            <w:u w:val="single"/>
            <w:shd w:val="clear" w:color="auto" w:fill="FFFFFF"/>
            <w:lang w:val="en-US" w:eastAsia="en-US" w:bidi="ar-SA"/>
          </w:rPr>
          <w:t>2005 BCCA 54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xml:space="preserve">  The purpose of non-pecuniary damage awards is to compensate the plaintiff for "pain, suffering, loss of enjoyment of life and loss of amenities": </w:t>
      </w:r>
      <w:r>
        <w:rPr>
          <w:rFonts w:ascii="arial" w:eastAsia="arial" w:hAnsi="arial" w:cs="arial"/>
          <w:i/>
          <w:color w:val="000000"/>
          <w:sz w:val="20"/>
          <w:lang w:val="en-US" w:eastAsia="en-US" w:bidi="ar-SA"/>
        </w:rPr>
        <w:t>Jackson v. Lai</w:t>
      </w:r>
      <w:r>
        <w:rPr>
          <w:rFonts w:ascii="arial" w:eastAsia="arial" w:hAnsi="arial" w:cs="arial"/>
          <w:color w:val="000000"/>
          <w:sz w:val="20"/>
          <w:lang w:val="en-US" w:eastAsia="en-US" w:bidi="ar-SA"/>
        </w:rPr>
        <w:t xml:space="preserve">, </w:t>
      </w:r>
      <w:hyperlink r:id="rId164" w:history="1">
        <w:r>
          <w:rPr>
            <w:rFonts w:ascii="arial" w:eastAsia="arial" w:hAnsi="arial" w:cs="arial"/>
            <w:i/>
            <w:color w:val="0077CC"/>
            <w:sz w:val="20"/>
            <w:u w:val="single"/>
            <w:shd w:val="clear" w:color="auto" w:fill="FFFFFF"/>
            <w:lang w:val="en-US" w:eastAsia="en-US" w:bidi="ar-SA"/>
          </w:rPr>
          <w:t>2007 BCSC 1023</w:t>
        </w:r>
      </w:hyperlink>
      <w:r>
        <w:rPr>
          <w:rFonts w:ascii="arial" w:eastAsia="arial" w:hAnsi="arial" w:cs="arial"/>
          <w:color w:val="000000"/>
          <w:sz w:val="20"/>
          <w:lang w:val="en-US" w:eastAsia="en-US" w:bidi="ar-SA"/>
        </w:rPr>
        <w:t xml:space="preserve"> at para. 134.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The plaintiff claims $150,000 is the appropriate non-pecuniary damage award in this case, citing the following cases for this proposition.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Zawadzki v. Calimoso</w:t>
      </w:r>
      <w:r>
        <w:rPr>
          <w:rFonts w:ascii="arial" w:eastAsia="arial" w:hAnsi="arial" w:cs="arial"/>
          <w:color w:val="000000"/>
          <w:sz w:val="20"/>
          <w:lang w:val="en-US" w:eastAsia="en-US" w:bidi="ar-SA"/>
        </w:rPr>
        <w:t xml:space="preserve">, </w:t>
      </w:r>
      <w:hyperlink r:id="rId165" w:history="1">
        <w:r>
          <w:rPr>
            <w:rFonts w:ascii="arial" w:eastAsia="arial" w:hAnsi="arial" w:cs="arial"/>
            <w:i/>
            <w:color w:val="0077CC"/>
            <w:sz w:val="20"/>
            <w:u w:val="single"/>
            <w:shd w:val="clear" w:color="auto" w:fill="FFFFFF"/>
            <w:lang w:val="en-US" w:eastAsia="en-US" w:bidi="ar-SA"/>
          </w:rPr>
          <w:t>2011 BCSC 45</w:t>
        </w:r>
      </w:hyperlink>
      <w:r>
        <w:rPr>
          <w:rFonts w:ascii="arial" w:eastAsia="arial" w:hAnsi="arial" w:cs="arial"/>
          <w:color w:val="000000"/>
          <w:sz w:val="20"/>
          <w:lang w:val="en-US" w:eastAsia="en-US" w:bidi="ar-SA"/>
        </w:rPr>
        <w:t>, a case where the pedestrian plaintiff was hit by a U-Haul truck. He suffered knee, rib and wrist injuries, which resolved a few months after the accident, as well as shoulder pain, which also eventually resolved. He continued to suffer elbow and lower back and headache pain as a result of the accident at the time of trial. He also said that the quality of his sleep had deteriorated, that he was depressed and anxious, and that he had undergone various personality changes due to the accident. He also abused alcohol in a manner he had not done so before the accident. The court awarded $180,000 in non-pecuniary damages, finding that the accident caused each of the plaintiff's above issues to some degree, except for his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I find that this case is on point in terms of both the physical and psychological injuries suffered as a result of the accident in question. While in that case, the plaintiff's ongoing accident-related injuries were in the elbow and lower back, and while in this case they are in the right knee and left foot and ankle, the injuries nonetheless share the quality of being permanent disabilities, which caused ongoing pain. The two cases most clearly coincide in terms of the plaintiff's depression and anxiety issues being aggravated by the accident, and the effect the plaintiff's addiction had on these psychological issues (even if, as I have found here, the plaintiff's addictions were not caused by the MVA). The ages of the two plaintiffs are also similar. Mr. Zawadzki was 44 years old at the time of trial, and approximately 37 at the time of the accident. This case is helpful in terms of determining the appropriate range of the non-pecuniary damage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Schucknecht v. Singh et al.</w:t>
      </w:r>
      <w:r>
        <w:rPr>
          <w:rFonts w:ascii="arial" w:eastAsia="arial" w:hAnsi="arial" w:cs="arial"/>
          <w:color w:val="000000"/>
          <w:sz w:val="20"/>
          <w:lang w:val="en-US" w:eastAsia="en-US" w:bidi="ar-SA"/>
        </w:rPr>
        <w:t xml:space="preserve">, </w:t>
      </w:r>
      <w:hyperlink r:id="rId166" w:history="1">
        <w:r>
          <w:rPr>
            <w:rFonts w:ascii="arial" w:eastAsia="arial" w:hAnsi="arial" w:cs="arial"/>
            <w:i/>
            <w:color w:val="0077CC"/>
            <w:sz w:val="20"/>
            <w:u w:val="single"/>
            <w:shd w:val="clear" w:color="auto" w:fill="FFFFFF"/>
            <w:lang w:val="en-US" w:eastAsia="en-US" w:bidi="ar-SA"/>
          </w:rPr>
          <w:t>2006 BCSC 1025</w:t>
        </w:r>
      </w:hyperlink>
      <w:r>
        <w:rPr>
          <w:rFonts w:ascii="arial" w:eastAsia="arial" w:hAnsi="arial" w:cs="arial"/>
          <w:color w:val="000000"/>
          <w:sz w:val="20"/>
          <w:lang w:val="en-US" w:eastAsia="en-US" w:bidi="ar-SA"/>
        </w:rPr>
        <w:t>, the plaintiff was approximately 29 years old at the time he was involved in a motorcycle accident, and was 35 at the time of trial. The Court found that the accident caused serious and permanent injuries to the plaintiff's left knee, left hip, and left ankle, as well as a fracture of the left tibia and left fibula. These permanent injuries caused the plaintiff additional back problems. The plaintiff had two ankle surgeries due to the accident, and it was likely he would require further surgery in the future, including hip replacement surgery. The accident also caused the plaintiff "profound" psychological injuries, including PTSD, depression and anxiety, and reduced cognitive functions. The court awarded $190,000 in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xml:space="preserve">  I find that the physical injuries in </w:t>
      </w:r>
      <w:r>
        <w:rPr>
          <w:rFonts w:ascii="arial" w:eastAsia="arial" w:hAnsi="arial" w:cs="arial"/>
          <w:i/>
          <w:color w:val="000000"/>
          <w:sz w:val="20"/>
          <w:lang w:val="en-US" w:eastAsia="en-US" w:bidi="ar-SA"/>
        </w:rPr>
        <w:t>Schucknecht</w:t>
      </w:r>
      <w:r>
        <w:rPr>
          <w:rFonts w:ascii="arial" w:eastAsia="arial" w:hAnsi="arial" w:cs="arial"/>
          <w:color w:val="000000"/>
          <w:sz w:val="20"/>
          <w:lang w:val="en-US" w:eastAsia="en-US" w:bidi="ar-SA"/>
        </w:rPr>
        <w:t xml:space="preserve"> were more severe than they are here as they permanently affected three separate areas, caused tibia and fibula fractures, and required multiple surgeries. While the analysis should not be reduced to a mathematical exercise, it must nonetheless be stated that in the present case the plaintiff has two permanent injuries (one of which being an aggravation of a pre- existing injury), has had one surgery due to the MVA, and other than the undisplaced intra articular talus fracture, did not otherwise break any bones in the accident. Furthermore, as I determined earlier, the plaintiff did not suffer from PTSD as the plaintiff did in </w:t>
      </w:r>
      <w:r>
        <w:rPr>
          <w:rFonts w:ascii="arial" w:eastAsia="arial" w:hAnsi="arial" w:cs="arial"/>
          <w:i/>
          <w:color w:val="000000"/>
          <w:sz w:val="20"/>
          <w:lang w:val="en-US" w:eastAsia="en-US" w:bidi="ar-SA"/>
        </w:rPr>
        <w:t>Schucknecht</w:t>
      </w:r>
      <w:r>
        <w:rPr>
          <w:rFonts w:ascii="arial" w:eastAsia="arial" w:hAnsi="arial" w:cs="arial"/>
          <w:color w:val="000000"/>
          <w:sz w:val="20"/>
          <w:lang w:val="en-US" w:eastAsia="en-US" w:bidi="ar-SA"/>
        </w:rPr>
        <w:t xml:space="preserve">. While that does not diminish the symptoms the plaintiff </w:t>
      </w:r>
      <w:r>
        <w:rPr>
          <w:rFonts w:ascii="arial" w:eastAsia="arial" w:hAnsi="arial" w:cs="arial"/>
          <w:i/>
          <w:color w:val="000000"/>
          <w:sz w:val="20"/>
          <w:lang w:val="en-US" w:eastAsia="en-US" w:bidi="ar-SA"/>
        </w:rPr>
        <w:t>did</w:t>
      </w:r>
      <w:r>
        <w:rPr>
          <w:rFonts w:ascii="arial" w:eastAsia="arial" w:hAnsi="arial" w:cs="arial"/>
          <w:color w:val="000000"/>
          <w:sz w:val="20"/>
          <w:lang w:val="en-US" w:eastAsia="en-US" w:bidi="ar-SA"/>
        </w:rPr>
        <w:t xml:space="preserve"> suffer from, insofar as the plaintiff in </w:t>
      </w:r>
      <w:r>
        <w:rPr>
          <w:rFonts w:ascii="arial" w:eastAsia="arial" w:hAnsi="arial" w:cs="arial"/>
          <w:i/>
          <w:color w:val="000000"/>
          <w:sz w:val="20"/>
          <w:lang w:val="en-US" w:eastAsia="en-US" w:bidi="ar-SA"/>
        </w:rPr>
        <w:t>Schucknecht</w:t>
      </w:r>
      <w:r>
        <w:rPr>
          <w:rFonts w:ascii="arial" w:eastAsia="arial" w:hAnsi="arial" w:cs="arial"/>
          <w:color w:val="000000"/>
          <w:sz w:val="20"/>
          <w:lang w:val="en-US" w:eastAsia="en-US" w:bidi="ar-SA"/>
        </w:rPr>
        <w:t xml:space="preserve"> was also diagnosed with depression and anxiety, the additional PTSD diagnosis does distinguish the cases. For these reasons, I find that </w:t>
      </w:r>
      <w:r>
        <w:rPr>
          <w:rFonts w:ascii="arial" w:eastAsia="arial" w:hAnsi="arial" w:cs="arial"/>
          <w:i/>
          <w:color w:val="000000"/>
          <w:sz w:val="20"/>
          <w:lang w:val="en-US" w:eastAsia="en-US" w:bidi="ar-SA"/>
        </w:rPr>
        <w:t>Schucknecht</w:t>
      </w:r>
      <w:r>
        <w:rPr>
          <w:rFonts w:ascii="arial" w:eastAsia="arial" w:hAnsi="arial" w:cs="arial"/>
          <w:color w:val="000000"/>
          <w:sz w:val="20"/>
          <w:lang w:val="en-US" w:eastAsia="en-US" w:bidi="ar-SA"/>
        </w:rPr>
        <w:t xml:space="preserve"> is not particularly helpful in terms of determining the appropriate non-pecuniary damage award range.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Larson v. Bahrami</w:t>
      </w:r>
      <w:r>
        <w:rPr>
          <w:rFonts w:ascii="arial" w:eastAsia="arial" w:hAnsi="arial" w:cs="arial"/>
          <w:color w:val="000000"/>
          <w:sz w:val="20"/>
          <w:lang w:val="en-US" w:eastAsia="en-US" w:bidi="ar-SA"/>
        </w:rPr>
        <w:t xml:space="preserve">, </w:t>
      </w:r>
      <w:hyperlink r:id="rId167" w:history="1">
        <w:r>
          <w:rPr>
            <w:rFonts w:ascii="arial" w:eastAsia="arial" w:hAnsi="arial" w:cs="arial"/>
            <w:i/>
            <w:color w:val="0077CC"/>
            <w:sz w:val="20"/>
            <w:u w:val="single"/>
            <w:shd w:val="clear" w:color="auto" w:fill="FFFFFF"/>
            <w:lang w:val="en-US" w:eastAsia="en-US" w:bidi="ar-SA"/>
          </w:rPr>
          <w:t>2017 BCSC 2308</w:t>
        </w:r>
      </w:hyperlink>
      <w:r>
        <w:rPr>
          <w:rFonts w:ascii="arial" w:eastAsia="arial" w:hAnsi="arial" w:cs="arial"/>
          <w:color w:val="000000"/>
          <w:sz w:val="20"/>
          <w:lang w:val="en-US" w:eastAsia="en-US" w:bidi="ar-SA"/>
        </w:rPr>
        <w:t xml:space="preserve">, the plaintiff suffered soft tissue injuries to his cervical, thoracic and lumbar spine as a result of accident, leaving him with stiffness in his neck and back, and with chronic pain, particularly in his neck, and to a lesser extent in his back. Activity, particularly the heavy physical demands of his job, exacerbated the pain and caused flare-ups. The court awarded $80,000 in non-pecuniary damages. While the plaintiff in </w:t>
      </w:r>
      <w:r>
        <w:rPr>
          <w:rFonts w:ascii="arial" w:eastAsia="arial" w:hAnsi="arial" w:cs="arial"/>
          <w:i/>
          <w:color w:val="000000"/>
          <w:sz w:val="20"/>
          <w:lang w:val="en-US" w:eastAsia="en-US" w:bidi="ar-SA"/>
        </w:rPr>
        <w:t>Larson</w:t>
      </w:r>
      <w:r>
        <w:rPr>
          <w:rFonts w:ascii="arial" w:eastAsia="arial" w:hAnsi="arial" w:cs="arial"/>
          <w:color w:val="000000"/>
          <w:sz w:val="20"/>
          <w:lang w:val="en-US" w:eastAsia="en-US" w:bidi="ar-SA"/>
        </w:rPr>
        <w:t xml:space="preserve"> worked in a remarkably similar position to the plaintiff as a waterfront trades foreman, the case is distinguishable on the grounds that the plaintiff in </w:t>
      </w:r>
      <w:r>
        <w:rPr>
          <w:rFonts w:ascii="arial" w:eastAsia="arial" w:hAnsi="arial" w:cs="arial"/>
          <w:i/>
          <w:color w:val="000000"/>
          <w:sz w:val="20"/>
          <w:lang w:val="en-US" w:eastAsia="en-US" w:bidi="ar-SA"/>
        </w:rPr>
        <w:t>Larson</w:t>
      </w:r>
      <w:r>
        <w:rPr>
          <w:rFonts w:ascii="arial" w:eastAsia="arial" w:hAnsi="arial" w:cs="arial"/>
          <w:color w:val="000000"/>
          <w:sz w:val="20"/>
          <w:lang w:val="en-US" w:eastAsia="en-US" w:bidi="ar-SA"/>
        </w:rPr>
        <w:t xml:space="preserve"> did not appear to suffer any psychological injuries due to the accident. For that reason, it is not a particularly helpful case in defining the appropriate non-pecuniary damage award range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The defendants claim $70,000-$100,000 is an appropriate non-pecuniary damage award "in all the circumstances". The defendants cite the following cases in defining their non-pecuniary damages range.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Picco v. British Columbia (Attorney General)</w:t>
      </w:r>
      <w:r>
        <w:rPr>
          <w:rFonts w:ascii="arial" w:eastAsia="arial" w:hAnsi="arial" w:cs="arial"/>
          <w:color w:val="000000"/>
          <w:sz w:val="20"/>
          <w:lang w:val="en-US" w:eastAsia="en-US" w:bidi="ar-SA"/>
        </w:rPr>
        <w:t xml:space="preserve">, </w:t>
      </w:r>
      <w:hyperlink r:id="rId168" w:history="1">
        <w:r>
          <w:rPr>
            <w:rFonts w:ascii="arial" w:eastAsia="arial" w:hAnsi="arial" w:cs="arial"/>
            <w:i/>
            <w:color w:val="0077CC"/>
            <w:sz w:val="20"/>
            <w:u w:val="single"/>
            <w:shd w:val="clear" w:color="auto" w:fill="FFFFFF"/>
            <w:lang w:val="en-US" w:eastAsia="en-US" w:bidi="ar-SA"/>
          </w:rPr>
          <w:t>2015 BCSC 1904</w:t>
        </w:r>
      </w:hyperlink>
      <w:r>
        <w:rPr>
          <w:rFonts w:ascii="arial" w:eastAsia="arial" w:hAnsi="arial" w:cs="arial"/>
          <w:color w:val="000000"/>
          <w:sz w:val="20"/>
          <w:lang w:val="en-US" w:eastAsia="en-US" w:bidi="ar-SA"/>
        </w:rPr>
        <w:t>, the plaintiff became addicted to heroin after his accident. The Court concluded that the plaintiff's addiction was caused or contributed to by chronic pain and trauma arising from accident injuries, while also holding that the plaintiff would have experienced a reoccurrence of low back pain irrespective of the accident. The court proceeded to take into account the negative contingency that the plaintiff would have developed or relapsed into addiction regardless of the addiction. The plaintiff's $80,000 non-pecuniary damages award was augmented by $10,000 for his heroin addiction following the MVA taking into account the contingency he would have become addicted anyway.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xml:space="preserve">  While </w:t>
      </w:r>
      <w:r>
        <w:rPr>
          <w:rFonts w:ascii="arial" w:eastAsia="arial" w:hAnsi="arial" w:cs="arial"/>
          <w:i/>
          <w:color w:val="000000"/>
          <w:sz w:val="20"/>
          <w:lang w:val="en-US" w:eastAsia="en-US" w:bidi="ar-SA"/>
        </w:rPr>
        <w:t>Picco</w:t>
      </w:r>
      <w:r>
        <w:rPr>
          <w:rFonts w:ascii="arial" w:eastAsia="arial" w:hAnsi="arial" w:cs="arial"/>
          <w:color w:val="000000"/>
          <w:sz w:val="20"/>
          <w:lang w:val="en-US" w:eastAsia="en-US" w:bidi="ar-SA"/>
        </w:rPr>
        <w:t xml:space="preserve"> lines up in terms of the aggravated depression and anxiety issues caused by the accident, and its discussion of the effect increased addiction should have on an award, the physical injuries caused by the accident in that case were not as severe as those here. </w:t>
      </w:r>
      <w:r>
        <w:rPr>
          <w:rFonts w:ascii="arial" w:eastAsia="arial" w:hAnsi="arial" w:cs="arial"/>
          <w:i/>
          <w:color w:val="000000"/>
          <w:sz w:val="20"/>
          <w:lang w:val="en-US" w:eastAsia="en-US" w:bidi="ar-SA"/>
        </w:rPr>
        <w:t>Picco</w:t>
      </w:r>
      <w:r>
        <w:rPr>
          <w:rFonts w:ascii="arial" w:eastAsia="arial" w:hAnsi="arial" w:cs="arial"/>
          <w:color w:val="000000"/>
          <w:sz w:val="20"/>
          <w:lang w:val="en-US" w:eastAsia="en-US" w:bidi="ar-SA"/>
        </w:rPr>
        <w:t xml:space="preserve"> is of limited value in terms of determining the appropriate non-pecuniary damage award range. As I have found that the plaintiff's increased Percocet use has not caused any particularized further damage or injury to the plaintiff, such an increase cannot be equated to a fresh heroin addiction.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Verge v. Chan</w:t>
      </w:r>
      <w:r>
        <w:rPr>
          <w:rFonts w:ascii="arial" w:eastAsia="arial" w:hAnsi="arial" w:cs="arial"/>
          <w:color w:val="000000"/>
          <w:sz w:val="20"/>
          <w:lang w:val="en-US" w:eastAsia="en-US" w:bidi="ar-SA"/>
        </w:rPr>
        <w:t xml:space="preserve">, </w:t>
      </w:r>
      <w:hyperlink r:id="rId169" w:history="1">
        <w:r>
          <w:rPr>
            <w:rFonts w:ascii="arial" w:eastAsia="arial" w:hAnsi="arial" w:cs="arial"/>
            <w:i/>
            <w:color w:val="0077CC"/>
            <w:sz w:val="20"/>
            <w:u w:val="single"/>
            <w:shd w:val="clear" w:color="auto" w:fill="FFFFFF"/>
            <w:lang w:val="en-US" w:eastAsia="en-US" w:bidi="ar-SA"/>
          </w:rPr>
          <w:t>2012 BCSC 876</w:t>
        </w:r>
      </w:hyperlink>
      <w:r>
        <w:rPr>
          <w:rFonts w:ascii="arial" w:eastAsia="arial" w:hAnsi="arial" w:cs="arial"/>
          <w:color w:val="000000"/>
          <w:sz w:val="20"/>
          <w:lang w:val="en-US" w:eastAsia="en-US" w:bidi="ar-SA"/>
        </w:rPr>
        <w:t>, the plaintiff suffered soft tissue injuries to her neck and back, a fractured right talus, bruising to and pain in her chest, pain in her left shoulder and pain in both knees and hip as a result of a MVA. She was 34 years old at the time of the accident, and 39 at the time of trial. She alleged that she had ongoing pain in her ankle, left shoulder, hips and both knees at trial. Her ankle was unstable especially when walking on uneven ground. The plaintiff drank 4-5 glasses of rum a day to relieve her pain and to help her fall asleep. She failed to pursue recommended psychiatric treatment. The court accepted that the plaintiff suffered these injuries, and that she developed PTSD and depression following the MVA. She was awarded non-pecuniary damages in the amount of $125,000 with no discount as the court rejected the defendant's failure to mitigate argument. This case is on point, save for the PTSD diagnosis and the mitigation issue, and is helpful in terms of determining the appropriate non-pecuniary damage award range.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Reddy v. Staples</w:t>
      </w:r>
      <w:r>
        <w:rPr>
          <w:rFonts w:ascii="arial" w:eastAsia="arial" w:hAnsi="arial" w:cs="arial"/>
          <w:color w:val="000000"/>
          <w:sz w:val="20"/>
          <w:lang w:val="en-US" w:eastAsia="en-US" w:bidi="ar-SA"/>
        </w:rPr>
        <w:t xml:space="preserve">, </w:t>
      </w:r>
      <w:hyperlink r:id="rId170" w:history="1">
        <w:r>
          <w:rPr>
            <w:rFonts w:ascii="arial" w:eastAsia="arial" w:hAnsi="arial" w:cs="arial"/>
            <w:i/>
            <w:color w:val="0077CC"/>
            <w:sz w:val="20"/>
            <w:u w:val="single"/>
            <w:shd w:val="clear" w:color="auto" w:fill="FFFFFF"/>
            <w:lang w:val="en-US" w:eastAsia="en-US" w:bidi="ar-SA"/>
          </w:rPr>
          <w:t>2015 BCSC 87</w:t>
        </w:r>
      </w:hyperlink>
      <w:r>
        <w:rPr>
          <w:rFonts w:ascii="arial" w:eastAsia="arial" w:hAnsi="arial" w:cs="arial"/>
          <w:color w:val="000000"/>
          <w:sz w:val="20"/>
          <w:lang w:val="en-US" w:eastAsia="en-US" w:bidi="ar-SA"/>
        </w:rPr>
        <w:t xml:space="preserve">, the court awarded the 31-year-old plaintiff $80,000 having found that 85% of his ongoing right knee problems were the result of a car accident, and 15% were the result of pre-existing damage owing to a meniscal tear that would have required arthroscopic surgical repair regardless of the accident. Were this to have been the plaintiff's only injury in this case, </w:t>
      </w:r>
      <w:r>
        <w:rPr>
          <w:rFonts w:ascii="arial" w:eastAsia="arial" w:hAnsi="arial" w:cs="arial"/>
          <w:i/>
          <w:color w:val="000000"/>
          <w:sz w:val="20"/>
          <w:lang w:val="en-US" w:eastAsia="en-US" w:bidi="ar-SA"/>
        </w:rPr>
        <w:t>Reddy</w:t>
      </w:r>
      <w:r>
        <w:rPr>
          <w:rFonts w:ascii="arial" w:eastAsia="arial" w:hAnsi="arial" w:cs="arial"/>
          <w:color w:val="000000"/>
          <w:sz w:val="20"/>
          <w:lang w:val="en-US" w:eastAsia="en-US" w:bidi="ar-SA"/>
        </w:rPr>
        <w:t xml:space="preserve"> would apply. However, the right knee is not the plaintiff's only injury. As such, I do not find </w:t>
      </w:r>
      <w:r>
        <w:rPr>
          <w:rFonts w:ascii="arial" w:eastAsia="arial" w:hAnsi="arial" w:cs="arial"/>
          <w:i/>
          <w:color w:val="000000"/>
          <w:sz w:val="20"/>
          <w:lang w:val="en-US" w:eastAsia="en-US" w:bidi="ar-SA"/>
        </w:rPr>
        <w:t>Reddy</w:t>
      </w:r>
      <w:r>
        <w:rPr>
          <w:rFonts w:ascii="arial" w:eastAsia="arial" w:hAnsi="arial" w:cs="arial"/>
          <w:color w:val="000000"/>
          <w:sz w:val="20"/>
          <w:lang w:val="en-US" w:eastAsia="en-US" w:bidi="ar-SA"/>
        </w:rPr>
        <w:t xml:space="preserve"> to be of much assistance, save for the principle that a discount to non-pecuniary damages may be given for any pre-existing damage or injury not caused by the accident. </w:t>
      </w:r>
      <w:r>
        <w:rPr>
          <w:rFonts w:ascii="arial" w:eastAsia="arial" w:hAnsi="arial" w:cs="arial"/>
          <w:i/>
          <w:color w:val="000000"/>
          <w:sz w:val="20"/>
          <w:lang w:val="en-US" w:eastAsia="en-US" w:bidi="ar-SA"/>
        </w:rPr>
        <w:t>Reddy</w:t>
      </w:r>
      <w:r>
        <w:rPr>
          <w:rFonts w:ascii="arial" w:eastAsia="arial" w:hAnsi="arial" w:cs="arial"/>
          <w:color w:val="000000"/>
          <w:sz w:val="20"/>
          <w:lang w:val="en-US" w:eastAsia="en-US" w:bidi="ar-SA"/>
        </w:rPr>
        <w:t xml:space="preserve"> will not factor into defining the appropriate range of non- 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Pipe v. Dusome</w:t>
      </w:r>
      <w:r>
        <w:rPr>
          <w:rFonts w:ascii="arial" w:eastAsia="arial" w:hAnsi="arial" w:cs="arial"/>
          <w:color w:val="000000"/>
          <w:sz w:val="20"/>
          <w:lang w:val="en-US" w:eastAsia="en-US" w:bidi="ar-SA"/>
        </w:rPr>
        <w:t xml:space="preserve">, </w:t>
      </w:r>
      <w:hyperlink r:id="rId171" w:history="1">
        <w:r>
          <w:rPr>
            <w:rFonts w:ascii="arial" w:eastAsia="arial" w:hAnsi="arial" w:cs="arial"/>
            <w:i/>
            <w:color w:val="0077CC"/>
            <w:sz w:val="20"/>
            <w:u w:val="single"/>
            <w:shd w:val="clear" w:color="auto" w:fill="FFFFFF"/>
            <w:lang w:val="en-US" w:eastAsia="en-US" w:bidi="ar-SA"/>
          </w:rPr>
          <w:t>2007 BCSC 1066</w:t>
        </w:r>
      </w:hyperlink>
      <w:r>
        <w:rPr>
          <w:rFonts w:ascii="arial" w:eastAsia="arial" w:hAnsi="arial" w:cs="arial"/>
          <w:color w:val="000000"/>
          <w:sz w:val="20"/>
          <w:lang w:val="en-US" w:eastAsia="en-US" w:bidi="ar-SA"/>
        </w:rPr>
        <w:t xml:space="preserve">, while the plaintiff suffered from many of the same pre-existing injuries as the plaintiff does here, he did not suffer any fresh injuries other than mild post-traumatic shock. The court further found that the only aggravation of a pre-existing injury attributable to the accident, a deep laceration to the tibial vessel of the right knee, fell into the crumbling skull category: the plaintiff would have eventually experienced pain and disability in the right ankle regardless of the accident due to his pre-existing injury. This is unlike the present case where there is a significant, long-term fresh injury--the left foot and ankle--and several aggravations of pre-existing injuries I have found do not fall into the crumbling skull category. </w:t>
      </w:r>
      <w:r>
        <w:rPr>
          <w:rFonts w:ascii="arial" w:eastAsia="arial" w:hAnsi="arial" w:cs="arial"/>
          <w:i/>
          <w:color w:val="000000"/>
          <w:sz w:val="20"/>
          <w:lang w:val="en-US" w:eastAsia="en-US" w:bidi="ar-SA"/>
        </w:rPr>
        <w:t>Pipe</w:t>
      </w:r>
      <w:r>
        <w:rPr>
          <w:rFonts w:ascii="arial" w:eastAsia="arial" w:hAnsi="arial" w:cs="arial"/>
          <w:color w:val="000000"/>
          <w:sz w:val="20"/>
          <w:lang w:val="en-US" w:eastAsia="en-US" w:bidi="ar-SA"/>
        </w:rPr>
        <w:t xml:space="preserve"> is distinguishable on these grounds, and is not helpful otherwise. </w:t>
      </w:r>
      <w:r>
        <w:rPr>
          <w:rFonts w:ascii="arial" w:eastAsia="arial" w:hAnsi="arial" w:cs="arial"/>
          <w:i/>
          <w:color w:val="000000"/>
          <w:sz w:val="20"/>
          <w:lang w:val="en-US" w:eastAsia="en-US" w:bidi="ar-SA"/>
        </w:rPr>
        <w:t>Pipe</w:t>
      </w:r>
      <w:r>
        <w:rPr>
          <w:rFonts w:ascii="arial" w:eastAsia="arial" w:hAnsi="arial" w:cs="arial"/>
          <w:color w:val="000000"/>
          <w:sz w:val="20"/>
          <w:lang w:val="en-US" w:eastAsia="en-US" w:bidi="ar-SA"/>
        </w:rPr>
        <w:t xml:space="preserve"> will not factor into defining the appropriate range of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xml:space="preserve">  In conclusion, I find that the two most applicable cases, </w:t>
      </w:r>
      <w:r>
        <w:rPr>
          <w:rFonts w:ascii="arial" w:eastAsia="arial" w:hAnsi="arial" w:cs="arial"/>
          <w:i/>
          <w:color w:val="000000"/>
          <w:sz w:val="20"/>
          <w:lang w:val="en-US" w:eastAsia="en-US" w:bidi="ar-SA"/>
        </w:rPr>
        <w:t>Zawadzki</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Verge</w:t>
      </w:r>
      <w:r>
        <w:rPr>
          <w:rFonts w:ascii="arial" w:eastAsia="arial" w:hAnsi="arial" w:cs="arial"/>
          <w:color w:val="000000"/>
          <w:sz w:val="20"/>
          <w:lang w:val="en-US" w:eastAsia="en-US" w:bidi="ar-SA"/>
        </w:rPr>
        <w:t>, generate a range of non-pecuniary damages from $125,000-$180,000. I have considered the passage of time since these decisions were made in my analysis. I find that an award of $150,000 for non-pecuniary damages would be appropriate.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Did the Plaintiff Fail to Mitigate his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Morgan v. Galbraith</w:t>
      </w:r>
      <w:r>
        <w:rPr>
          <w:rFonts w:ascii="arial" w:eastAsia="arial" w:hAnsi="arial" w:cs="arial"/>
          <w:color w:val="000000"/>
          <w:sz w:val="20"/>
          <w:lang w:val="en-US" w:eastAsia="en-US" w:bidi="ar-SA"/>
        </w:rPr>
        <w:t xml:space="preserve">, </w:t>
      </w:r>
      <w:hyperlink r:id="rId172" w:history="1">
        <w:r>
          <w:rPr>
            <w:rFonts w:ascii="arial" w:eastAsia="arial" w:hAnsi="arial" w:cs="arial"/>
            <w:i/>
            <w:color w:val="0077CC"/>
            <w:sz w:val="20"/>
            <w:u w:val="single"/>
            <w:shd w:val="clear" w:color="auto" w:fill="FFFFFF"/>
            <w:lang w:val="en-US" w:eastAsia="en-US" w:bidi="ar-SA"/>
          </w:rPr>
          <w:t>2013 BCCA 305</w:t>
        </w:r>
      </w:hyperlink>
      <w:r>
        <w:rPr>
          <w:rFonts w:ascii="arial" w:eastAsia="arial" w:hAnsi="arial" w:cs="arial"/>
          <w:color w:val="000000"/>
          <w:sz w:val="20"/>
          <w:lang w:val="en-US" w:eastAsia="en-US" w:bidi="ar-SA"/>
        </w:rPr>
        <w:t xml:space="preserve"> at para. 78, the Court of Appeal affirmed </w:t>
      </w:r>
      <w:r>
        <w:rPr>
          <w:rFonts w:ascii="arial" w:eastAsia="arial" w:hAnsi="arial" w:cs="arial"/>
          <w:i/>
          <w:color w:val="000000"/>
          <w:sz w:val="20"/>
          <w:lang w:val="en-US" w:eastAsia="en-US" w:bidi="ar-SA"/>
        </w:rPr>
        <w:t>Chiu v. Chiu</w:t>
      </w:r>
      <w:r>
        <w:rPr>
          <w:rFonts w:ascii="arial" w:eastAsia="arial" w:hAnsi="arial" w:cs="arial"/>
          <w:color w:val="000000"/>
          <w:sz w:val="20"/>
          <w:lang w:val="en-US" w:eastAsia="en-US" w:bidi="ar-SA"/>
        </w:rPr>
        <w:t xml:space="preserve">, </w:t>
      </w:r>
      <w:hyperlink r:id="rId87" w:history="1">
        <w:r>
          <w:rPr>
            <w:rFonts w:ascii="arial" w:eastAsia="arial" w:hAnsi="arial" w:cs="arial"/>
            <w:i/>
            <w:color w:val="0077CC"/>
            <w:sz w:val="20"/>
            <w:u w:val="single"/>
            <w:shd w:val="clear" w:color="auto" w:fill="FFFFFF"/>
            <w:lang w:val="en-US" w:eastAsia="en-US" w:bidi="ar-SA"/>
          </w:rPr>
          <w:t>2002 BCCA 618</w:t>
        </w:r>
      </w:hyperlink>
      <w:r>
        <w:rPr>
          <w:rFonts w:ascii="arial" w:eastAsia="arial" w:hAnsi="arial" w:cs="arial"/>
          <w:color w:val="000000"/>
          <w:sz w:val="20"/>
          <w:lang w:val="en-US" w:eastAsia="en-US" w:bidi="ar-SA"/>
        </w:rPr>
        <w:t xml:space="preserve"> as the "guiding authority" on the question of mitigation. In </w:t>
      </w:r>
      <w:r>
        <w:rPr>
          <w:rFonts w:ascii="arial" w:eastAsia="arial" w:hAnsi="arial" w:cs="arial"/>
          <w:i/>
          <w:color w:val="000000"/>
          <w:sz w:val="20"/>
          <w:lang w:val="en-US" w:eastAsia="en-US" w:bidi="ar-SA"/>
        </w:rPr>
        <w:t>Chiu</w:t>
      </w:r>
      <w:r>
        <w:rPr>
          <w:rFonts w:ascii="arial" w:eastAsia="arial" w:hAnsi="arial" w:cs="arial"/>
          <w:color w:val="000000"/>
          <w:sz w:val="20"/>
          <w:lang w:val="en-US" w:eastAsia="en-US" w:bidi="ar-SA"/>
        </w:rPr>
        <w:t>,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[57] The onus is on the defendant to prove that the plaintiff could have avoided all or a portion of his loss. In a personal injury case in which the plaintiff has not pursued a course of medical treatment recommended to him by doctors, the defendant must prove two things: (1) that the plaintiff acted unreasonably in eschewing the recommended treatment, and (2) the extent, if any, to which the plaintiff's damages would have been reduced had he acted reasonably.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Gregory v. Insurance Corporation of British Columbia</w:t>
      </w:r>
      <w:r>
        <w:rPr>
          <w:rFonts w:ascii="arial" w:eastAsia="arial" w:hAnsi="arial" w:cs="arial"/>
          <w:color w:val="000000"/>
          <w:sz w:val="20"/>
          <w:lang w:val="en-US" w:eastAsia="en-US" w:bidi="ar-SA"/>
        </w:rPr>
        <w:t xml:space="preserve">, </w:t>
      </w:r>
      <w:hyperlink r:id="rId39" w:history="1">
        <w:r>
          <w:rPr>
            <w:rFonts w:ascii="arial" w:eastAsia="arial" w:hAnsi="arial" w:cs="arial"/>
            <w:i/>
            <w:color w:val="0077CC"/>
            <w:sz w:val="20"/>
            <w:u w:val="single"/>
            <w:shd w:val="clear" w:color="auto" w:fill="FFFFFF"/>
            <w:lang w:val="en-US" w:eastAsia="en-US" w:bidi="ar-SA"/>
          </w:rPr>
          <w:t>2011 BCCA 144</w:t>
        </w:r>
      </w:hyperlink>
      <w:r>
        <w:rPr>
          <w:rFonts w:ascii="arial" w:eastAsia="arial" w:hAnsi="arial" w:cs="arial"/>
          <w:color w:val="000000"/>
          <w:sz w:val="20"/>
          <w:lang w:val="en-US" w:eastAsia="en-US" w:bidi="ar-SA"/>
        </w:rPr>
        <w:t>, a case where the allegation of failing to mitigate involved a refusal to undergo cortisone injection treatment, the court said that it: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[56] ... would describe the mitigation test as a subjective/objective test. That is whether the reasonable patient, having all the information at hand that the plaintiff possessed, ought reasonably to have undergone the recommended treatment. The second aspect of the test is "the extent, if any to which the plaintiff's damages </w:t>
      </w:r>
      <w:r>
        <w:rPr>
          <w:rFonts w:ascii="arial" w:eastAsia="arial" w:hAnsi="arial" w:cs="arial"/>
          <w:color w:val="000000"/>
          <w:sz w:val="20"/>
          <w:u w:val="single"/>
          <w:lang w:val="en-US" w:eastAsia="en-US" w:bidi="ar-SA"/>
        </w:rPr>
        <w:t>would have been reduced</w:t>
      </w:r>
      <w:r>
        <w:rPr>
          <w:rFonts w:ascii="arial" w:eastAsia="arial" w:hAnsi="arial" w:cs="arial"/>
          <w:color w:val="000000"/>
          <w:sz w:val="20"/>
          <w:lang w:val="en-US" w:eastAsia="en-US" w:bidi="ar-SA"/>
        </w:rPr>
        <w:t>" by that treatment.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xml:space="preserve">  The defendants state that the plaintiff has not seen any psychologists, counsellors or recognized cognitive behaviour therapists post-MVA on an ongoing basis regarding his depression, anxiety or what he was told were PTSD issues, despite Drs. Golin, Spivak and Lu </w:t>
      </w:r>
      <w:r>
        <w:rPr>
          <w:rFonts w:ascii="arial" w:eastAsia="arial" w:hAnsi="arial" w:cs="arial"/>
          <w:color w:val="000000"/>
          <w:sz w:val="20"/>
          <w:u w:val="single"/>
          <w:lang w:val="en-US" w:eastAsia="en-US" w:bidi="ar-SA"/>
        </w:rPr>
        <w:t>all</w:t>
      </w:r>
      <w:r>
        <w:rPr>
          <w:rFonts w:ascii="arial" w:eastAsia="arial" w:hAnsi="arial" w:cs="arial"/>
          <w:color w:val="000000"/>
          <w:sz w:val="20"/>
          <w:lang w:val="en-US" w:eastAsia="en-US" w:bidi="ar-SA"/>
        </w:rPr>
        <w:t xml:space="preserve"> recommending some form of psychological counselling to help with his MVA-related injuries. Dr. Spivak testified that post-MVA, the plaintiff had not seen a psychologist for more than two appointments. I accept that the plaintiff acted unreasonably in ignoring the advice of three separate doctors, including his personal family doctor of more than 16 years, by not pursuing any sustained psychological treatment for his MVA-related depression and anxiety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Furthermore, the defendants state that the plaintiff failed to mitigate his damages by failing to take steps to discontinue his post-MVA Percocet and cocaine use given that it was worsening the plaintiff's overall mental state, and possibly his perception of physical pain. Dr. Lu, on or about April 1, 2015, recommended that the plaintiff should have at least a few sessions with an addictions counsellor to help him sustain his efforts to stop substance abuse. The plaintiff did not follow through with the recommendation. As early as April 9, 2013, Dr. Golin advised the plaintiff to use pain killers only when he had severe pain, further encouraging him on or about July 1, 2013 to not take any further medications unless he was having significant pain. The plaintiff ignored this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xml:space="preserve">  While I find that the plaintiff was not </w:t>
      </w:r>
      <w:r>
        <w:rPr>
          <w:rFonts w:ascii="arial" w:eastAsia="arial" w:hAnsi="arial" w:cs="arial"/>
          <w:i/>
          <w:color w:val="000000"/>
          <w:sz w:val="20"/>
          <w:lang w:val="en-US" w:eastAsia="en-US" w:bidi="ar-SA"/>
        </w:rPr>
        <w:t>explicitly</w:t>
      </w:r>
      <w:r>
        <w:rPr>
          <w:rFonts w:ascii="arial" w:eastAsia="arial" w:hAnsi="arial" w:cs="arial"/>
          <w:color w:val="000000"/>
          <w:sz w:val="20"/>
          <w:lang w:val="en-US" w:eastAsia="en-US" w:bidi="ar-SA"/>
        </w:rPr>
        <w:t xml:space="preserve"> warned to discontinue the use of Percocet as part of a medically recommended course of treatment, until Dr. Lu did so on or about November 17, 2017--telling the plaintiff that narcotics can sensitize him to pain so he should stop using them--I am satisfied that, per </w:t>
      </w:r>
      <w:r>
        <w:rPr>
          <w:rFonts w:ascii="arial" w:eastAsia="arial" w:hAnsi="arial" w:cs="arial"/>
          <w:i/>
          <w:color w:val="000000"/>
          <w:sz w:val="20"/>
          <w:lang w:val="en-US" w:eastAsia="en-US" w:bidi="ar-SA"/>
        </w:rPr>
        <w:t>Gregory</w:t>
      </w:r>
      <w:r>
        <w:rPr>
          <w:rFonts w:ascii="arial" w:eastAsia="arial" w:hAnsi="arial" w:cs="arial"/>
          <w:color w:val="000000"/>
          <w:sz w:val="20"/>
          <w:lang w:val="en-US" w:eastAsia="en-US" w:bidi="ar-SA"/>
        </w:rPr>
        <w:t>, a reasonable patient, having all the information at hand that the plaintiff possessed, ought reasonably to have undergone the recommended treatment route of stopping his Percocet use. To his credit, all the available evidence is that the plaintiff stopped using cocaine in or around January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The plaintiff's argument that he was acting reasonably in preferring his Percocet and cocaine self-medication and in rejecting the recommendations to seek psychiatric help is rejected.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First, this course of self-medication was contrary to Dr. Golin's recommendation. Second, there was no evidence as to the efficacy, let alone any medical merit, of this course of action. Third, while the plaintiff may well have a well- founded and fully self-justified distrust of psychiatrists and the institution of psychiatry due to his personal history, it would be self-serving in the extreme to claim that due to this distrust one could not seek appropriate and recommended help. While the defendants have the burden of demonstrating reasonable mitigation efforts were not taken, this lack of seeking appropriate, recommended help meets that burden.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xml:space="preserve">  Accordingly, the defendants have made out the first step of the </w:t>
      </w:r>
      <w:r>
        <w:rPr>
          <w:rFonts w:ascii="arial" w:eastAsia="arial" w:hAnsi="arial" w:cs="arial"/>
          <w:i/>
          <w:color w:val="000000"/>
          <w:sz w:val="20"/>
          <w:lang w:val="en-US" w:eastAsia="en-US" w:bidi="ar-SA"/>
        </w:rPr>
        <w:t>Chiu</w:t>
      </w:r>
      <w:r>
        <w:rPr>
          <w:rFonts w:ascii="arial" w:eastAsia="arial" w:hAnsi="arial" w:cs="arial"/>
          <w:color w:val="000000"/>
          <w:sz w:val="20"/>
          <w:lang w:val="en-US" w:eastAsia="en-US" w:bidi="ar-SA"/>
        </w:rPr>
        <w:t xml:space="preserve"> test: the plaintiff has failed to mitigate his mental health damages by unreasonably avoiding recommended psychological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xml:space="preserve">  As for the second step of the </w:t>
      </w:r>
      <w:r>
        <w:rPr>
          <w:rFonts w:ascii="arial" w:eastAsia="arial" w:hAnsi="arial" w:cs="arial"/>
          <w:i/>
          <w:color w:val="000000"/>
          <w:sz w:val="20"/>
          <w:lang w:val="en-US" w:eastAsia="en-US" w:bidi="ar-SA"/>
        </w:rPr>
        <w:t>Chiu</w:t>
      </w:r>
      <w:r>
        <w:rPr>
          <w:rFonts w:ascii="arial" w:eastAsia="arial" w:hAnsi="arial" w:cs="arial"/>
          <w:color w:val="000000"/>
          <w:sz w:val="20"/>
          <w:lang w:val="en-US" w:eastAsia="en-US" w:bidi="ar-SA"/>
        </w:rPr>
        <w:t xml:space="preserve"> test, the defendants submit that the plaintiff's damages would have been reduced had he acted reasonably, asking the court to reduce any award for non-pecuniary damages by 25%. To what extent a deduction from the award in this case may be justified requires looking at relevant case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Zawadzki</w:t>
      </w:r>
      <w:r>
        <w:rPr>
          <w:rFonts w:ascii="arial" w:eastAsia="arial" w:hAnsi="arial" w:cs="arial"/>
          <w:color w:val="000000"/>
          <w:sz w:val="20"/>
          <w:lang w:val="en-US" w:eastAsia="en-US" w:bidi="ar-SA"/>
        </w:rPr>
        <w:t>, cited above, the plaintiff's failure to seek help for his mood disorders and alcohol addiction led to a 20% reduction of the non-pecuniary damages award. In doing so, Mr. Justice Voith commented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[171] In addressing the question of mitigation, it is important to recognize that a significant subset of Mr. Zawadzki's difficulties would not be impacted by any such mitigation. This includes his loss of the work he enjoyed, a loss of self-esteem, loss of ability to participate in a wide-range of activities and some resulting loss of social interaction.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[172] The remaining problems of ongoing depression and anxiety, sleep disorder, anger and alcohol abuse could have been ameliorated. So too, at least to some extent, could Mr. Zawadzki's cognitive impairment. I have earlier commented on the difficulties associated with quantifying any such potential benefit.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[173] ... Quite apart from any alcohol issues, Mr. Zawadzki would struggle with each of the physical and psychological problems I described. The dramatic changes to his work, recreation and social life would exist. At the same time, his severe alcohol addiction has exacerbated some of his existing psychological difficulties. In particular, it has likely intensified his depression and anxiety, and worsened his cognitive impairment.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While this discussion was in the context of alcohol addiction, the general principle that the court ought to be mindful of the effects addiction may have on other injuries--as well as the limits to which the addiction had such effect--is applicable.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Picco</w:t>
      </w:r>
      <w:r>
        <w:rPr>
          <w:rFonts w:ascii="arial" w:eastAsia="arial" w:hAnsi="arial" w:cs="arial"/>
          <w:color w:val="000000"/>
          <w:sz w:val="20"/>
          <w:lang w:val="en-US" w:eastAsia="en-US" w:bidi="ar-SA"/>
        </w:rPr>
        <w:t xml:space="preserve">, cited above, the non-pecuniary damage award was reduced by 20% as the plaintiff failed to mitigate his damages by not pursuing medical treatment that likely would have proved beneficial for his recovery; not fully following a recommended course of physical rehabilitation regimen; and declining to pursue a doctor's recommendation for injection treatment, instead opting for surgery "based on his own Internet research and his mother's advice" (see para. 187). While the plaintiff in </w:t>
      </w:r>
      <w:r>
        <w:rPr>
          <w:rFonts w:ascii="arial" w:eastAsia="arial" w:hAnsi="arial" w:cs="arial"/>
          <w:i/>
          <w:color w:val="000000"/>
          <w:sz w:val="20"/>
          <w:lang w:val="en-US" w:eastAsia="en-US" w:bidi="ar-SA"/>
        </w:rPr>
        <w:t>Picco</w:t>
      </w:r>
      <w:r>
        <w:rPr>
          <w:rFonts w:ascii="arial" w:eastAsia="arial" w:hAnsi="arial" w:cs="arial"/>
          <w:color w:val="000000"/>
          <w:sz w:val="20"/>
          <w:lang w:val="en-US" w:eastAsia="en-US" w:bidi="ar-SA"/>
        </w:rPr>
        <w:t xml:space="preserve"> was ignoring both psychological and physical treatment recommendations, the two cases share the similarity of a plaintiff ignoring multiple treatment recommendations.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Smaill v. Williams</w:t>
      </w:r>
      <w:r>
        <w:rPr>
          <w:rFonts w:ascii="arial" w:eastAsia="arial" w:hAnsi="arial" w:cs="arial"/>
          <w:color w:val="000000"/>
          <w:sz w:val="20"/>
          <w:lang w:val="en-US" w:eastAsia="en-US" w:bidi="ar-SA"/>
        </w:rPr>
        <w:t xml:space="preserve">, </w:t>
      </w:r>
      <w:hyperlink r:id="rId173" w:history="1">
        <w:r>
          <w:rPr>
            <w:rFonts w:ascii="arial" w:eastAsia="arial" w:hAnsi="arial" w:cs="arial"/>
            <w:i/>
            <w:color w:val="0077CC"/>
            <w:sz w:val="20"/>
            <w:u w:val="single"/>
            <w:shd w:val="clear" w:color="auto" w:fill="FFFFFF"/>
            <w:lang w:val="en-US" w:eastAsia="en-US" w:bidi="ar-SA"/>
          </w:rPr>
          <w:t>2010 BCSC 73</w:t>
        </w:r>
      </w:hyperlink>
      <w:r>
        <w:rPr>
          <w:rFonts w:ascii="arial" w:eastAsia="arial" w:hAnsi="arial" w:cs="arial"/>
          <w:color w:val="000000"/>
          <w:sz w:val="20"/>
          <w:lang w:val="en-US" w:eastAsia="en-US" w:bidi="ar-SA"/>
        </w:rPr>
        <w:t>, the plaintiff's post-incident drug abuse interfered with his recovery. This amounted to a failure to mitigate, and the total damage award was reduced by 20%: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[77] ... Aside from the suggestion that the plaintiff may already have been abusing drugs at the time of the accident, the drugs the plaintiff was using post-accident were not prescribed to him, but were purchased from a friend. The plaintiff knew or ought to have known there was an inherent risk in taking non-prescribed drugs. His drug abuse is not a result of the accident or the fault of the defendants and his use of non-prescription medications does amount to a failure to mitigate in these circumstances because it interfered generally with his recovery. There will be a general reduction of his damages by 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Baker v. Baker</w:t>
      </w:r>
      <w:r>
        <w:rPr>
          <w:rFonts w:ascii="arial" w:eastAsia="arial" w:hAnsi="arial" w:cs="arial"/>
          <w:color w:val="000000"/>
          <w:sz w:val="20"/>
          <w:lang w:val="en-US" w:eastAsia="en-US" w:bidi="ar-SA"/>
        </w:rPr>
        <w:t xml:space="preserve">, </w:t>
      </w:r>
      <w:hyperlink r:id="rId174" w:history="1">
        <w:r>
          <w:rPr>
            <w:rFonts w:ascii="arial" w:eastAsia="arial" w:hAnsi="arial" w:cs="arial"/>
            <w:i/>
            <w:color w:val="0077CC"/>
            <w:sz w:val="20"/>
            <w:u w:val="single"/>
            <w:shd w:val="clear" w:color="auto" w:fill="FFFFFF"/>
            <w:lang w:val="en-US" w:eastAsia="en-US" w:bidi="ar-SA"/>
          </w:rPr>
          <w:t>[1997] B.C.J. No. 827</w:t>
        </w:r>
      </w:hyperlink>
      <w:r>
        <w:rPr>
          <w:rFonts w:ascii="arial" w:eastAsia="arial" w:hAnsi="arial" w:cs="arial"/>
          <w:color w:val="000000"/>
          <w:sz w:val="20"/>
          <w:lang w:val="en-US" w:eastAsia="en-US" w:bidi="ar-SA"/>
        </w:rPr>
        <w:t xml:space="preserve"> (S.C.), the court reduced the plaintiff's non-pecuniary award and her damages for loss of future earning capacity by 20% for her unreasonable failure to attend psychological treatment for the significant emotional component of her chronic pain type syndrome.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xml:space="preserve">  As stated in </w:t>
      </w:r>
      <w:r>
        <w:rPr>
          <w:rFonts w:ascii="arial" w:eastAsia="arial" w:hAnsi="arial" w:cs="arial"/>
          <w:i/>
          <w:color w:val="000000"/>
          <w:sz w:val="20"/>
          <w:lang w:val="en-US" w:eastAsia="en-US" w:bidi="ar-SA"/>
        </w:rPr>
        <w:t>Fabretti v. Gill</w:t>
      </w:r>
      <w:r>
        <w:rPr>
          <w:rFonts w:ascii="arial" w:eastAsia="arial" w:hAnsi="arial" w:cs="arial"/>
          <w:color w:val="000000"/>
          <w:sz w:val="20"/>
          <w:lang w:val="en-US" w:eastAsia="en-US" w:bidi="ar-SA"/>
        </w:rPr>
        <w:t xml:space="preserve">, </w:t>
      </w:r>
      <w:hyperlink r:id="rId175" w:history="1">
        <w:r>
          <w:rPr>
            <w:rFonts w:ascii="arial" w:eastAsia="arial" w:hAnsi="arial" w:cs="arial"/>
            <w:i/>
            <w:color w:val="0077CC"/>
            <w:sz w:val="20"/>
            <w:u w:val="single"/>
            <w:shd w:val="clear" w:color="auto" w:fill="FFFFFF"/>
            <w:lang w:val="en-US" w:eastAsia="en-US" w:bidi="ar-SA"/>
          </w:rPr>
          <w:t>2014 BCSC 899</w:t>
        </w:r>
      </w:hyperlink>
      <w:r>
        <w:rPr>
          <w:rFonts w:ascii="arial" w:eastAsia="arial" w:hAnsi="arial" w:cs="arial"/>
          <w:color w:val="000000"/>
          <w:sz w:val="20"/>
          <w:lang w:val="en-US" w:eastAsia="en-US" w:bidi="ar-SA"/>
        </w:rPr>
        <w:t xml:space="preserve"> at para. 76: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It is axiomatic that chronic pain, efforts at self-medication for reasons such as physical pain or emotional stress and drug addiction are likely to either cause or exacerbate problems in psychological adjustment and learning, and thereby alter an individual's life trajectory.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xml:space="preserve">  In my view, the defendants have made out the second step of the </w:t>
      </w:r>
      <w:r>
        <w:rPr>
          <w:rFonts w:ascii="arial" w:eastAsia="arial" w:hAnsi="arial" w:cs="arial"/>
          <w:i/>
          <w:color w:val="000000"/>
          <w:sz w:val="20"/>
          <w:lang w:val="en-US" w:eastAsia="en-US" w:bidi="ar-SA"/>
        </w:rPr>
        <w:t>Chiu</w:t>
      </w:r>
      <w:r>
        <w:rPr>
          <w:rFonts w:ascii="arial" w:eastAsia="arial" w:hAnsi="arial" w:cs="arial"/>
          <w:color w:val="000000"/>
          <w:sz w:val="20"/>
          <w:lang w:val="en-US" w:eastAsia="en-US" w:bidi="ar-SA"/>
        </w:rPr>
        <w:t xml:space="preserve"> test. The question of whether the plaintiff's self-medication and reluctance to see a psychologist for his mental health issues impacted the damages the plaintiff suffered is answered in the affirmative. It is not the court's role to comment on the legality of the plaintiff's self-medication, or the reasonableness of his distrust for psychologists, but to assess the deleterious consequences of these actions and apply the appropriate reduction of the plaintiff's non-pecuniary damages accordingly.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Given the above cases, a 20% reduction is appropriate given the plaintiff's failure to pursue any psychological counselling, as recommended to him by three separate doctors, and by failing to at least take steps towards dealing with his Percocet and cocaine addiction as it impacted his physical and psychological MVA injuries, as recommended to him by Dr. Lu--and implied to him by Dr. Golin--and as a reasonable person would have given all the information the plaintiff had on hand might have been expected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The total non-pecuniary damage award is $120,000 after a 20% reduction for a failure to mitigate.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Loss of Income-Earning Potential: Past and Future</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The main contention between the parties, and the largest monetary claim in the plaintiff's action, is whether the plaintiff suffered past wage and future earning capacity losses by his inability to function as a ship foreman. The plaintiff alleges that but for the MVA, he would be able to regularly work as a ship foreman and be able to pick up more overtime shifts as a ship foreman. He was fully qualified and had the seniority for this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I find that several of the ship foreman's occupational requirements are incompatible with the plaintiff's MVA injuries. A ship foreman needs to constantly walk, often on unstable walking surfaces such as a ship deck. Both the plaintiff's knee and ankle injuries, as caused or aggravated by the MVA, make constant ambulation upon uneven surfaces unduly precarious. Further, to manoeuver around a ship, it is incumbent that a person be able to use a ladder. As the ship foreman must, as part of their job duties, circulate around the ship, the ship foreman must be able to use ladders. Both the plaintiff's ankle and knee preclude extended, repeated ladder use as his pain is aggravated by such use. As the plaintiff cannot use ladders or engage in sustained walking as required by the ship foreman position without great discomfort and pain, he is effectively barred from working in this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The plaintiff's right knee and left ankle injuries are not expected to resolve. No evidence was led by the defence as to the potential flexibility of the duties of a ship foreman position to accommodate the plaintiff. As such, given the nature of a ship's layout, walking on ship decks and using ladders will always be requirements of the job, making this job permanently unsuitable for the plaintiff from now until the time of retirement.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Compounding this are other physical components inherent in the position for which the plaintiff cannot readily undertake such as standing; shoulder reach; balancing; kneeling; bending; twisting; and lifting. While Ms. Beattie may not have tested every ship foreman job requirement in an on-the-job context, her FCE clearly states that the plaintiff was precluded from working in the ship foreman position in many discrete and significant ways.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The defendants, for their part, do not disagree that the plaintiff's ankle presents a barrier to working the ship foreman position. Their contention, rather, is that the plaintiff's pre-existing knee problems completely precluded him from working the ship foreman position. That is, his ankle injury and aggravated right knee issues presented no further barrier to the plaintiff's functional capacity that was not already present by virtue of the plaintiff's pre-existing knee injury. As this knee injury pre- existed his time at Fraser Surrey Docks, the plaintiff could not have worked as a ship foreman for Fraser Surrey Docks at any time during his employment there, MVA or not. As the defendants put the issue, the "uncontroverted" evidence is that that the plaintiff suffered from a pre-existing right knee problem that was "always" going to cause him ongoing pain and require surgery and preclude his long-term functioning as a ship foreman.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As I see the fundamental question: would the plaintiff have been able to work as a ship foreman but for the MVA, given his pre-existing knee injury? I accept, on a balance of probabilities that the plaintiff would have been able to work as a ship foreman but for the MVA, this injury notwithstanding. While there was evidence the plaintiff's knee injury caused the plaintiff to feel pain whenever he walked on uneven surfaces or climbed ladders, there is no evidence that the level of pain the plaintiff felt by way of this pre-existing knee injury would have effectively prevented him from doing the ship foreman job. He may have suffered some aches and pains in going about his duties, but that is not the same as not being able to do a job due to the pain that it causes, or it being medically recommended that he not do the job due to his injuries. In that way, the MVA pushed the plaintiff's injuries from what was arguably a bothersome level of pain while engaging in ship foreman duties to a debilitating-to-unbearable level of pain. In other words, from a "maybe not" to a "definitely never" in terms of working as a ship foreman.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In the event I am wrong, there is also the alleged stress of the ship foreman position to consider. The plaintiff alleges that the stress of the ship foreman position- -it being one with a heavier supervisory component overseeing approximately 100 longshoremen and 10 other foremen--would compound his chronic anxiety disorder. The defendants note that the plaintiff did work for 3 years after the MVA in a similar supervisory role to the ship foreman with no issues of stress arising. This appears to refer to the plaintiff working nearly 3 years at Ceres where he supervised 80-100 employees. As the defendants submitted in their closing arguments, far from affecting his ability to function in a high stress job, the plaintiff continued to perform well at this job, earn the respect of his colleagues and manage his career.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xml:space="preserve">  In the absence of any evidence as to what may have changed after those approximately 3 years at Ceres, it is difficult to reconcile the plaintiff being unable to cope with the stressors of the ship foreman position in his current mental state, despite being able to do in his previous position. There is no indication that the plaintiff's chronic anxiety, depression or mental health problems are worse now then they were the time he was in this supervisory role. While Dr. Golin stated that work as a supervisor or head foreman </w:t>
      </w:r>
      <w:r>
        <w:rPr>
          <w:rFonts w:ascii="arial" w:eastAsia="arial" w:hAnsi="arial" w:cs="arial"/>
          <w:i/>
          <w:color w:val="000000"/>
          <w:sz w:val="20"/>
          <w:lang w:val="en-US" w:eastAsia="en-US" w:bidi="ar-SA"/>
        </w:rPr>
        <w:t>could</w:t>
      </w:r>
      <w:r>
        <w:rPr>
          <w:rFonts w:ascii="arial" w:eastAsia="arial" w:hAnsi="arial" w:cs="arial"/>
          <w:color w:val="000000"/>
          <w:sz w:val="20"/>
          <w:lang w:val="en-US" w:eastAsia="en-US" w:bidi="ar-SA"/>
        </w:rPr>
        <w:t xml:space="preserve"> compound the plaintiff's anxiety in that it was a stressful job, he was the only doctor to so comment. Given the equivocal language offered by Dr. Golin, and the lack of any psychiatric expert commenting on the plaintiff's inability to deal with the stresses associated with the ship foreman position, I do not accede to the plaintiff's position that he could not work the ship foreman position due to his MVA-related psychological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Before going any further, one additional argument made by the plaintiff must be addressed. The plaintiff contends that the container gate foreman is a "light duty" position, and is not permanently available - the inference being that he may be demoted or transferred to another position. No evidence was led as to this assertion. Without any such evidence, I find that there is no reason to believe any such demotion, transfer or abolition of this container gate foreman position looms in the future - the plaintiff's employers are aware of his injuries, as well as the limitations arising from these injuries, and are under a duty to accommodate him. Given this duty to accommodate, it is reasonable to conclude that the plaintiff will remain in the container gate foreman position, or a suitable analog, as long as his injuries so dictate. The plaintiff's evidence, taken as its highest, is that these injuries will be present until retirement. Given this, the conclusion, barring any evidence to the contrary is that the plaintiff will at minimum remain in the container gate foreman position, or a suitable analog until the age of retirement, pegged as 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At all material times, the plaintiff was subject to the 2010-2018 BCMEA - ILWU Ship &amp; Dock Foreman Local 514 Collective Agreement (the "Collective Agreement"). Pursuant to Article 12(a) of the Collective Agreement, earning opportunities within a company are to be equalized "as far as practicable within each port area and department where the individual foremen possess comparable skills and experience". Accordingly, seniority does not determine a foreman's wage rate. Nor does the Collective Agreement contain a mechanism by which seniority operates in terms of job selection or bidding. For all intents and purposes, all foremen are created equal regardless of their seniority.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The plaintiff as well as several other witnesses called as foremen gave evidence to this effect. The distribution of work is equitable. Therefore, the fact that the plaintiff is less senior than all of the other foremen who gave evidence would not preclude him from earning as much as they did, or having less equal access to bid on and be awarded a ship foreman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The hourly straight time base rate of wages for all foreman is set out in Article 21(1)(b) of the Collective Agreement. Effective April 1, 2017 until March 31, 2018 that base rate of wage is $56.01.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While there is no difference in wages between the foreman positions in and of themselves, there is a wage difference when it comes to the particular shift the foreman may be required to work--be it day, night or graveyard--and the day they may be required to work--be it Monday to Friday, Saturday or Sunday. Day, night and graveyard shifts, are defined pursuant to Article 21(1)(a) of the Collective Agreement: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1:00 a.m. to 8:00 a.m. (Graveyard Shift)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8:00 a.m. to 4:30 p.m. (Day Shift)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8:00 a.m. to 5:00 p.m. (Day Shift - Coastwise Cruise Vessels Only)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4:30 p.m. to 1:00 a.m. (Night Shift)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5:00 p.m. to 1:00 a.m. (Night Shift - Coastwise Cruise Vessels Only)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The hourly shift rate structure is set out under Article 21 of the Collective Agreement. Recognized holidays aside--which are paid the same regardless of whether it is a day, night or graveyard shift ($112.02/hour in 2017)--a Monday to Friday day shift is the lowest hourly rate (the base rate of $56.01/hour in 2017), while a Sunday shift, be it day, night or graveyard shift, is the highest hourly rate ($89.62/hour in 2017).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Accordingly, while at first blush there is no difference in remuneration between any of the different foreman positions, in effect there will be such a difference depending on what shifts and on which days these different positions generally correspond to. A Monday to Friday day-shift position will be paid less than one involving night, graveyard, Saturday and/or Sunday shifts.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This analysis of the Collective Agreement helps give context to the plaintiff's claim that ship foremen get paid far more than container gate foremen. The plaintiff called three of his foreman colleagues to testify as to how foreman pay works, and the general duties associated with the ship foreman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Mr. Del Giglio testified that employment opportunities were equitable regardless of seniority. In his view, the foreman work available to the plaintiff was "unlimited". Mr. Casey Strain testified that there is more chance to "double" as a ship and dock foreman as compared to a container gate foreman, which is an 8:00 a.m. to 5:00 p.m. Mr. Leonard Wilson testified that the ship foreman position involves overseeing new people every day. He further explained that the dock foreman uses a pickup truck to do work so does not do as much walking. Mr. Wilson testified that the plaintiff was a good worker and was reliable.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The plaintiff compares his earning capacity as against these three colleagues to substantiate his future earning capacity losses. The first chart is the 2012-2017 gross wage earnings for the plaintiff and Messrs. Del Giglio, Strain and Wilson, based on the available data. The second chart are their 2012-2017 gross earnings with income tax deducted, based on the available data. Yearly net income figures for Messrs. Del Giglio, Strain and Wilson were not provided.</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 id="_x0000_i1045" type="#_x0000_t75" style="width:432.06pt;height:182.28pt">
            <v:imagedata r:id="rId176" o:title=""/>
          </v:shape>
        </w:pict>
      </w:r>
      <w:r>
        <w:rPr>
          <w:rFonts w:ascii="arial" w:eastAsia="arial" w:hAnsi="arial" w:cs="arial"/>
          <w:sz w:val="20"/>
          <w:lang w:val="en-US" w:eastAsia="en-US" w:bidi="ar-SA"/>
        </w:rPr>
        <w:t xml:space="preser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2011 was the first full year the plaintiff was a foreman. For 2011, only the plaintiff and Mr. Strain's gross wage earnings were provided. They were $132,658.00 and $182,884.00, respectively. The plaintiff's 2011 net income was $117,488.00. His 2011 gross wage earnings with income tax deducted was $103,097.73.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While the ship foreman position is said by the plaintiff to be remunerated far more highly than his current position as a container gate foreman given the above structure, and in comparison to his colleagues, the exact reasons why this might be the case are not fully explained.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What is known is that the container gate foreman position is a Monday to Friday 7:30/8:00 a.m. to 4:30/5:00 p.m. shift and represents the lowest possible wage rate, the base wage rate, out of all the potential shift and day combinations available. While not explicitly stated, the inference must be that a ship foreman works outside Monday to Friday day shifts, and/or is able to pick up more overtime shifts. A look at Messrs. Del Giglio, Strain and Wilson's itemized pay stubs for December 2017 shows that they were all paid at higher base rate and worked more overtime than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xml:space="preserve">  Beyond the permanent job issue, the plaintiff also contends that the injuries he incurred in the MVA prevent him from picking up overtime shifts and that he might need to decline calls he knows will be beyond his capacity. A review of the evidence does not indicate that the plaintiff cannot work </w:t>
      </w:r>
      <w:r>
        <w:rPr>
          <w:rFonts w:ascii="arial" w:eastAsia="arial" w:hAnsi="arial" w:cs="arial"/>
          <w:i/>
          <w:color w:val="000000"/>
          <w:sz w:val="20"/>
          <w:lang w:val="en-US" w:eastAsia="en-US" w:bidi="ar-SA"/>
        </w:rPr>
        <w:t>any</w:t>
      </w:r>
      <w:r>
        <w:rPr>
          <w:rFonts w:ascii="arial" w:eastAsia="arial" w:hAnsi="arial" w:cs="arial"/>
          <w:color w:val="000000"/>
          <w:sz w:val="20"/>
          <w:lang w:val="en-US" w:eastAsia="en-US" w:bidi="ar-SA"/>
        </w:rPr>
        <w:t xml:space="preserve"> overtime shifts due to his MVA injuries, just that he cannot work overtime shifts for positions that are functionally incompatible with his MVA injuries. For example, he could work container gate foreman overtime shifts, given his MVA injuries, but not ship foreman overtime shifts. There is no evidence as to what percentage of overtime shifts the plaintiff may be able to work, and how much additional income this would amount to. The plaintiff did give evidence that 40% of work at the Fraser Surrey Docks is ship based. This would support the proposition that more overtime shifts would be available to a foreman who could work on a 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The valuation of legitimately lost overtime shifts, given the evidence on hand, can only be approximated by reference to the overall earnings of the plaintiff's colleagues. Barring any evidence to the contrary, it must be assumed that the plaintiff had equal access, equal ability and equal desire to pick up the same amount of overtime shifts as the average between Messrs. Del Giglio, Strain and Wilson. Likewise, I accept that the plaintiff had the same opportunity, desire and qualifications as Messrs. Del Giglio, Strain and Wilson to work the ship foreman position on a regular basis. There is no principled reason to conclude that the plaintiff would not have been able to make as much as his three colleagues did were he to have been in the ship foreman position.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Legal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Hoy v. Williams</w:t>
      </w:r>
      <w:r>
        <w:rPr>
          <w:rFonts w:ascii="arial" w:eastAsia="arial" w:hAnsi="arial" w:cs="arial"/>
          <w:color w:val="000000"/>
          <w:sz w:val="20"/>
          <w:lang w:val="en-US" w:eastAsia="en-US" w:bidi="ar-SA"/>
        </w:rPr>
        <w:t xml:space="preserve">, </w:t>
      </w:r>
      <w:hyperlink r:id="rId177" w:history="1">
        <w:r>
          <w:rPr>
            <w:rFonts w:ascii="arial" w:eastAsia="arial" w:hAnsi="arial" w:cs="arial"/>
            <w:i/>
            <w:color w:val="0077CC"/>
            <w:sz w:val="20"/>
            <w:u w:val="single"/>
            <w:shd w:val="clear" w:color="auto" w:fill="FFFFFF"/>
            <w:lang w:val="en-US" w:eastAsia="en-US" w:bidi="ar-SA"/>
          </w:rPr>
          <w:t>2014 BCSC 234</w:t>
        </w:r>
      </w:hyperlink>
      <w:r>
        <w:rPr>
          <w:rFonts w:ascii="arial" w:eastAsia="arial" w:hAnsi="arial" w:cs="arial"/>
          <w:color w:val="000000"/>
          <w:sz w:val="20"/>
          <w:lang w:val="en-US" w:eastAsia="en-US" w:bidi="ar-SA"/>
        </w:rPr>
        <w:t>, Kent J. succinctly sums up the law in regard to past wage loss: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[141] Compensation for past loss of income is based on the value of the work that the plaintiff would have performed, rather than the potential work he could have performed, but for the injury: </w:t>
      </w:r>
      <w:r>
        <w:rPr>
          <w:rFonts w:ascii="arial" w:eastAsia="arial" w:hAnsi="arial" w:cs="arial"/>
          <w:i/>
          <w:color w:val="000000"/>
          <w:sz w:val="20"/>
          <w:lang w:val="en-US" w:eastAsia="en-US" w:bidi="ar-SA"/>
        </w:rPr>
        <w:t>Rowe v Bobell Express Ltd.</w:t>
      </w:r>
      <w:r>
        <w:rPr>
          <w:rFonts w:ascii="arial" w:eastAsia="arial" w:hAnsi="arial" w:cs="arial"/>
          <w:color w:val="000000"/>
          <w:sz w:val="20"/>
          <w:lang w:val="en-US" w:eastAsia="en-US" w:bidi="ar-SA"/>
        </w:rPr>
        <w:t xml:space="preserve">, </w:t>
      </w:r>
      <w:hyperlink r:id="rId29" w:history="1">
        <w:r>
          <w:rPr>
            <w:rFonts w:ascii="arial" w:eastAsia="arial" w:hAnsi="arial" w:cs="arial"/>
            <w:i/>
            <w:color w:val="0077CC"/>
            <w:sz w:val="20"/>
            <w:u w:val="single"/>
            <w:shd w:val="clear" w:color="auto" w:fill="FFFFFF"/>
            <w:lang w:val="en-US" w:eastAsia="en-US" w:bidi="ar-SA"/>
          </w:rPr>
          <w:t>2005 BCCA 141</w:t>
        </w:r>
      </w:hyperlink>
      <w:r>
        <w:rPr>
          <w:rFonts w:ascii="arial" w:eastAsia="arial" w:hAnsi="arial" w:cs="arial"/>
          <w:color w:val="000000"/>
          <w:sz w:val="20"/>
          <w:lang w:val="en-US" w:eastAsia="en-US" w:bidi="ar-SA"/>
        </w:rPr>
        <w:t xml:space="preserve"> at para. 30; </w:t>
      </w:r>
      <w:r>
        <w:rPr>
          <w:rFonts w:ascii="arial" w:eastAsia="arial" w:hAnsi="arial" w:cs="arial"/>
          <w:i/>
          <w:color w:val="000000"/>
          <w:sz w:val="20"/>
          <w:lang w:val="en-US" w:eastAsia="en-US" w:bidi="ar-SA"/>
        </w:rPr>
        <w:t>M.B. v. British Columbia</w:t>
      </w:r>
      <w:r>
        <w:rPr>
          <w:rFonts w:ascii="arial" w:eastAsia="arial" w:hAnsi="arial" w:cs="arial"/>
          <w:color w:val="000000"/>
          <w:sz w:val="20"/>
          <w:lang w:val="en-US" w:eastAsia="en-US" w:bidi="ar-SA"/>
        </w:rPr>
        <w:t xml:space="preserve">, </w:t>
      </w:r>
      <w:hyperlink r:id="rId101" w:history="1">
        <w:r>
          <w:rPr>
            <w:rFonts w:ascii="arial" w:eastAsia="arial" w:hAnsi="arial" w:cs="arial"/>
            <w:i/>
            <w:color w:val="0077CC"/>
            <w:sz w:val="20"/>
            <w:u w:val="single"/>
            <w:shd w:val="clear" w:color="auto" w:fill="FFFFFF"/>
            <w:lang w:val="en-US" w:eastAsia="en-US" w:bidi="ar-SA"/>
          </w:rPr>
          <w:t>2003 SCC 53</w:t>
        </w:r>
      </w:hyperlink>
      <w:r>
        <w:rPr>
          <w:rFonts w:ascii="arial" w:eastAsia="arial" w:hAnsi="arial" w:cs="arial"/>
          <w:color w:val="000000"/>
          <w:sz w:val="20"/>
          <w:lang w:val="en-US" w:eastAsia="en-US" w:bidi="ar-SA"/>
        </w:rPr>
        <w:t xml:space="preserve"> at para. 49. The burden of proof of actual past events is a balance of probabilities. An assessment of loss of both past and future earning capacity involves consideration of hypothetical events. The plaintiff is not required to prove these hypothetical events on a balance of probabilities. The future or hypothetical possibility will be taken into consideration as long as it is a real and substantial possibility and not mere speculation: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at para. 27</w:t>
      </w:r>
      <w:r>
        <w:rPr>
          <w:rFonts w:ascii="arial" w:eastAsia="arial" w:hAnsi="arial" w:cs="arial"/>
          <w:i/>
          <w:color w:val="000000"/>
          <w:sz w:val="20"/>
          <w:lang w:val="en-US" w:eastAsia="en-US" w:bidi="ar-SA"/>
        </w:rPr>
        <w:t>; Morlan v. Barrett</w:t>
      </w:r>
      <w:r>
        <w:rPr>
          <w:rFonts w:ascii="arial" w:eastAsia="arial" w:hAnsi="arial" w:cs="arial"/>
          <w:color w:val="000000"/>
          <w:sz w:val="20"/>
          <w:lang w:val="en-US" w:eastAsia="en-US" w:bidi="ar-SA"/>
        </w:rPr>
        <w:t xml:space="preserve">, </w:t>
      </w:r>
      <w:hyperlink r:id="rId178" w:history="1">
        <w:r>
          <w:rPr>
            <w:rFonts w:ascii="arial" w:eastAsia="arial" w:hAnsi="arial" w:cs="arial"/>
            <w:i/>
            <w:color w:val="0077CC"/>
            <w:sz w:val="20"/>
            <w:u w:val="single"/>
            <w:shd w:val="clear" w:color="auto" w:fill="FFFFFF"/>
            <w:lang w:val="en-US" w:eastAsia="en-US" w:bidi="ar-SA"/>
          </w:rPr>
          <w:t>2012 BCCA 66</w:t>
        </w:r>
      </w:hyperlink>
      <w:r>
        <w:rPr>
          <w:rFonts w:ascii="arial" w:eastAsia="arial" w:hAnsi="arial" w:cs="arial"/>
          <w:color w:val="000000"/>
          <w:sz w:val="20"/>
          <w:lang w:val="en-US" w:eastAsia="en-US" w:bidi="ar-SA"/>
        </w:rPr>
        <w:t xml:space="preserve"> at para. 38.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The principles applicable to the case in terms of assessing loss of future earning capacity can be summarized as:</w:t>
      </w:r>
      <w:r>
        <w:rPr>
          <w:rFonts w:ascii="arial" w:eastAsia="arial" w:hAnsi="arial" w:cs="arial"/>
          <w:sz w:val="20"/>
          <w:lang w:val="en-US" w:eastAsia="en-US" w:bidi="ar-SA"/>
        </w:rPr>
        <w:cr/>
      </w:r>
    </w:p>
    <w:p>
      <w:pPr>
        <w:numPr>
          <w:numId w:val="7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a plaintiff's permanent injury impairs their earning capacity by limiting his ability to perform certain activities, the plaintiff is entitled to compensation, as their earning capacity is an asset that has been taken away: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40"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at para. 8;</w:t>
      </w:r>
    </w:p>
    <w:p>
      <w:pPr>
        <w:numPr>
          <w:numId w:val="8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plaintiff must always prove there is a real and substantial possibility of a future event leading to an income loss: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34"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at para. 32;</w:t>
      </w:r>
    </w:p>
    <w:p>
      <w:pPr>
        <w:numPr>
          <w:numId w:val="8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standard of proof to be applied when dealing with "hypothetical events that may affect an award is simple probability, not the balance of probabilities": </w:t>
      </w:r>
      <w:r>
        <w:rPr>
          <w:rFonts w:ascii="arial" w:eastAsia="arial" w:hAnsi="arial" w:cs="arial"/>
          <w:i/>
          <w:color w:val="000000"/>
          <w:sz w:val="20"/>
          <w:lang w:val="en-US" w:eastAsia="en-US" w:bidi="ar-SA"/>
        </w:rPr>
        <w:t>Rosvold</w:t>
      </w:r>
      <w:r>
        <w:rPr>
          <w:rFonts w:ascii="arial" w:eastAsia="arial" w:hAnsi="arial" w:cs="arial"/>
          <w:color w:val="000000"/>
          <w:sz w:val="20"/>
          <w:lang w:val="en-US" w:eastAsia="en-US" w:bidi="ar-SA"/>
        </w:rPr>
        <w:t xml:space="preserve">, at para. 9,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27;</w:t>
      </w:r>
    </w:p>
    <w:p>
      <w:pPr>
        <w:numPr>
          <w:numId w:val="8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plaintiff is entitled to compensation on an estimation of the chance that the substantially possible event will occur, the loss quantified by estimating the chance of the loss occurring: </w:t>
      </w:r>
      <w:r>
        <w:rPr>
          <w:rFonts w:ascii="arial" w:eastAsia="arial" w:hAnsi="arial" w:cs="arial"/>
          <w:i/>
          <w:color w:val="000000"/>
          <w:sz w:val="20"/>
          <w:lang w:val="en-US" w:eastAsia="en-US" w:bidi="ar-SA"/>
        </w:rPr>
        <w:t>Steward v. Berezan</w:t>
      </w:r>
      <w:r>
        <w:rPr>
          <w:rFonts w:ascii="arial" w:eastAsia="arial" w:hAnsi="arial" w:cs="arial"/>
          <w:color w:val="000000"/>
          <w:sz w:val="20"/>
          <w:lang w:val="en-US" w:eastAsia="en-US" w:bidi="ar-SA"/>
        </w:rPr>
        <w:t xml:space="preserve">, </w:t>
      </w:r>
      <w:hyperlink r:id="rId138" w:history="1">
        <w:r>
          <w:rPr>
            <w:rFonts w:ascii="arial" w:eastAsia="arial" w:hAnsi="arial" w:cs="arial"/>
            <w:i/>
            <w:color w:val="0077CC"/>
            <w:sz w:val="20"/>
            <w:u w:val="single"/>
            <w:shd w:val="clear" w:color="auto" w:fill="FFFFFF"/>
            <w:lang w:val="en-US" w:eastAsia="en-US" w:bidi="ar-SA"/>
          </w:rPr>
          <w:t>2007 BCCA 150</w:t>
        </w:r>
      </w:hyperlink>
      <w:r>
        <w:rPr>
          <w:rFonts w:ascii="arial" w:eastAsia="arial" w:hAnsi="arial" w:cs="arial"/>
          <w:color w:val="000000"/>
          <w:sz w:val="20"/>
          <w:lang w:val="en-US" w:eastAsia="en-US" w:bidi="ar-SA"/>
        </w:rPr>
        <w:t xml:space="preserve"> at para. 17,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27;</w:t>
      </w:r>
    </w:p>
    <w:p>
      <w:pPr>
        <w:numPr>
          <w:numId w:val="8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valuation of the loss of earning capacity may involve a comparison of what the plaintiff would probably have earned but for the accident with what he will probably earn in his injured condition: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108"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(S.C.) at 93, aff'd, </w:t>
      </w:r>
      <w:hyperlink r:id="rId109" w:history="1">
        <w:r>
          <w:rPr>
            <w:rFonts w:ascii="arial" w:eastAsia="arial" w:hAnsi="arial" w:cs="arial"/>
            <w:i/>
            <w:color w:val="0077CC"/>
            <w:sz w:val="20"/>
            <w:u w:val="single"/>
            <w:shd w:val="clear" w:color="auto" w:fill="FFFFFF"/>
            <w:lang w:val="en-US" w:eastAsia="en-US" w:bidi="ar-SA"/>
          </w:rPr>
          <w:t>(1987), 49 B.C.L.R. (2d) 99</w:t>
        </w:r>
      </w:hyperlink>
      <w:r>
        <w:rPr>
          <w:rFonts w:ascii="arial" w:eastAsia="arial" w:hAnsi="arial" w:cs="arial"/>
          <w:color w:val="000000"/>
          <w:sz w:val="20"/>
          <w:lang w:val="en-US" w:eastAsia="en-US" w:bidi="ar-SA"/>
        </w:rPr>
        <w:t xml:space="preserve"> (C.A.);</w:t>
      </w:r>
    </w:p>
    <w:p>
      <w:pPr>
        <w:numPr>
          <w:numId w:val="8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work history and past earnings must be assessed as part of the future earning capacity analysis: </w:t>
      </w:r>
      <w:r>
        <w:rPr>
          <w:rFonts w:ascii="arial" w:eastAsia="arial" w:hAnsi="arial" w:cs="arial"/>
          <w:i/>
          <w:color w:val="000000"/>
          <w:sz w:val="20"/>
          <w:lang w:val="en-US" w:eastAsia="en-US" w:bidi="ar-SA"/>
        </w:rPr>
        <w:t>Smaill v. Williams</w:t>
      </w:r>
      <w:r>
        <w:rPr>
          <w:rFonts w:ascii="arial" w:eastAsia="arial" w:hAnsi="arial" w:cs="arial"/>
          <w:color w:val="000000"/>
          <w:sz w:val="20"/>
          <w:lang w:val="en-US" w:eastAsia="en-US" w:bidi="ar-SA"/>
        </w:rPr>
        <w:t xml:space="preserve">, </w:t>
      </w:r>
      <w:hyperlink r:id="rId173" w:history="1">
        <w:r>
          <w:rPr>
            <w:rFonts w:ascii="arial" w:eastAsia="arial" w:hAnsi="arial" w:cs="arial"/>
            <w:i/>
            <w:color w:val="0077CC"/>
            <w:sz w:val="20"/>
            <w:u w:val="single"/>
            <w:shd w:val="clear" w:color="auto" w:fill="FFFFFF"/>
            <w:lang w:val="en-US" w:eastAsia="en-US" w:bidi="ar-SA"/>
          </w:rPr>
          <w:t>2010 BCSC 73</w:t>
        </w:r>
      </w:hyperlink>
      <w:r>
        <w:rPr>
          <w:rFonts w:ascii="arial" w:eastAsia="arial" w:hAnsi="arial" w:cs="arial"/>
          <w:color w:val="000000"/>
          <w:sz w:val="20"/>
          <w:lang w:val="en-US" w:eastAsia="en-US" w:bidi="ar-SA"/>
        </w:rPr>
        <w:t xml:space="preserve"> at paras. 121-22;</w:t>
      </w:r>
    </w:p>
    <w:p>
      <w:pPr>
        <w:numPr>
          <w:numId w:val="8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overall fairness and reasonableness of the award must also be considered: </w:t>
      </w:r>
      <w:r>
        <w:rPr>
          <w:rFonts w:ascii="arial" w:eastAsia="arial" w:hAnsi="arial" w:cs="arial"/>
          <w:i/>
          <w:color w:val="000000"/>
          <w:sz w:val="20"/>
          <w:lang w:val="en-US" w:eastAsia="en-US" w:bidi="ar-SA"/>
        </w:rPr>
        <w:t>Rosvold</w:t>
      </w:r>
      <w:r>
        <w:rPr>
          <w:rFonts w:ascii="arial" w:eastAsia="arial" w:hAnsi="arial" w:cs="arial"/>
          <w:color w:val="000000"/>
          <w:sz w:val="20"/>
          <w:lang w:val="en-US" w:eastAsia="en-US" w:bidi="ar-SA"/>
        </w:rPr>
        <w:t xml:space="preserve"> at para. 11;</w:t>
      </w:r>
    </w:p>
    <w:p>
      <w:pPr>
        <w:numPr>
          <w:numId w:val="8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task of the Court is to assess the losses, not to calculate them mathematically: </w:t>
      </w:r>
      <w:r>
        <w:rPr>
          <w:rFonts w:ascii="arial" w:eastAsia="arial" w:hAnsi="arial" w:cs="arial"/>
          <w:i/>
          <w:color w:val="000000"/>
          <w:sz w:val="20"/>
          <w:lang w:val="en-US" w:eastAsia="en-US" w:bidi="ar-SA"/>
        </w:rPr>
        <w:t>Mulholland (Guardian ad litem of) v. Riley Estate</w:t>
      </w:r>
      <w:r>
        <w:rPr>
          <w:rFonts w:ascii="arial" w:eastAsia="arial" w:hAnsi="arial" w:cs="arial"/>
          <w:color w:val="000000"/>
          <w:sz w:val="20"/>
          <w:lang w:val="en-US" w:eastAsia="en-US" w:bidi="ar-SA"/>
        </w:rPr>
        <w:t xml:space="preserve"> </w:t>
      </w:r>
      <w:hyperlink r:id="rId179" w:history="1">
        <w:r>
          <w:rPr>
            <w:rFonts w:ascii="arial" w:eastAsia="arial" w:hAnsi="arial" w:cs="arial"/>
            <w:i/>
            <w:color w:val="0077CC"/>
            <w:sz w:val="20"/>
            <w:u w:val="single"/>
            <w:shd w:val="clear" w:color="auto" w:fill="FFFFFF"/>
            <w:lang w:val="en-US" w:eastAsia="en-US" w:bidi="ar-SA"/>
          </w:rPr>
          <w:t>(1995), 12 B.C.L.R. (3d) 248</w:t>
        </w:r>
      </w:hyperlink>
      <w:r>
        <w:rPr>
          <w:rFonts w:ascii="arial" w:eastAsia="arial" w:hAnsi="arial" w:cs="arial"/>
          <w:color w:val="000000"/>
          <w:sz w:val="20"/>
          <w:lang w:val="en-US" w:eastAsia="en-US" w:bidi="ar-SA"/>
        </w:rPr>
        <w:t xml:space="preserve"> (C.A.) at para. 43; and</w:t>
      </w:r>
    </w:p>
    <w:p>
      <w:pPr>
        <w:numPr>
          <w:numId w:val="8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Since the course of future events is unknown, allowance must be made for the contingency that the assumptions upon which the award is based may prove to be wrong: </w:t>
      </w:r>
      <w:r>
        <w:rPr>
          <w:rFonts w:ascii="arial" w:eastAsia="arial" w:hAnsi="arial" w:cs="arial"/>
          <w:i/>
          <w:color w:val="000000"/>
          <w:sz w:val="20"/>
          <w:lang w:val="en-US" w:eastAsia="en-US" w:bidi="ar-SA"/>
        </w:rPr>
        <w:t>Milina</w:t>
      </w:r>
      <w:r>
        <w:rPr>
          <w:rFonts w:ascii="arial" w:eastAsia="arial" w:hAnsi="arial" w:cs="arial"/>
          <w:color w:val="000000"/>
          <w:sz w:val="20"/>
          <w:lang w:val="en-US" w:eastAsia="en-US" w:bidi="ar-SA"/>
        </w:rPr>
        <w:t xml:space="preserve"> at 79.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xml:space="preserve">  Once a real and substantial possibility of a future event leading to an income loss is established, as is the case here with the plaintiff's inability to work the ship foreman position, the court may adopt either an earnings approach or a capital asset approach to the assessment of damages for future loss of earning capacity. The earnings approach will be more appropriate when the loss is more easily measurable; the capital asset will be more useful when the loss is not as easily measurable: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xml:space="preserve"> at para. 32; </w:t>
      </w:r>
      <w:r>
        <w:rPr>
          <w:rFonts w:ascii="arial" w:eastAsia="arial" w:hAnsi="arial" w:cs="arial"/>
          <w:i/>
          <w:color w:val="000000"/>
          <w:sz w:val="20"/>
          <w:lang w:val="en-US" w:eastAsia="en-US" w:bidi="ar-SA"/>
        </w:rPr>
        <w:t>Westbroek v. Brizuela</w:t>
      </w:r>
      <w:r>
        <w:rPr>
          <w:rFonts w:ascii="arial" w:eastAsia="arial" w:hAnsi="arial" w:cs="arial"/>
          <w:color w:val="000000"/>
          <w:sz w:val="20"/>
          <w:lang w:val="en-US" w:eastAsia="en-US" w:bidi="ar-SA"/>
        </w:rPr>
        <w:t xml:space="preserve">, </w:t>
      </w:r>
      <w:hyperlink r:id="rId42" w:history="1">
        <w:r>
          <w:rPr>
            <w:rFonts w:ascii="arial" w:eastAsia="arial" w:hAnsi="arial" w:cs="arial"/>
            <w:i/>
            <w:color w:val="0077CC"/>
            <w:sz w:val="20"/>
            <w:u w:val="single"/>
            <w:shd w:val="clear" w:color="auto" w:fill="FFFFFF"/>
            <w:lang w:val="en-US" w:eastAsia="en-US" w:bidi="ar-SA"/>
          </w:rPr>
          <w:t>2014 BCCA 48</w:t>
        </w:r>
      </w:hyperlink>
      <w:r>
        <w:rPr>
          <w:rFonts w:ascii="arial" w:eastAsia="arial" w:hAnsi="arial" w:cs="arial"/>
          <w:color w:val="000000"/>
          <w:sz w:val="20"/>
          <w:lang w:val="en-US" w:eastAsia="en-US" w:bidi="ar-SA"/>
        </w:rPr>
        <w:t xml:space="preserve"> at para. 64. As will be seen in the analysis below, I find that the plaintiff's loss of earning capacity is not easily measurable. Accordingly, the capital asset approach is more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xml:space="preserve">  Kent J. describes the capital asset approach in </w:t>
      </w:r>
      <w:r>
        <w:rPr>
          <w:rFonts w:ascii="arial" w:eastAsia="arial" w:hAnsi="arial" w:cs="arial"/>
          <w:i/>
          <w:color w:val="000000"/>
          <w:sz w:val="20"/>
          <w:lang w:val="en-US" w:eastAsia="en-US" w:bidi="ar-SA"/>
        </w:rPr>
        <w:t>Hoy</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[158] The capital asset approach involves considering factors such as i) whether the plaintiff has been rendered less capable overall of earning income from all types of employment; ii) whether the plaintiff is less marketable or attractive as a potential employee; iii) whether the plaintiff has lost the ability to take advantage of all job opportunities that might otherwise have been open; and iv) whether the plaintiff is less valuable to herself as a person capable of earning income in a competitive labour market: </w:t>
      </w:r>
      <w:r>
        <w:rPr>
          <w:rFonts w:ascii="arial" w:eastAsia="arial" w:hAnsi="arial" w:cs="arial"/>
          <w:i/>
          <w:color w:val="000000"/>
          <w:sz w:val="20"/>
          <w:lang w:val="en-US" w:eastAsia="en-US" w:bidi="ar-SA"/>
        </w:rPr>
        <w:t>Brown v</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Golaiy</w:t>
      </w:r>
      <w:r>
        <w:rPr>
          <w:rFonts w:ascii="arial" w:eastAsia="arial" w:hAnsi="arial" w:cs="arial"/>
          <w:color w:val="000000"/>
          <w:sz w:val="20"/>
          <w:lang w:val="en-US" w:eastAsia="en-US" w:bidi="ar-SA"/>
        </w:rPr>
        <w:t xml:space="preserve"> </w:t>
      </w:r>
      <w:hyperlink r:id="rId41"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Gilbert v. Bottle</w:t>
      </w:r>
      <w:r>
        <w:rPr>
          <w:rFonts w:ascii="arial" w:eastAsia="arial" w:hAnsi="arial" w:cs="arial"/>
          <w:color w:val="000000"/>
          <w:sz w:val="20"/>
          <w:lang w:val="en-US" w:eastAsia="en-US" w:bidi="ar-SA"/>
        </w:rPr>
        <w:t xml:space="preserve">, </w:t>
      </w:r>
      <w:hyperlink r:id="rId85" w:history="1">
        <w:r>
          <w:rPr>
            <w:rFonts w:ascii="arial" w:eastAsia="arial" w:hAnsi="arial" w:cs="arial"/>
            <w:i/>
            <w:color w:val="0077CC"/>
            <w:sz w:val="20"/>
            <w:u w:val="single"/>
            <w:shd w:val="clear" w:color="auto" w:fill="FFFFFF"/>
            <w:lang w:val="en-US" w:eastAsia="en-US" w:bidi="ar-SA"/>
          </w:rPr>
          <w:t>2011 BCSC 1389</w:t>
        </w:r>
      </w:hyperlink>
      <w:r>
        <w:rPr>
          <w:rFonts w:ascii="arial" w:eastAsia="arial" w:hAnsi="arial" w:cs="arial"/>
          <w:color w:val="000000"/>
          <w:sz w:val="20"/>
          <w:lang w:val="en-US" w:eastAsia="en-US" w:bidi="ar-SA"/>
        </w:rPr>
        <w:t xml:space="preserve"> at para. 233; </w:t>
      </w:r>
      <w:r>
        <w:rPr>
          <w:rFonts w:ascii="arial" w:eastAsia="arial" w:hAnsi="arial" w:cs="arial"/>
          <w:i/>
          <w:color w:val="000000"/>
          <w:sz w:val="20"/>
          <w:lang w:val="en-US" w:eastAsia="en-US" w:bidi="ar-SA"/>
        </w:rPr>
        <w:t>Morgan v. Galbraith</w:t>
      </w:r>
      <w:r>
        <w:rPr>
          <w:rFonts w:ascii="arial" w:eastAsia="arial" w:hAnsi="arial" w:cs="arial"/>
          <w:color w:val="000000"/>
          <w:sz w:val="20"/>
          <w:lang w:val="en-US" w:eastAsia="en-US" w:bidi="ar-SA"/>
        </w:rPr>
        <w:t xml:space="preserve">, </w:t>
      </w:r>
      <w:hyperlink r:id="rId172" w:history="1">
        <w:r>
          <w:rPr>
            <w:rFonts w:ascii="arial" w:eastAsia="arial" w:hAnsi="arial" w:cs="arial"/>
            <w:i/>
            <w:color w:val="0077CC"/>
            <w:sz w:val="20"/>
            <w:u w:val="single"/>
            <w:shd w:val="clear" w:color="auto" w:fill="FFFFFF"/>
            <w:lang w:val="en-US" w:eastAsia="en-US" w:bidi="ar-SA"/>
          </w:rPr>
          <w:t>2013 BCCA 305</w:t>
        </w:r>
      </w:hyperlink>
      <w:r>
        <w:rPr>
          <w:rFonts w:ascii="arial" w:eastAsia="arial" w:hAnsi="arial" w:cs="arial"/>
          <w:color w:val="000000"/>
          <w:sz w:val="20"/>
          <w:lang w:val="en-US" w:eastAsia="en-US" w:bidi="ar-SA"/>
        </w:rPr>
        <w:t xml:space="preserve"> at paras. 53 &amp; 56.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[159] Though the capital asset approach is not a "mathematical calculation", the trial judge must still explain the factual basis of the award: </w:t>
      </w:r>
      <w:r>
        <w:rPr>
          <w:rFonts w:ascii="arial" w:eastAsia="arial" w:hAnsi="arial" w:cs="arial"/>
          <w:i/>
          <w:color w:val="000000"/>
          <w:sz w:val="20"/>
          <w:lang w:val="en-US" w:eastAsia="en-US" w:bidi="ar-SA"/>
        </w:rPr>
        <w:t>Morgan v. Galbraith</w:t>
      </w:r>
      <w:r>
        <w:rPr>
          <w:rFonts w:ascii="arial" w:eastAsia="arial" w:hAnsi="arial" w:cs="arial"/>
          <w:color w:val="000000"/>
          <w:sz w:val="20"/>
          <w:lang w:val="en-US" w:eastAsia="en-US" w:bidi="ar-SA"/>
        </w:rPr>
        <w:t xml:space="preserve">, </w:t>
      </w:r>
      <w:hyperlink r:id="rId172" w:history="1">
        <w:r>
          <w:rPr>
            <w:rFonts w:ascii="arial" w:eastAsia="arial" w:hAnsi="arial" w:cs="arial"/>
            <w:i/>
            <w:color w:val="0077CC"/>
            <w:sz w:val="20"/>
            <w:u w:val="single"/>
            <w:shd w:val="clear" w:color="auto" w:fill="FFFFFF"/>
            <w:lang w:val="en-US" w:eastAsia="en-US" w:bidi="ar-SA"/>
          </w:rPr>
          <w:t>2013 BCCA 305</w:t>
        </w:r>
      </w:hyperlink>
      <w:r>
        <w:rPr>
          <w:rFonts w:ascii="arial" w:eastAsia="arial" w:hAnsi="arial" w:cs="arial"/>
          <w:color w:val="000000"/>
          <w:sz w:val="20"/>
          <w:lang w:val="en-US" w:eastAsia="en-US" w:bidi="ar-SA"/>
        </w:rPr>
        <w:t xml:space="preserve"> at para. 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Knapp v. O'Neill</w:t>
      </w:r>
      <w:r>
        <w:rPr>
          <w:rFonts w:ascii="arial" w:eastAsia="arial" w:hAnsi="arial" w:cs="arial"/>
          <w:color w:val="000000"/>
          <w:sz w:val="20"/>
          <w:lang w:val="en-US" w:eastAsia="en-US" w:bidi="ar-SA"/>
        </w:rPr>
        <w:t xml:space="preserve">, </w:t>
      </w:r>
      <w:hyperlink r:id="rId180" w:history="1">
        <w:r>
          <w:rPr>
            <w:rFonts w:ascii="arial" w:eastAsia="arial" w:hAnsi="arial" w:cs="arial"/>
            <w:i/>
            <w:color w:val="0077CC"/>
            <w:sz w:val="20"/>
            <w:u w:val="single"/>
            <w:shd w:val="clear" w:color="auto" w:fill="FFFFFF"/>
            <w:lang w:val="en-US" w:eastAsia="en-US" w:bidi="ar-SA"/>
          </w:rPr>
          <w:t>2017 YKCA 10</w:t>
        </w:r>
      </w:hyperlink>
      <w:r>
        <w:rPr>
          <w:rFonts w:ascii="arial" w:eastAsia="arial" w:hAnsi="arial" w:cs="arial"/>
          <w:color w:val="000000"/>
          <w:sz w:val="20"/>
          <w:lang w:val="en-US" w:eastAsia="en-US" w:bidi="ar-SA"/>
        </w:rPr>
        <w:t>, the Yukon Court of Appeal further discusses the capital asset approach: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 ... even where a judge determines the capital asset approach is indicated on the record, the court should ground itself as much as possible in factual and mathematical anchors. Adopting the capital asset approach does not justify an undisciplined approach.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[18] It can be helpful under either approach for the judge to consider the </w:t>
      </w:r>
      <w:r>
        <w:rPr>
          <w:rFonts w:ascii="arial" w:eastAsia="arial" w:hAnsi="arial" w:cs="arial"/>
          <w:i/>
          <w:color w:val="000000"/>
          <w:sz w:val="20"/>
          <w:lang w:val="en-US" w:eastAsia="en-US" w:bidi="ar-SA"/>
        </w:rPr>
        <w:t>quantum</w:t>
      </w:r>
      <w:r>
        <w:rPr>
          <w:rFonts w:ascii="arial" w:eastAsia="arial" w:hAnsi="arial" w:cs="arial"/>
          <w:color w:val="000000"/>
          <w:sz w:val="20"/>
          <w:lang w:val="en-US" w:eastAsia="en-US" w:bidi="ar-SA"/>
        </w:rPr>
        <w:t xml:space="preserve"> of the award in light of the range of possibilities indicated by economic analysis. Mathematical aids and economic analysis facilitate a "bracketing" exercise that indicates the high and low extremities of possible awards in a given case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[19] Courts, where they can, should endeavor to use factual and mathematical anchors as a foundation to quantify loss of future earning capacity, including economist reports and a plaintiff's pre-accident employment history, training, and capabilities ... In addition, a plaintiff's personality, work ethic, and attitude should all be considered where possible; it may constitute an error to ignore such factors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[Internal citations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xml:space="preserve">  As Dickson J. (as he then was) describes the court's task in assessing loss of future earning capacity under the capital asset approach in </w:t>
      </w:r>
      <w:r>
        <w:rPr>
          <w:rFonts w:ascii="arial" w:eastAsia="arial" w:hAnsi="arial" w:cs="arial"/>
          <w:i/>
          <w:color w:val="000000"/>
          <w:sz w:val="20"/>
          <w:lang w:val="en-US" w:eastAsia="en-US" w:bidi="ar-SA"/>
        </w:rPr>
        <w:t>Andrews v. Grand &amp; Toy Alberta Ltd</w:t>
      </w:r>
      <w:r>
        <w:rPr>
          <w:rFonts w:ascii="arial" w:eastAsia="arial" w:hAnsi="arial" w:cs="arial"/>
          <w:color w:val="000000"/>
          <w:sz w:val="20"/>
          <w:lang w:val="en-US" w:eastAsia="en-US" w:bidi="ar-SA"/>
        </w:rPr>
        <w:t xml:space="preserve">, </w:t>
      </w:r>
      <w:hyperlink r:id="rId181"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xml:space="preserve"> at 251: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must now gaze more deeply into the crystal ball. What sort of a career would the accident victim have had? What were his prospects and potential prior to the accident? It is not loss of earnings but, rather, loss of earning capacity for which compensation must be made: [citations omitted]. A capital asset has been lost: what was its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The plaintiff's overall claim is $237,611 for past wage loss and $1,033,000 for loss of future earning capacity. The defendants, on the other hand, claim that the past wage loss up until February 28, 2018 is only $1,100 and that the plaintiff will suffer no loss of future earning capacity. This puts the parties far apart on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xml:space="preserve">  One way of assessing loss of future earning capacity involves a consideration of a multiplier of annual income: </w:t>
      </w:r>
      <w:r>
        <w:rPr>
          <w:rFonts w:ascii="arial" w:eastAsia="arial" w:hAnsi="arial" w:cs="arial"/>
          <w:i/>
          <w:color w:val="000000"/>
          <w:sz w:val="20"/>
          <w:lang w:val="en-US" w:eastAsia="en-US" w:bidi="ar-SA"/>
        </w:rPr>
        <w:t>Jurczak v. Mauro</w:t>
      </w:r>
      <w:r>
        <w:rPr>
          <w:rFonts w:ascii="arial" w:eastAsia="arial" w:hAnsi="arial" w:cs="arial"/>
          <w:color w:val="000000"/>
          <w:sz w:val="20"/>
          <w:lang w:val="en-US" w:eastAsia="en-US" w:bidi="ar-SA"/>
        </w:rPr>
        <w:t xml:space="preserve">, </w:t>
      </w:r>
      <w:hyperlink r:id="rId43" w:history="1">
        <w:r>
          <w:rPr>
            <w:rFonts w:ascii="arial" w:eastAsia="arial" w:hAnsi="arial" w:cs="arial"/>
            <w:i/>
            <w:color w:val="0077CC"/>
            <w:sz w:val="20"/>
            <w:u w:val="single"/>
            <w:shd w:val="clear" w:color="auto" w:fill="FFFFFF"/>
            <w:lang w:val="en-US" w:eastAsia="en-US" w:bidi="ar-SA"/>
          </w:rPr>
          <w:t>2013 BCCA 507</w:t>
        </w:r>
      </w:hyperlink>
      <w:r>
        <w:rPr>
          <w:rFonts w:ascii="arial" w:eastAsia="arial" w:hAnsi="arial" w:cs="arial"/>
          <w:color w:val="000000"/>
          <w:sz w:val="20"/>
          <w:lang w:val="en-US" w:eastAsia="en-US" w:bidi="ar-SA"/>
        </w:rPr>
        <w:t xml:space="preserve"> at para. 30. This appears to be the methodology adopted by the plaintiff in calculating both the plaintiff's past wage loss and his loss of future earning capacity. Using this approach, and only this approach, the plaintiff would be paid the difference in pay between the average of the three ship foreman and the plaintiff in the container gate foremen position every year until he retires, back dated to the time of the MVA. However, this is not to be the end of the analysis but, rather, the beginning of it under the capital asset approach, as </w:t>
      </w:r>
      <w:r>
        <w:rPr>
          <w:rFonts w:ascii="arial" w:eastAsia="arial" w:hAnsi="arial" w:cs="arial"/>
          <w:i/>
          <w:color w:val="000000"/>
          <w:sz w:val="20"/>
          <w:lang w:val="en-US" w:eastAsia="en-US" w:bidi="ar-SA"/>
        </w:rPr>
        <w:t>Jurczak</w:t>
      </w:r>
      <w:r>
        <w:rPr>
          <w:rFonts w:ascii="arial" w:eastAsia="arial" w:hAnsi="arial" w:cs="arial"/>
          <w:color w:val="000000"/>
          <w:sz w:val="20"/>
          <w:lang w:val="en-US" w:eastAsia="en-US" w:bidi="ar-SA"/>
        </w:rPr>
        <w:t xml:space="preserve"> notes: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[30] One way of assessing loss of future earning capacity involves a consideration of a multiplier of annual income. The approach is resorted to where the loss is not easily measurable: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34"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Regardless of the approach, "mere speculation of future loss of earning capacity" is insufficient to justify damages, and "[a] plaintiff must </w:t>
      </w:r>
      <w:r>
        <w:rPr>
          <w:rFonts w:ascii="arial" w:eastAsia="arial" w:hAnsi="arial" w:cs="arial"/>
          <w:color w:val="000000"/>
          <w:sz w:val="20"/>
          <w:u w:val="single"/>
          <w:lang w:val="en-US" w:eastAsia="en-US" w:bidi="ar-SA"/>
        </w:rPr>
        <w:t>always</w:t>
      </w:r>
      <w:r>
        <w:rPr>
          <w:rFonts w:ascii="arial" w:eastAsia="arial" w:hAnsi="arial" w:cs="arial"/>
          <w:color w:val="000000"/>
          <w:sz w:val="20"/>
          <w:lang w:val="en-US" w:eastAsia="en-US" w:bidi="ar-SA"/>
        </w:rPr>
        <w:t xml:space="preserve"> prove... that there is a real and substantial possibility of a future event leading to an income loss":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xml:space="preserve"> at paras. 31, 32. In any event, adjustments should be made to reflect contingencies that might arise over the course of the plaintiff's working life.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[36] This process is "an assessment rather than a calculation" and "many different contingencies must be reflected in such an award": </w:t>
      </w:r>
      <w:r>
        <w:rPr>
          <w:rFonts w:ascii="arial" w:eastAsia="arial" w:hAnsi="arial" w:cs="arial"/>
          <w:i/>
          <w:color w:val="000000"/>
          <w:sz w:val="20"/>
          <w:lang w:val="en-US" w:eastAsia="en-US" w:bidi="ar-SA"/>
        </w:rPr>
        <w:t>Barnes v. Richardson</w:t>
      </w:r>
      <w:r>
        <w:rPr>
          <w:rFonts w:ascii="arial" w:eastAsia="arial" w:hAnsi="arial" w:cs="arial"/>
          <w:color w:val="000000"/>
          <w:sz w:val="20"/>
          <w:lang w:val="en-US" w:eastAsia="en-US" w:bidi="ar-SA"/>
        </w:rPr>
        <w:t xml:space="preserve">, </w:t>
      </w:r>
      <w:hyperlink r:id="rId182" w:history="1">
        <w:r>
          <w:rPr>
            <w:rFonts w:ascii="arial" w:eastAsia="arial" w:hAnsi="arial" w:cs="arial"/>
            <w:i/>
            <w:color w:val="0077CC"/>
            <w:sz w:val="20"/>
            <w:u w:val="single"/>
            <w:shd w:val="clear" w:color="auto" w:fill="FFFFFF"/>
            <w:lang w:val="en-US" w:eastAsia="en-US" w:bidi="ar-SA"/>
          </w:rPr>
          <w:t>2010 BCCA 116</w:t>
        </w:r>
      </w:hyperlink>
      <w:r>
        <w:rPr>
          <w:rFonts w:ascii="arial" w:eastAsia="arial" w:hAnsi="arial" w:cs="arial"/>
          <w:color w:val="000000"/>
          <w:sz w:val="20"/>
          <w:lang w:val="en-US" w:eastAsia="en-US" w:bidi="ar-SA"/>
        </w:rPr>
        <w:t xml:space="preserve"> at para. 18. "Ultimately, the court must base its decision on what is reasonable in all of the circumstances. Projections, calculations and formulas are only useful to the extent that they help determine what is fair and reasonable": </w:t>
      </w:r>
      <w:r>
        <w:rPr>
          <w:rFonts w:ascii="arial" w:eastAsia="arial" w:hAnsi="arial" w:cs="arial"/>
          <w:i/>
          <w:color w:val="000000"/>
          <w:sz w:val="20"/>
          <w:lang w:val="en-US" w:eastAsia="en-US" w:bidi="ar-SA"/>
        </w:rPr>
        <w:t>Parypa v. Wickware</w:t>
      </w:r>
      <w:r>
        <w:rPr>
          <w:rFonts w:ascii="arial" w:eastAsia="arial" w:hAnsi="arial" w:cs="arial"/>
          <w:color w:val="000000"/>
          <w:sz w:val="20"/>
          <w:lang w:val="en-US" w:eastAsia="en-US" w:bidi="ar-SA"/>
        </w:rPr>
        <w:t>, supra, at para. 70.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[37] With that said, if there are mathematical aids that may be of some assistance, the court should start its analysis by considering them.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251</w:t>
      </w:r>
      <w:r>
        <w:rPr>
          <w:rFonts w:ascii="arial" w:eastAsia="arial" w:hAnsi="arial" w:cs="arial"/>
          <w:color w:val="000000"/>
          <w:sz w:val="20"/>
          <w:lang w:val="en-US" w:eastAsia="en-US" w:bidi="ar-SA"/>
        </w:rPr>
        <w:t xml:space="preserve">  This approach of using mathematical anchors to tether the analysis, but not define it, is in line with </w:t>
      </w:r>
      <w:r>
        <w:rPr>
          <w:rFonts w:ascii="arial" w:eastAsia="arial" w:hAnsi="arial" w:cs="arial"/>
          <w:i/>
          <w:color w:val="000000"/>
          <w:sz w:val="20"/>
          <w:lang w:val="en-US" w:eastAsia="en-US" w:bidi="ar-SA"/>
        </w:rPr>
        <w:t>Knapp</w:t>
      </w:r>
      <w:r>
        <w:rPr>
          <w:rFonts w:ascii="arial" w:eastAsia="arial" w:hAnsi="arial" w:cs="arial"/>
          <w:color w:val="000000"/>
          <w:sz w:val="20"/>
          <w:lang w:val="en-US" w:eastAsia="en-US" w:bidi="ar-SA"/>
        </w:rPr>
        <w:t xml:space="preserve">. As such, these wage figures are not dispositive of the matter. The capital asset approach endorses a more complete analysis than mere mathematics. Furthermore, the appropriate analytical weight these wage figures are to be given is to be determined by their relative relevance in determining the value of the capital asset the plaintiff has lost - this being his earning capacity, not his wages </w:t>
      </w:r>
      <w:r>
        <w:rPr>
          <w:rFonts w:ascii="arial" w:eastAsia="arial" w:hAnsi="arial" w:cs="arial"/>
          <w:i/>
          <w:color w:val="000000"/>
          <w:sz w:val="20"/>
          <w:lang w:val="en-US" w:eastAsia="en-US" w:bidi="ar-SA"/>
        </w:rPr>
        <w:t>per se</w:t>
      </w:r>
      <w:r>
        <w:rPr>
          <w:rFonts w:ascii="arial" w:eastAsia="arial" w:hAnsi="arial" w:cs="arial"/>
          <w:color w:val="000000"/>
          <w:sz w:val="20"/>
          <w:lang w:val="en-US" w:eastAsia="en-US" w:bidi="ar-SA"/>
        </w:rPr>
        <w:t>. Determining the nexus between these comparative wage loss figures to the plaintiff's loss of actual earning capacity involves putting these purported losses into their proper context.</w:t>
      </w:r>
      <w:r>
        <w:rPr>
          <w:rFonts w:ascii="arial" w:eastAsia="arial" w:hAnsi="arial" w:cs="arial"/>
          <w:sz w:val="20"/>
          <w:lang w:val="en-US" w:eastAsia="en-US" w:bidi="ar-SA"/>
        </w:rPr>
        <w:cr/>
      </w:r>
    </w:p>
    <w:p>
      <w:pPr>
        <w:numPr>
          <w:numId w:val="8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Wage Loss: September 2012-March 2017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252</w:t>
      </w:r>
      <w:r>
        <w:rPr>
          <w:rFonts w:ascii="arial" w:eastAsia="arial" w:hAnsi="arial" w:cs="arial"/>
          <w:color w:val="000000"/>
          <w:sz w:val="20"/>
          <w:lang w:val="en-US" w:eastAsia="en-US" w:bidi="ar-SA"/>
        </w:rPr>
        <w:t>  Going back to the date of the MVA, the plaintiff was still working at Western Stevedoring. The plaintiff says he was forced to change jobs to DP World when he returned from work due to no longer being able to work his Western Stevedoring job. I reject this explanation. The evidence was that the plaintiff had an interview with DP World on or about August 14, 2012, demonstrating a desire to leave Western Stevedoring, which pre-existed the MVA. This is another example of the plaintiff's evidence not being reliable.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253</w:t>
      </w:r>
      <w:r>
        <w:rPr>
          <w:rFonts w:ascii="arial" w:eastAsia="arial" w:hAnsi="arial" w:cs="arial"/>
          <w:color w:val="000000"/>
          <w:sz w:val="20"/>
          <w:lang w:val="en-US" w:eastAsia="en-US" w:bidi="ar-SA"/>
        </w:rPr>
        <w:t>  In any event, the plaintiff started at DP World on November 30, 2012. He began working at Ceres on or about July 2014. He then moved to work exclusively at Fraser Surrey Docks on or about March 2017. He is currently working full time in the position of container gate foreman. While there was some dispute as to why the plaintiff left Ceres for Fraser Surrey Docks--whether it was for better money, better hours, less stress, less physicality or some combination thereof--I find that it is of no importance given that this move is not particularized as leading to any loss on the plaintiff's 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254</w:t>
      </w:r>
      <w:r>
        <w:rPr>
          <w:rFonts w:ascii="arial" w:eastAsia="arial" w:hAnsi="arial" w:cs="arial"/>
          <w:color w:val="000000"/>
          <w:sz w:val="20"/>
          <w:lang w:val="en-US" w:eastAsia="en-US" w:bidi="ar-SA"/>
        </w:rPr>
        <w:t>  There was no evidence that the ship foreman position was one that existed at either DP World or Ceres. All three of the ship foreman witnesses called worked at Fraser Surrey Docks as ship foremen. Even if there were such positions at DP World or Ceres, there was no evidence than the same job demands, work schedules, and overtime opportunities existed as among all three workplaces, or were otherwise shared by all three workplaces. As such, the circumstances and overall wage of a foreman at one company could not be readily compared to that in another. One workplace could have more overtime opportunities, or more night shifts available, or simply have fewer qualified foremen competing for jobs, all making that workplace one in which a foreman could stand to make more money should he be motivated to do so as compared to another foreman.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255</w:t>
      </w:r>
      <w:r>
        <w:rPr>
          <w:rFonts w:ascii="arial" w:eastAsia="arial" w:hAnsi="arial" w:cs="arial"/>
          <w:color w:val="000000"/>
          <w:sz w:val="20"/>
          <w:lang w:val="en-US" w:eastAsia="en-US" w:bidi="ar-SA"/>
        </w:rPr>
        <w:t>  Barring evidence to the contrary, such must be assumed the situation was as between DP World, Ceres and Fraser Surrey Docks. Just because a ship foreman at Fraser Surrey Docks could earn as much as Messrs. Del Giglio, Strain and Wilson did, does not mean that a foreman at either DP World or Ceres could make the same. The contextual workplace factors dictating a foreman's yearly wage, especially in the absence of set seniority rules, are too potentially varied among the three workplaces to make a comparison between them. This prevents the plaintiff from using the yearly wage figures of Fraser Surrey Docks ship foreman as a means to estimate his past wage loss while at DP World and Ceres.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256</w:t>
      </w:r>
      <w:r>
        <w:rPr>
          <w:rFonts w:ascii="arial" w:eastAsia="arial" w:hAnsi="arial" w:cs="arial"/>
          <w:color w:val="000000"/>
          <w:sz w:val="20"/>
          <w:lang w:val="en-US" w:eastAsia="en-US" w:bidi="ar-SA"/>
        </w:rPr>
        <w:t>  In any event, the plaintiff did not testify that he was unable to work the jobs he wanted to while at DP World and Ceres, or that his injuries prevented him from being in certain positions while at these companies. To the contrary, the plaintiff worked on ships in a supervisory role while at Ceres for nearly 3 years--the exact position the plaintiff now says he wants, but cannot work due to his MVA injuries. If the plaintiff could do this job at Ceres, based on the evidence before me and in the absence of any evidence to the contrary, there is no reason to believe that he was unable to work where he wanted to, when he wanted to, for as much as he wanted to while at Ceres. The same logic holds for his time at DP World.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257</w:t>
      </w:r>
      <w:r>
        <w:rPr>
          <w:rFonts w:ascii="arial" w:eastAsia="arial" w:hAnsi="arial" w:cs="arial"/>
          <w:color w:val="000000"/>
          <w:sz w:val="20"/>
          <w:lang w:val="en-US" w:eastAsia="en-US" w:bidi="ar-SA"/>
        </w:rPr>
        <w:t xml:space="preserve">  As stated in </w:t>
      </w:r>
      <w:r>
        <w:rPr>
          <w:rFonts w:ascii="arial" w:eastAsia="arial" w:hAnsi="arial" w:cs="arial"/>
          <w:i/>
          <w:color w:val="000000"/>
          <w:sz w:val="20"/>
          <w:lang w:val="en-US" w:eastAsia="en-US" w:bidi="ar-SA"/>
        </w:rPr>
        <w:t>Hoy</w:t>
      </w:r>
      <w:r>
        <w:rPr>
          <w:rFonts w:ascii="arial" w:eastAsia="arial" w:hAnsi="arial" w:cs="arial"/>
          <w:color w:val="000000"/>
          <w:sz w:val="20"/>
          <w:lang w:val="en-US" w:eastAsia="en-US" w:bidi="ar-SA"/>
        </w:rPr>
        <w:t xml:space="preserve"> at para. 158, compensation for past loss of income is based on the value of the work that the plaintiff </w:t>
      </w:r>
      <w:r>
        <w:rPr>
          <w:rFonts w:ascii="arial" w:eastAsia="arial" w:hAnsi="arial" w:cs="arial"/>
          <w:i/>
          <w:color w:val="000000"/>
          <w:sz w:val="20"/>
          <w:lang w:val="en-US" w:eastAsia="en-US" w:bidi="ar-SA"/>
        </w:rPr>
        <w:t>would</w:t>
      </w:r>
      <w:r>
        <w:rPr>
          <w:rFonts w:ascii="arial" w:eastAsia="arial" w:hAnsi="arial" w:cs="arial"/>
          <w:color w:val="000000"/>
          <w:sz w:val="20"/>
          <w:lang w:val="en-US" w:eastAsia="en-US" w:bidi="ar-SA"/>
        </w:rPr>
        <w:t xml:space="preserve"> have performed, rather than the potential work he </w:t>
      </w:r>
      <w:r>
        <w:rPr>
          <w:rFonts w:ascii="arial" w:eastAsia="arial" w:hAnsi="arial" w:cs="arial"/>
          <w:i/>
          <w:color w:val="000000"/>
          <w:sz w:val="20"/>
          <w:lang w:val="en-US" w:eastAsia="en-US" w:bidi="ar-SA"/>
        </w:rPr>
        <w:t>could</w:t>
      </w:r>
      <w:r>
        <w:rPr>
          <w:rFonts w:ascii="arial" w:eastAsia="arial" w:hAnsi="arial" w:cs="arial"/>
          <w:color w:val="000000"/>
          <w:sz w:val="20"/>
          <w:lang w:val="en-US" w:eastAsia="en-US" w:bidi="ar-SA"/>
        </w:rPr>
        <w:t xml:space="preserve"> have performed, but for the MVA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258</w:t>
      </w:r>
      <w:r>
        <w:rPr>
          <w:rFonts w:ascii="arial" w:eastAsia="arial" w:hAnsi="arial" w:cs="arial"/>
          <w:color w:val="000000"/>
          <w:sz w:val="20"/>
          <w:lang w:val="en-US" w:eastAsia="en-US" w:bidi="ar-SA"/>
        </w:rPr>
        <w:t>  Accordingly, I find that the plaintiff, on a balance of probabilities, has not proven that he suffered any past wage loss, apart from the time he was off work due to his MVA injuries while he worked at DP World and Ceres, this being from the date of the MVA, September 30, 2012, to March 2017. I further find that the plaintiff would have been off work until November 26, 2012 due to his pre-existing leave of absence for depression and anxiety, as the plaintiff's anticipated return to work date from this leave was provisionally set as November 26, 2012 by Dr. Golin. As the plaintiff returned to work after the MVA on November 30, 2012, he is to be compensated for November 26, 2012 to November 29, 2012, these being the days of work missed due to the MVA. Given that I found that he would not have required knee surgery, at least not at the time he did, were it not for the MVA, he is to be compensated for the time he took off for knee surgery, this being from June 13, 2013 until August 3,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259</w:t>
      </w:r>
      <w:r>
        <w:rPr>
          <w:rFonts w:ascii="arial" w:eastAsia="arial" w:hAnsi="arial" w:cs="arial"/>
          <w:color w:val="000000"/>
          <w:sz w:val="20"/>
          <w:lang w:val="en-US" w:eastAsia="en-US" w:bidi="ar-SA"/>
        </w:rPr>
        <w:t>  These absences amounted to approximately 2 months, almost exclusively in 2013. I find that an appropriate quantification of the plaintiff's past wage loss is to take his 2013 net income, $68,528.00, this being earned over approximately 10 months, and award the plaintiff one-fifth of that amount, $13,705.60, this being 2 months' worth of wages, with a slight upwards adjustment for the contingency that the plaintiff may have missed an occasional overtime shift due to his MVA injuries during these years. Using this methodology, I award the plaintiff $15,000 in past wage loss damages for this period.</w:t>
      </w:r>
      <w:r>
        <w:rPr>
          <w:rFonts w:ascii="arial" w:eastAsia="arial" w:hAnsi="arial" w:cs="arial"/>
          <w:sz w:val="20"/>
          <w:lang w:val="en-US" w:eastAsia="en-US" w:bidi="ar-SA"/>
        </w:rPr>
        <w:cr/>
      </w:r>
    </w:p>
    <w:p>
      <w:pPr>
        <w:numPr>
          <w:numId w:val="8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Wage Loss: March 2017 to Retirement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260</w:t>
      </w:r>
      <w:r>
        <w:rPr>
          <w:rFonts w:ascii="arial" w:eastAsia="arial" w:hAnsi="arial" w:cs="arial"/>
          <w:color w:val="000000"/>
          <w:sz w:val="20"/>
          <w:lang w:val="en-US" w:eastAsia="en-US" w:bidi="ar-SA"/>
        </w:rPr>
        <w:t>  I turn now to discuss the plaintiff's past wage loss, calculated from the time he was hired at Fraser Surrey Docks until the end of 2018, and the plaintiff's future loss of earning capacity, calculated from January 1, 2019 onwards. The only expert who estimated the plaintiff's loss of past and future earnings was Mr. Turnbull. These estimates did not compare the plaintiff's wages to what he could be making in the ship foreman position, or otherwise consider the plaintiff's employment in determining these amounts. Given this lack of consideration for relevant analytical factors, I find that Mr. Turnbull's estimates cannot be relied on. Nonetheless, reliable mathematical aids or anchors should still be sought.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261</w:t>
      </w:r>
      <w:r>
        <w:rPr>
          <w:rFonts w:ascii="arial" w:eastAsia="arial" w:hAnsi="arial" w:cs="arial"/>
          <w:color w:val="000000"/>
          <w:sz w:val="20"/>
          <w:lang w:val="en-US" w:eastAsia="en-US" w:bidi="ar-SA"/>
        </w:rPr>
        <w:t>  Comparing the plaintiff's 2017 earnings to Messrs. Del Giglio, Strain and Wilson show that the plaintiff made, on average, $165,587.35 less in gross earnings, and $88,756.75 less after income tax deductions were made. However, the plaintiff did not work at Fraser Surrey Docks until on or about March 17, 2017, and was then off work as of April 24, 2017 for an indeterminate time undergoing shoulder surgery for his torn rotator cuff.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262</w:t>
      </w:r>
      <w:r>
        <w:rPr>
          <w:rFonts w:ascii="arial" w:eastAsia="arial" w:hAnsi="arial" w:cs="arial"/>
          <w:color w:val="000000"/>
          <w:sz w:val="20"/>
          <w:lang w:val="en-US" w:eastAsia="en-US" w:bidi="ar-SA"/>
        </w:rPr>
        <w:t>  The plaintiff reported to Dr. Goel that his shoulder symptoms became worse in the summer of 2016. Dr. Goel's notes dated March 30, 2017 state that the plaintiff has been avoiding activity because of his ongoing right shoulder symptoms. Dr. Goel's opinion was that the plaintiff "certainly" had a tear with medial subluxation of his bicep tendons. The plaintiff's April 24, 2017 surgery is booked at this time. In my view, this dates the plaintiff's shoulder problems back to at or near his start date at Fraser Surrey Docks.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263</w:t>
      </w:r>
      <w:r>
        <w:rPr>
          <w:rFonts w:ascii="arial" w:eastAsia="arial" w:hAnsi="arial" w:cs="arial"/>
          <w:color w:val="000000"/>
          <w:sz w:val="20"/>
          <w:lang w:val="en-US" w:eastAsia="en-US" w:bidi="ar-SA"/>
        </w:rPr>
        <w:t>  The plaintiff testified that it was hard to recover from this surgery, and that as of the time of trial he was still only 60% recovered. Dr. Golin noted in his May 3, 2017 evaluation that the plaintiff was not fit for work for at least several months. In Dr. Goel's May 8, 2017 notes, it is stated that the plaintiff will remain in sling immobilization until the next visit in one month's time. The notes from this next visit do not indicate whether the sling immobilization continued. In Dr. Marks's evaluation of the plaintiff on October 3, 2017, the plaintiff reported his shoulder as being at about 40-45% normal. While Dr. Goel noted in January 22, 2018 that the plaintiff's right shoulder was "at a near full range of motion in all planes and excellent strength", he also testified that it would take one year post-surgery to measure improvement. This date would be April 2018, past the date of the trial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264</w:t>
      </w:r>
      <w:r>
        <w:rPr>
          <w:rFonts w:ascii="arial" w:eastAsia="arial" w:hAnsi="arial" w:cs="arial"/>
          <w:color w:val="000000"/>
          <w:sz w:val="20"/>
          <w:lang w:val="en-US" w:eastAsia="en-US" w:bidi="ar-SA"/>
        </w:rPr>
        <w:t>  In sum, it is difficult to tell what effect the plaintiff's shoulder injury, surgery, rehabilitation and pain had on his earning capacity during his time at Fraser Surrey Docks until the date of trial. While I accept that the plaintiff had limitations that precluded him from working in the ship foreman position in any regard, I also accept that that it was not just the inability to work the ship foreman position that was impacting the plaintiff's earning capacity, though that may have been the primary impact. This issue is compounded by the fact that the sample size of the comparison between the plaintiff and the three foreman is already limited, and does not include any time at which it can reasonably be said the plaintiff was not suffering from a shoulder-based limitation to his earnings capacity. That is, there is no comparison period in which it can be said the plaintiff was at his full earning capacity, MVA- injuries aside.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265</w:t>
      </w:r>
      <w:r>
        <w:rPr>
          <w:rFonts w:ascii="arial" w:eastAsia="arial" w:hAnsi="arial" w:cs="arial"/>
          <w:color w:val="000000"/>
          <w:sz w:val="20"/>
          <w:lang w:val="en-US" w:eastAsia="en-US" w:bidi="ar-SA"/>
        </w:rPr>
        <w:t>  Regarding 2018, the estimation of the plaintiff's wages are based on an 11- week period, this being from January 1, 2018 to March 18, 2018, the date of the trial. No 2018 wage data for Messrs. Del Giglio, Strain and Wilson was called in evidence. The best estimate for these figures is by taking the average yearly increase of the three ship foremen's wages for the years such information is available. That assumes a certain limitless year-after-year wage increase potential, beyond the yearly increases to the base rate of pay under the Collective Agreement. While the numbers did show a steady year-after-year average growth as among the three foremen, at a certain point, earnings potential cannot be assumed to be as high as the years before given the reality that in an hourly wage-based remuneration system, there is a certain upper limit on how much a person can make.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266</w:t>
      </w:r>
      <w:r>
        <w:rPr>
          <w:rFonts w:ascii="arial" w:eastAsia="arial" w:hAnsi="arial" w:cs="arial"/>
          <w:color w:val="000000"/>
          <w:sz w:val="20"/>
          <w:lang w:val="en-US" w:eastAsia="en-US" w:bidi="ar-SA"/>
        </w:rPr>
        <w:t xml:space="preserve">  The net income figures of Messrs. Del Giglio, Strain and Wilson were not before the court, for any year, including 2017. The plaintiff's net income for 2017 and 2018 was also not provided. Pursuant to s. 98 of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 the plaintiff is entitled to recover, as damages for the income loss suffered after the MVA and before the first day of trial, not more than the net income loss that they suffered in that period as a result of the 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267</w:t>
      </w:r>
      <w:r>
        <w:rPr>
          <w:rFonts w:ascii="arial" w:eastAsia="arial" w:hAnsi="arial" w:cs="arial"/>
          <w:color w:val="000000"/>
          <w:sz w:val="20"/>
          <w:lang w:val="en-US" w:eastAsia="en-US" w:bidi="ar-SA"/>
        </w:rPr>
        <w:t xml:space="preserve">  The only way to estimate these amounts, is to take the average difference between the plaintiff's total T4 earnings--that is, his total gross wage earnings--and his net income for the years 2011-2016. This amount is approximately $13,397.17. As the period between the plaintiff being hired at Fraser Surrey Docks and the time of trial was approximately one year, the plaintiff's award would have to be reduced by approximately $13,397.17 during this period in accordance with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268</w:t>
      </w:r>
      <w:r>
        <w:rPr>
          <w:rFonts w:ascii="arial" w:eastAsia="arial" w:hAnsi="arial" w:cs="arial"/>
          <w:color w:val="000000"/>
          <w:sz w:val="20"/>
          <w:lang w:val="en-US" w:eastAsia="en-US" w:bidi="ar-SA"/>
        </w:rPr>
        <w:t xml:space="preserve">  This significantly hampers the utility of a direct comparison of wages between the plaintiff and these ship foremen for 2017 and 2018 as a basis for calculating past or future loss of earning capacity. In my view, the wage comparisons cannot reasonably be relied on as mathematical anchors or aids. As stated in </w:t>
      </w:r>
      <w:r>
        <w:rPr>
          <w:rFonts w:ascii="arial" w:eastAsia="arial" w:hAnsi="arial" w:cs="arial"/>
          <w:i/>
          <w:color w:val="000000"/>
          <w:sz w:val="20"/>
          <w:lang w:val="en-US" w:eastAsia="en-US" w:bidi="ar-SA"/>
        </w:rPr>
        <w:t>Jurczak</w:t>
      </w:r>
      <w:r>
        <w:rPr>
          <w:rFonts w:ascii="arial" w:eastAsia="arial" w:hAnsi="arial" w:cs="arial"/>
          <w:color w:val="000000"/>
          <w:sz w:val="20"/>
          <w:lang w:val="en-US" w:eastAsia="en-US" w:bidi="ar-SA"/>
        </w:rPr>
        <w:t xml:space="preserve"> at para. 30, citing </w:t>
      </w:r>
      <w:r>
        <w:rPr>
          <w:rFonts w:ascii="arial" w:eastAsia="arial" w:hAnsi="arial" w:cs="arial"/>
          <w:i/>
          <w:color w:val="000000"/>
          <w:sz w:val="20"/>
          <w:lang w:val="en-US" w:eastAsia="en-US" w:bidi="ar-SA"/>
        </w:rPr>
        <w:t>Parypa v. Wickware</w:t>
      </w:r>
      <w:r>
        <w:rPr>
          <w:rFonts w:ascii="arial" w:eastAsia="arial" w:hAnsi="arial" w:cs="arial"/>
          <w:color w:val="000000"/>
          <w:sz w:val="20"/>
          <w:lang w:val="en-US" w:eastAsia="en-US" w:bidi="ar-SA"/>
        </w:rPr>
        <w:t xml:space="preserve">, </w:t>
      </w:r>
      <w:hyperlink r:id="rId183" w:history="1">
        <w:r>
          <w:rPr>
            <w:rFonts w:ascii="arial" w:eastAsia="arial" w:hAnsi="arial" w:cs="arial"/>
            <w:i/>
            <w:color w:val="0077CC"/>
            <w:sz w:val="20"/>
            <w:u w:val="single"/>
            <w:shd w:val="clear" w:color="auto" w:fill="FFFFFF"/>
            <w:lang w:val="en-US" w:eastAsia="en-US" w:bidi="ar-SA"/>
          </w:rPr>
          <w:t>1999 BCCA 88</w:t>
        </w:r>
      </w:hyperlink>
      <w:r>
        <w:rPr>
          <w:rFonts w:ascii="arial" w:eastAsia="arial" w:hAnsi="arial" w:cs="arial"/>
          <w:color w:val="000000"/>
          <w:sz w:val="20"/>
          <w:lang w:val="en-US" w:eastAsia="en-US" w:bidi="ar-SA"/>
        </w:rPr>
        <w:t xml:space="preserve"> at para. 70, "Projections, calculations and formulas are only useful to the extent that they help determine what is fair and reasonable". In my view, it would be neither fair nor reasonable to rely on these wage comparisons in calculating the loss of the plaintiff's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269</w:t>
      </w:r>
      <w:r>
        <w:rPr>
          <w:rFonts w:ascii="arial" w:eastAsia="arial" w:hAnsi="arial" w:cs="arial"/>
          <w:color w:val="000000"/>
          <w:sz w:val="20"/>
          <w:lang w:val="en-US" w:eastAsia="en-US" w:bidi="ar-SA"/>
        </w:rPr>
        <w:t>  I accept that the average difference in wages between the plaintiff and Messrs. Del Giglio, Strain and Wilson for the period he worked at Fraser Surrey Docks, demonstrates that the plaintiff was indeed making less than they did in 2017 and 2018, both individually and on average. However, given the relatively small sample size of these wage comparisons, the plaintiff's shoulder issues affecting him at all, or nearly all, material times of the wage comparison, and the resulting uncertainty in regard to what losses this sample size actually shows, it cannot be said, on a balance of probabilities, that these numbers accurately reflect an assessment of the plaintiff's loss of earning capacity, past or future. Contingencies, too, must also be considered.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270</w:t>
      </w:r>
      <w:r>
        <w:rPr>
          <w:rFonts w:ascii="arial" w:eastAsia="arial" w:hAnsi="arial" w:cs="arial"/>
          <w:color w:val="000000"/>
          <w:sz w:val="20"/>
          <w:lang w:val="en-US" w:eastAsia="en-US" w:bidi="ar-SA"/>
        </w:rPr>
        <w:t xml:space="preserve">  First, the evidence does not disclose a basis for concluding that the plaintiff is unable to pick up </w:t>
      </w:r>
      <w:r>
        <w:rPr>
          <w:rFonts w:ascii="arial" w:eastAsia="arial" w:hAnsi="arial" w:cs="arial"/>
          <w:i/>
          <w:color w:val="000000"/>
          <w:sz w:val="20"/>
          <w:lang w:val="en-US" w:eastAsia="en-US" w:bidi="ar-SA"/>
        </w:rPr>
        <w:t>any</w:t>
      </w:r>
      <w:r>
        <w:rPr>
          <w:rFonts w:ascii="arial" w:eastAsia="arial" w:hAnsi="arial" w:cs="arial"/>
          <w:color w:val="000000"/>
          <w:sz w:val="20"/>
          <w:lang w:val="en-US" w:eastAsia="en-US" w:bidi="ar-SA"/>
        </w:rPr>
        <w:t xml:space="preserve"> overtime shifts, no matter what they may be. Rather, the evidence is limited to saying the plaintiff cannot pick up overtime shifts for positions where the duties required are irreconcilable with his MVA injuries. The scope of which positions this amounts to is not fully defined, though it is clear that any position that requires being on a ship is probably within this scope. That said, the plaintiff's personality, work ethic, and attitude are such that I accept that he would work as much as the other three ship foremen if given an equal opportunity. To what degree this desire to work as much as he can has been curtailed by the plaintiff's shoulder problem in 2017 and 2018, and to what degree these problems will resolve themselves into the future, is an example of the difficulty of accurately assessing what the plaintiff's future loss of earning capacity is just based on these two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271</w:t>
      </w:r>
      <w:r>
        <w:rPr>
          <w:rFonts w:ascii="arial" w:eastAsia="arial" w:hAnsi="arial" w:cs="arial"/>
          <w:color w:val="000000"/>
          <w:sz w:val="20"/>
          <w:lang w:val="en-US" w:eastAsia="en-US" w:bidi="ar-SA"/>
        </w:rPr>
        <w:t>  There is also the contingency that the plaintiff could work as a dock foreman more regularly, or on a full-time basis, given that he indicated to Ms. Beattie that 10% of the work he did was dock work. The evidence was that the dock foreman position does not require constant walking, as these foremen use a pickup truck or golf cart to get around, activities there is no indication the plaintiff was unable to do. Mr. Wilson testified that the dock foreman position does not involve climbing up ladders, and is not as physical as the ship foreman position. The evidence is unclear as to whether the plaintiff would be physically precluded from working the dock foreman position, either full time, or in an overtime capacity given that the scope of the dock foreman's duties and physical requirements were not put before the court. Neither was the availability of dock foreman work led in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272</w:t>
      </w:r>
      <w:r>
        <w:rPr>
          <w:rFonts w:ascii="arial" w:eastAsia="arial" w:hAnsi="arial" w:cs="arial"/>
          <w:color w:val="000000"/>
          <w:sz w:val="20"/>
          <w:lang w:val="en-US" w:eastAsia="en-US" w:bidi="ar-SA"/>
        </w:rPr>
        <w:t>  There is also the matter of whether the dock foreman position was a full-time position when the plaintiff was hired in March 2017, and whether it will continue to be a full-time position into the future. Mr. Strain testified that he does ship foreman and dock foreman work. Mr. Del Giglio, a foreman, also testified that he works on the docks and on ships.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273</w:t>
      </w:r>
      <w:r>
        <w:rPr>
          <w:rFonts w:ascii="arial" w:eastAsia="arial" w:hAnsi="arial" w:cs="arial"/>
          <w:color w:val="000000"/>
          <w:sz w:val="20"/>
          <w:lang w:val="en-US" w:eastAsia="en-US" w:bidi="ar-SA"/>
        </w:rPr>
        <w:t>  For the purposes of this contingency analysis it is my view that the dock foreman position does indeed exist at Fraser Surrey Docks. In my view, it can fairly be assumed that the plaintiff could make himself available for the dock foreman position, and would not be precluded from that position by virtue of his MVA injuries. In my view, it can also be fairly assumed that he would be paid more in the dock foreman position, by way of working more hours, earning a higher wage, or both. I do not think that it can be fairly assumed that the dock foreman position is necessarily a full-time position. I am mindful of the multiple hypothetical layers in this scenario, but it is a scenario that ought to be considered as a plausible contingency nonetheless.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274</w:t>
      </w:r>
      <w:r>
        <w:rPr>
          <w:rFonts w:ascii="arial" w:eastAsia="arial" w:hAnsi="arial" w:cs="arial"/>
          <w:color w:val="000000"/>
          <w:sz w:val="20"/>
          <w:lang w:val="en-US" w:eastAsia="en-US" w:bidi="ar-SA"/>
        </w:rPr>
        <w:t>  There is also the consideration that in the future the plaintiff would be physically precluded from the ship foreman position due to his pre-existing right knee condition, or would not be inclined to take on this position either due to a desire to spend more time with his family or for other lifestyle reasons, must now be considered.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275</w:t>
      </w:r>
      <w:r>
        <w:rPr>
          <w:rFonts w:ascii="arial" w:eastAsia="arial" w:hAnsi="arial" w:cs="arial"/>
          <w:color w:val="000000"/>
          <w:sz w:val="20"/>
          <w:lang w:val="en-US" w:eastAsia="en-US" w:bidi="ar-SA"/>
        </w:rPr>
        <w:t>  There is some evidence the plaintiff had problems with job duties that are part of the ship foreman position before the accident--uneven surface walking and ladders--but it cannot be said that he would be unable to work this job in that condition, just that he may have had some problems. That said, there remained some chance that these problems would worsen, or that the plaintiff would choose not to work as a ship foreman due to these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276</w:t>
      </w:r>
      <w:r>
        <w:rPr>
          <w:rFonts w:ascii="arial" w:eastAsia="arial" w:hAnsi="arial" w:cs="arial"/>
          <w:color w:val="000000"/>
          <w:sz w:val="20"/>
          <w:lang w:val="en-US" w:eastAsia="en-US" w:bidi="ar-SA"/>
        </w:rPr>
        <w:t>  I further find that the plaintiff saw lifestyle and family benefits to the container gate position, which cannot be ignored. It is difficult to reconcile the plaintiff's expressed desire to work as a ship foreman, which necessarily entails either some night or graveyard shifts, or weekend shifts so as to earn more money, with his desire to be more present and active with his family and particularly be involved in his children's recreational activities. I find there is some chance the plaintiff would have self-selected out of the ship foreman position to better serve as a father and a husband.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277</w:t>
      </w:r>
      <w:r>
        <w:rPr>
          <w:rFonts w:ascii="arial" w:eastAsia="arial" w:hAnsi="arial" w:cs="arial"/>
          <w:color w:val="000000"/>
          <w:sz w:val="20"/>
          <w:lang w:val="en-US" w:eastAsia="en-US" w:bidi="ar-SA"/>
        </w:rPr>
        <w:t xml:space="preserve">  There is also the possibility that in the future the plaintiff would prefer the container gate foreman position over the ship foreman job position due its stable, Monday to Friday, 40-hour-a-week nature being a better fit for his lifestyle and personal preferences. The following awards reflect the multiple contingencies noted, and the uncertain, limited wage comparison data upon which the court is called upon to rely. These awards also bear in mind the four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capital asset approach consideration factors cited in </w:t>
      </w:r>
      <w:r>
        <w:rPr>
          <w:rFonts w:ascii="arial" w:eastAsia="arial" w:hAnsi="arial" w:cs="arial"/>
          <w:i/>
          <w:color w:val="000000"/>
          <w:sz w:val="20"/>
          <w:lang w:val="en-US" w:eastAsia="en-US" w:bidi="ar-SA"/>
        </w:rPr>
        <w:t>Hoy</w:t>
      </w:r>
      <w:r>
        <w:rPr>
          <w:rFonts w:ascii="arial" w:eastAsia="arial" w:hAnsi="arial" w:cs="arial"/>
          <w:color w:val="000000"/>
          <w:sz w:val="20"/>
          <w:lang w:val="en-US" w:eastAsia="en-US" w:bidi="ar-SA"/>
        </w:rPr>
        <w:t>, the most relevant of which given the stability of the plaintiff's job being: i) whether the plaintiff has been rendered less capable overall of earning income from all types of employment; and ii) whether the plaintiff has lost the ability to take advantage of all job opportunities that might otherwise have been open.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278</w:t>
      </w:r>
      <w:r>
        <w:rPr>
          <w:rFonts w:ascii="arial" w:eastAsia="arial" w:hAnsi="arial" w:cs="arial"/>
          <w:color w:val="000000"/>
          <w:sz w:val="20"/>
          <w:lang w:val="en-US" w:eastAsia="en-US" w:bidi="ar-SA"/>
        </w:rPr>
        <w:t>  I find that damages in the amount of $30,000 for past loss of earning capacity, calculated from the time he was hired at Fraser Surrey Docks on or about March 17, 2017 until the first day of trial, March 11, 2018, to be appropriate. The total amount of the plaintiff's past loss of earning capacity damages, from the date of the MVA, September 30, 2012 to March 11, 2018 is $45,000.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279</w:t>
      </w:r>
      <w:r>
        <w:rPr>
          <w:rFonts w:ascii="arial" w:eastAsia="arial" w:hAnsi="arial" w:cs="arial"/>
          <w:color w:val="000000"/>
          <w:sz w:val="20"/>
          <w:lang w:val="en-US" w:eastAsia="en-US" w:bidi="ar-SA"/>
        </w:rPr>
        <w:t>  The amount of past income loss must be netted for income tax. I have already done so for the plaintiff's wage loss from September 2012 until March 2017. I leave any remaining deductions for the March 2017 to March 11, 2018 period to the parties to determine. If they are unable to agree, I refer them to the Registrar for a determination of the appropriate deduction.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280</w:t>
      </w:r>
      <w:r>
        <w:rPr>
          <w:rFonts w:ascii="arial" w:eastAsia="arial" w:hAnsi="arial" w:cs="arial"/>
          <w:color w:val="000000"/>
          <w:sz w:val="20"/>
          <w:lang w:val="en-US" w:eastAsia="en-US" w:bidi="ar-SA"/>
        </w:rPr>
        <w:t>  The plaintiff will be approximately 47 years and 5 months old as of January 1, 2019. This leaves 17 years and 7 months until his retirement age of 65. I find damages in the amount of $300,000 for loss of future earning capacity, calculated from January 1, 2019 onwards, to be appropriate.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Loss of Housekeeping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281</w:t>
      </w:r>
      <w:r>
        <w:rPr>
          <w:rFonts w:ascii="arial" w:eastAsia="arial" w:hAnsi="arial" w:cs="arial"/>
          <w:color w:val="000000"/>
          <w:sz w:val="20"/>
          <w:lang w:val="en-US" w:eastAsia="en-US" w:bidi="ar-SA"/>
        </w:rPr>
        <w:t xml:space="preserve">  The plaintiff alleges he has lost the capacity to perform certain housekeeping duties, for which he must now either hire replacement services for or have family members perform. As set out in </w:t>
      </w:r>
      <w:r>
        <w:rPr>
          <w:rFonts w:ascii="arial" w:eastAsia="arial" w:hAnsi="arial" w:cs="arial"/>
          <w:i/>
          <w:color w:val="000000"/>
          <w:sz w:val="20"/>
          <w:lang w:val="en-US" w:eastAsia="en-US" w:bidi="ar-SA"/>
        </w:rPr>
        <w:t>Kim v. Lin</w:t>
      </w:r>
      <w:r>
        <w:rPr>
          <w:rFonts w:ascii="arial" w:eastAsia="arial" w:hAnsi="arial" w:cs="arial"/>
          <w:color w:val="000000"/>
          <w:sz w:val="20"/>
          <w:lang w:val="en-US" w:eastAsia="en-US" w:bidi="ar-SA"/>
        </w:rPr>
        <w:t xml:space="preserve">, </w:t>
      </w:r>
      <w:hyperlink r:id="rId184" w:history="1">
        <w:r>
          <w:rPr>
            <w:rFonts w:ascii="arial" w:eastAsia="arial" w:hAnsi="arial" w:cs="arial"/>
            <w:i/>
            <w:color w:val="0077CC"/>
            <w:sz w:val="20"/>
            <w:u w:val="single"/>
            <w:shd w:val="clear" w:color="auto" w:fill="FFFFFF"/>
            <w:lang w:val="en-US" w:eastAsia="en-US" w:bidi="ar-SA"/>
          </w:rPr>
          <w:t>2018 BCCA 77</w:t>
        </w:r>
      </w:hyperlink>
      <w:r>
        <w:rPr>
          <w:rFonts w:ascii="arial" w:eastAsia="arial" w:hAnsi="arial" w:cs="arial"/>
          <w:color w:val="000000"/>
          <w:sz w:val="20"/>
          <w:lang w:val="en-US" w:eastAsia="en-US" w:bidi="ar-SA"/>
        </w:rPr>
        <w:t>, the plaintiff's loss of housekeeping capacity is appropriately compensated for by way of a pecuniary damages award, subject to contingencies. I refer to Bauman C.J.A.'s award in some length as it helpfully summarizes the law in this area: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[30] Professors Cassels and Adjin-Tetty in </w:t>
      </w:r>
      <w:r>
        <w:rPr>
          <w:rFonts w:ascii="arial" w:eastAsia="arial" w:hAnsi="arial" w:cs="arial"/>
          <w:i/>
          <w:color w:val="000000"/>
          <w:sz w:val="20"/>
          <w:lang w:val="en-US" w:eastAsia="en-US" w:bidi="ar-SA"/>
        </w:rPr>
        <w:t>Remedies: The Law of Damages</w:t>
      </w:r>
      <w:r>
        <w:rPr>
          <w:rFonts w:ascii="arial" w:eastAsia="arial" w:hAnsi="arial" w:cs="arial"/>
          <w:color w:val="000000"/>
          <w:sz w:val="20"/>
          <w:lang w:val="en-US" w:eastAsia="en-US" w:bidi="ar-SA"/>
        </w:rPr>
        <w:t>, 3d ed (Toronto: Irwin Law Inc., 2014) at 187-188, draw a distinction between cases of pecuniary and non-pecuniary loss on the basis of whether a plaintiff has actually lost the capacity to perform housework: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 the plaintiff continues to perform the tasks but with difficulty, requires more time to complete tasks, or manages to get by without doing or intending to do these tasks, the loss may be compensated for as part of non-pecuniary damages for pain and suffering and loss of amenity. Specifically, compensation is intended for the plaintiff's pain in persevering with housework, loss of satisfaction in not contributing to the upkeep of one's home, and/or for having to live with a disordered and perhaps not a well- functioning home. There may be a fine line between situations of diminished capacity to perform tasks and when the plaintiff completes tasks with difficulty. Care needs to be taken in making these distinctions to ensure fairness to both plaintiff and defendant. A pecuniary award may be appropriate where the evidence indicates that a reasonable person in the plaintiff's circumstances should not be expected to continue to perform the tasks in question due to their injuries. Such a position avoids prejudicing plaintiffs who are stoic, or are unable to benefit from gratuitous services or afford to hire replacement services prior to trial.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[Footnotes omitted.]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[31] This distinction is consistent with this Court's decision in </w:t>
      </w:r>
      <w:r>
        <w:rPr>
          <w:rFonts w:ascii="arial" w:eastAsia="arial" w:hAnsi="arial" w:cs="arial"/>
          <w:i/>
          <w:color w:val="000000"/>
          <w:sz w:val="20"/>
          <w:lang w:val="en-US" w:eastAsia="en-US" w:bidi="ar-SA"/>
        </w:rPr>
        <w:t>O'Connell v. Yung</w:t>
      </w:r>
      <w:r>
        <w:rPr>
          <w:rFonts w:ascii="arial" w:eastAsia="arial" w:hAnsi="arial" w:cs="arial"/>
          <w:color w:val="000000"/>
          <w:sz w:val="20"/>
          <w:lang w:val="en-US" w:eastAsia="en-US" w:bidi="ar-SA"/>
        </w:rPr>
        <w:t xml:space="preserve">, </w:t>
      </w:r>
      <w:hyperlink r:id="rId185" w:history="1">
        <w:r>
          <w:rPr>
            <w:rFonts w:ascii="arial" w:eastAsia="arial" w:hAnsi="arial" w:cs="arial"/>
            <w:i/>
            <w:color w:val="0077CC"/>
            <w:sz w:val="20"/>
            <w:u w:val="single"/>
            <w:shd w:val="clear" w:color="auto" w:fill="FFFFFF"/>
            <w:lang w:val="en-US" w:eastAsia="en-US" w:bidi="ar-SA"/>
          </w:rPr>
          <w:t>2012 BCCA 57</w:t>
        </w:r>
      </w:hyperlink>
      <w:r>
        <w:rPr>
          <w:rFonts w:ascii="arial" w:eastAsia="arial" w:hAnsi="arial" w:cs="arial"/>
          <w:color w:val="000000"/>
          <w:sz w:val="20"/>
          <w:lang w:val="en-US" w:eastAsia="en-US" w:bidi="ar-SA"/>
        </w:rPr>
        <w:t xml:space="preserve">, where Kirkpatrick J.A. clarified that loss of housekeeping capacity was just that, a loss of </w:t>
      </w:r>
      <w:r>
        <w:rPr>
          <w:rFonts w:ascii="arial" w:eastAsia="arial" w:hAnsi="arial" w:cs="arial"/>
          <w:i/>
          <w:color w:val="000000"/>
          <w:sz w:val="20"/>
          <w:lang w:val="en-US" w:eastAsia="en-US" w:bidi="ar-SA"/>
        </w:rPr>
        <w:t>capacity</w:t>
      </w:r>
      <w:r>
        <w:rPr>
          <w:rFonts w:ascii="arial" w:eastAsia="arial" w:hAnsi="arial" w:cs="arial"/>
          <w:color w:val="000000"/>
          <w:sz w:val="20"/>
          <w:lang w:val="en-US" w:eastAsia="en-US" w:bidi="ar-SA"/>
        </w:rPr>
        <w:t>, or the loss of an asset that should be compensated as a pecuniary loss regardless of whether the replacement services which are used to value the loss and determine the quantum of the award are actually purchased: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[65] As explained by Professor Cooper-Stephenson in </w:t>
      </w:r>
      <w:r>
        <w:rPr>
          <w:rFonts w:ascii="arial" w:eastAsia="arial" w:hAnsi="arial" w:cs="arial"/>
          <w:i/>
          <w:color w:val="000000"/>
          <w:sz w:val="20"/>
          <w:lang w:val="en-US" w:eastAsia="en-US" w:bidi="ar-SA"/>
        </w:rPr>
        <w:t>Personal</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Injury Damages in Canada</w:t>
      </w:r>
      <w:r>
        <w:rPr>
          <w:rFonts w:ascii="arial" w:eastAsia="arial" w:hAnsi="arial" w:cs="arial"/>
          <w:color w:val="000000"/>
          <w:sz w:val="20"/>
          <w:lang w:val="en-US" w:eastAsia="en-US" w:bidi="ar-SA"/>
        </w:rPr>
        <w:t>, 2d ed. (Scarborough: Carswell, 1996) at 315, the claims for loss of home making capacity and for future cost of care are distinct: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claim for loss of homemaking capacity is for the loss of the value of work which would have been rendered by the plaintiff, but which because of the injuries cannot now be performed. The plaintiff has lost the ability to work in a manner that would have been valuable to her- or himself as well as to others. The claim is not the same as that under future cost of care, which is for the value of services that must now be rendered to the plaintiff</w:t>
      </w:r>
      <w:r>
        <w:rPr>
          <w:rFonts w:ascii="arial" w:eastAsia="arial" w:hAnsi="arial" w:cs="arial"/>
          <w:color w:val="000000"/>
          <w:sz w:val="20"/>
          <w:lang w:val="en-US" w:eastAsia="en-US" w:bidi="ar-SA"/>
        </w:rPr>
        <w:t xml:space="preserve">. It is true that the two claims may overlap--just as the normal claim for loss of earnings and cost of care may do so --because the cost of care claim may include items which the plaintiff- homemaker would have performed but for the accident. However, a large portion of homemaking involves the performance of work for others, namely, the family unit, and in many cases the claim for loss of homemaking capacity is wholly distinguishable from that for cost of care, particularly if the plaintiff is hospitalized. </w:t>
      </w:r>
      <w:r>
        <w:rPr>
          <w:rFonts w:ascii="arial" w:eastAsia="arial" w:hAnsi="arial" w:cs="arial"/>
          <w:color w:val="000000"/>
          <w:sz w:val="20"/>
          <w:u w:val="single"/>
          <w:lang w:val="en-US" w:eastAsia="en-US" w:bidi="ar-SA"/>
        </w:rPr>
        <w:t>The loss is a "negative" loss, in the sense that it is the loss of something the plaintiff would have had (her homemaking work) but which she now does not have because of the accident</w:t>
      </w:r>
      <w:r>
        <w:rPr>
          <w:rFonts w:ascii="arial" w:eastAsia="arial" w:hAnsi="arial" w:cs="arial"/>
          <w:color w:val="000000"/>
          <w:sz w:val="20"/>
          <w:lang w:val="en-US" w:eastAsia="en-US" w:bidi="ar-SA"/>
        </w:rPr>
        <w:t>. This places it squarely under the head of loss of working capacity. In contrast, the expense of services provided by others to care for the plaintiff are "positive" losses--the addition of an extra expense--and they clearly fall under cost of care.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[67] As noted by Madam Justice Huddart in </w:t>
      </w:r>
      <w:r>
        <w:rPr>
          <w:rFonts w:ascii="arial" w:eastAsia="arial" w:hAnsi="arial" w:cs="arial"/>
          <w:i/>
          <w:color w:val="000000"/>
          <w:sz w:val="20"/>
          <w:lang w:val="en-US" w:eastAsia="en-US" w:bidi="ar-SA"/>
        </w:rPr>
        <w:t>McTavish</w:t>
      </w:r>
      <w:r>
        <w:rPr>
          <w:rFonts w:ascii="arial" w:eastAsia="arial" w:hAnsi="arial" w:cs="arial"/>
          <w:color w:val="000000"/>
          <w:sz w:val="20"/>
          <w:lang w:val="en-US" w:eastAsia="en-US" w:bidi="ar-SA"/>
        </w:rPr>
        <w:t xml:space="preserve">, at para. 16, the case was concerned with the development of principled restraints on claims for loss of housekeeping capacity. One of the principles approved in </w:t>
      </w:r>
      <w:r>
        <w:rPr>
          <w:rFonts w:ascii="arial" w:eastAsia="arial" w:hAnsi="arial" w:cs="arial"/>
          <w:i/>
          <w:color w:val="000000"/>
          <w:sz w:val="20"/>
          <w:lang w:val="en-US" w:eastAsia="en-US" w:bidi="ar-SA"/>
        </w:rPr>
        <w:t>Kroeker</w:t>
      </w:r>
      <w:r>
        <w:rPr>
          <w:rFonts w:ascii="arial" w:eastAsia="arial" w:hAnsi="arial" w:cs="arial"/>
          <w:color w:val="000000"/>
          <w:sz w:val="20"/>
          <w:lang w:val="en-US" w:eastAsia="en-US" w:bidi="ar-SA"/>
        </w:rPr>
        <w:t xml:space="preserve"> came from </w:t>
      </w:r>
      <w:r>
        <w:rPr>
          <w:rFonts w:ascii="arial" w:eastAsia="arial" w:hAnsi="arial" w:cs="arial"/>
          <w:i/>
          <w:color w:val="000000"/>
          <w:sz w:val="20"/>
          <w:lang w:val="en-US" w:eastAsia="en-US" w:bidi="ar-SA"/>
        </w:rPr>
        <w:t>Fobel v. Dean</w:t>
      </w:r>
      <w:r>
        <w:rPr>
          <w:rFonts w:ascii="arial" w:eastAsia="arial" w:hAnsi="arial" w:cs="arial"/>
          <w:color w:val="000000"/>
          <w:sz w:val="20"/>
          <w:lang w:val="en-US" w:eastAsia="en-US" w:bidi="ar-SA"/>
        </w:rPr>
        <w:t xml:space="preserve"> (1991), </w:t>
      </w:r>
      <w:hyperlink r:id="rId186" w:history="1">
        <w:r>
          <w:rPr>
            <w:rFonts w:ascii="arial" w:eastAsia="arial" w:hAnsi="arial" w:cs="arial"/>
            <w:i/>
            <w:color w:val="0077CC"/>
            <w:sz w:val="20"/>
            <w:u w:val="single"/>
            <w:shd w:val="clear" w:color="auto" w:fill="FFFFFF"/>
            <w:lang w:val="en-US" w:eastAsia="en-US" w:bidi="ar-SA"/>
          </w:rPr>
          <w:t>1991 CanLII 3965</w:t>
        </w:r>
      </w:hyperlink>
      <w:r>
        <w:rPr>
          <w:rFonts w:ascii="arial" w:eastAsia="arial" w:hAnsi="arial" w:cs="arial"/>
          <w:color w:val="000000"/>
          <w:sz w:val="20"/>
          <w:lang w:val="en-US" w:eastAsia="en-US" w:bidi="ar-SA"/>
        </w:rPr>
        <w:t xml:space="preserve"> (SK CA), </w:t>
      </w:r>
      <w:hyperlink r:id="rId186" w:history="1">
        <w:r>
          <w:rPr>
            <w:rFonts w:ascii="arial" w:eastAsia="arial" w:hAnsi="arial" w:cs="arial"/>
            <w:i/>
            <w:color w:val="0077CC"/>
            <w:sz w:val="20"/>
            <w:u w:val="single"/>
            <w:shd w:val="clear" w:color="auto" w:fill="FFFFFF"/>
            <w:lang w:val="en-US" w:eastAsia="en-US" w:bidi="ar-SA"/>
          </w:rPr>
          <w:t>83 D.L.R. (4th) 385</w:t>
        </w:r>
      </w:hyperlink>
      <w:r>
        <w:rPr>
          <w:rFonts w:ascii="arial" w:eastAsia="arial" w:hAnsi="arial" w:cs="arial"/>
          <w:color w:val="000000"/>
          <w:sz w:val="20"/>
          <w:lang w:val="en-US" w:eastAsia="en-US" w:bidi="ar-SA"/>
        </w:rPr>
        <w:t xml:space="preserve"> at 407, </w:t>
      </w:r>
      <w:hyperlink r:id="rId186" w:history="1">
        <w:r>
          <w:rPr>
            <w:rFonts w:ascii="arial" w:eastAsia="arial" w:hAnsi="arial" w:cs="arial"/>
            <w:i/>
            <w:color w:val="0077CC"/>
            <w:sz w:val="20"/>
            <w:u w:val="single"/>
            <w:shd w:val="clear" w:color="auto" w:fill="FFFFFF"/>
            <w:lang w:val="en-US" w:eastAsia="en-US" w:bidi="ar-SA"/>
          </w:rPr>
          <w:t>[1991] 6 W.W.R. 408</w:t>
        </w:r>
      </w:hyperlink>
      <w:r>
        <w:rPr>
          <w:rFonts w:ascii="arial" w:eastAsia="arial" w:hAnsi="arial" w:cs="arial"/>
          <w:color w:val="000000"/>
          <w:sz w:val="20"/>
          <w:lang w:val="en-US" w:eastAsia="en-US" w:bidi="ar-SA"/>
        </w:rPr>
        <w:t xml:space="preserve"> (Sask.C.A.), in which it was said that it is not necessary for a plaintiff to prove that someone will be employed to do the work in the future to be entitled to an award for loss of housekeeping capacity. </w:t>
      </w:r>
      <w:r>
        <w:rPr>
          <w:rFonts w:ascii="arial" w:eastAsia="arial" w:hAnsi="arial" w:cs="arial"/>
          <w:color w:val="000000"/>
          <w:sz w:val="20"/>
          <w:u w:val="single"/>
          <w:lang w:val="en-US" w:eastAsia="en-US" w:bidi="ar-SA"/>
        </w:rPr>
        <w:t>As I understand the principle, it is the loss of a capacity -- an asset -- that is compensated</w:t>
      </w:r>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Accordingly, because the award reflects the loss of a personal capacity, it is not dependent upon whether replacement housekeeping costs are actually incurred</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[32] In coming to this conclusion, Kirkpatrick J.A. relied on </w:t>
      </w:r>
      <w:r>
        <w:rPr>
          <w:rFonts w:ascii="arial" w:eastAsia="arial" w:hAnsi="arial" w:cs="arial"/>
          <w:i/>
          <w:color w:val="000000"/>
          <w:sz w:val="20"/>
          <w:lang w:val="en-US" w:eastAsia="en-US" w:bidi="ar-SA"/>
        </w:rPr>
        <w:t>McTavish</w:t>
      </w:r>
      <w:r>
        <w:rPr>
          <w:rFonts w:ascii="arial" w:eastAsia="arial" w:hAnsi="arial" w:cs="arial"/>
          <w:color w:val="000000"/>
          <w:sz w:val="20"/>
          <w:lang w:val="en-US" w:eastAsia="en-US" w:bidi="ar-SA"/>
        </w:rPr>
        <w:t xml:space="preserve">, which discussed how contingencies should be considered when assessing an award. In </w:t>
      </w:r>
      <w:r>
        <w:rPr>
          <w:rFonts w:ascii="arial" w:eastAsia="arial" w:hAnsi="arial" w:cs="arial"/>
          <w:i/>
          <w:color w:val="000000"/>
          <w:sz w:val="20"/>
          <w:lang w:val="en-US" w:eastAsia="en-US" w:bidi="ar-SA"/>
        </w:rPr>
        <w:t>McTavish</w:t>
      </w:r>
      <w:r>
        <w:rPr>
          <w:rFonts w:ascii="arial" w:eastAsia="arial" w:hAnsi="arial" w:cs="arial"/>
          <w:color w:val="000000"/>
          <w:sz w:val="20"/>
          <w:lang w:val="en-US" w:eastAsia="en-US" w:bidi="ar-SA"/>
        </w:rPr>
        <w:t>, Huddart J.A. in concurring reasons -- though at para. 76 the majority expressly agreed with her on this point -- wrote that awards for loss of housekeeping capacity should not deduct contingencies for the chance that a plaintiff will not actually hire replacement services because that had no relationship to the likelihood of the loss of capacity the plaintiff suffered: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[43] As I have noted, the majority in </w:t>
      </w:r>
      <w:r>
        <w:rPr>
          <w:rFonts w:ascii="arial" w:eastAsia="arial" w:hAnsi="arial" w:cs="arial"/>
          <w:i/>
          <w:color w:val="000000"/>
          <w:sz w:val="20"/>
          <w:lang w:val="en-US" w:eastAsia="en-US" w:bidi="ar-SA"/>
        </w:rPr>
        <w:t>Kroeker</w:t>
      </w:r>
      <w:r>
        <w:rPr>
          <w:rFonts w:ascii="arial" w:eastAsia="arial" w:hAnsi="arial" w:cs="arial"/>
          <w:color w:val="000000"/>
          <w:sz w:val="20"/>
          <w:lang w:val="en-US" w:eastAsia="en-US" w:bidi="ar-SA"/>
        </w:rPr>
        <w:t xml:space="preserve"> quite clearly decided that a reasonable award for the loss of the capacity to do housework was appropriate whether that loss occurred before or after trial. It was, in my view, equally clear that it mattered not whether replacement services had been or would be hired. It did not adopt the analogy with future care as a general rule. Nor did it permit, nor in view of the authorities to which I have referred could it have permitted, a deduction for the contingency that replacement services might not be hired. </w:t>
      </w:r>
      <w:r>
        <w:rPr>
          <w:rFonts w:ascii="arial" w:eastAsia="arial" w:hAnsi="arial" w:cs="arial"/>
          <w:color w:val="000000"/>
          <w:sz w:val="20"/>
          <w:u w:val="single"/>
          <w:lang w:val="en-US" w:eastAsia="en-US" w:bidi="ar-SA"/>
        </w:rPr>
        <w:t>Allowances for contingencies are for risk factors that might make the loss of capacity more or less likely</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[44] In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3"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 27; </w:t>
      </w:r>
      <w:hyperlink r:id="rId13" w:history="1">
        <w:r>
          <w:rPr>
            <w:rFonts w:ascii="arial" w:eastAsia="arial" w:hAnsi="arial" w:cs="arial"/>
            <w:i/>
            <w:color w:val="0077CC"/>
            <w:sz w:val="20"/>
            <w:u w:val="single"/>
            <w:shd w:val="clear" w:color="auto" w:fill="FFFFFF"/>
            <w:lang w:val="en-US" w:eastAsia="en-US" w:bidi="ar-SA"/>
          </w:rPr>
          <w:t>(1996), 140 D.L.R. (4th) 235</w:t>
        </w:r>
      </w:hyperlink>
      <w:r>
        <w:rPr>
          <w:rFonts w:ascii="arial" w:eastAsia="arial" w:hAnsi="arial" w:cs="arial"/>
          <w:color w:val="000000"/>
          <w:sz w:val="20"/>
          <w:lang w:val="en-US" w:eastAsia="en-US" w:bidi="ar-SA"/>
        </w:rPr>
        <w:t xml:space="preserve"> at 242 (S.C.C.). Major J. explained the effect of contingencies: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For example, if there is a 30% chance that the plaintiff's injuries will worsen, then the damage award may be increased by 30% of the anticipated extra damages to reflect that risk. A future or hypothetical possibility will be taken into consideration as long as it is a real and substantial possibility and not mere speculation.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[33] Therefore, where a plaintiff suffers an injury which would make a reasonable person in the plaintiff's circumstances unable to perform usual and necessary household work -- i.e., where the plaintiff has suffered a true loss of capacity -- that loss may be compensated by a pecuniary damages award. Where the plaintiff suffers a loss that is more in keeping with a loss of amenities, or increased pain and suffering, that loss may instead be compensated by a non-pecuniary damages award. However, I do not wish to create an inflexible rule for courts addressing these awards, and as this Court said in </w:t>
      </w:r>
      <w:r>
        <w:rPr>
          <w:rFonts w:ascii="arial" w:eastAsia="arial" w:hAnsi="arial" w:cs="arial"/>
          <w:i/>
          <w:color w:val="000000"/>
          <w:sz w:val="20"/>
          <w:lang w:val="en-US" w:eastAsia="en-US" w:bidi="ar-SA"/>
        </w:rPr>
        <w:t>Liu</w:t>
      </w:r>
      <w:r>
        <w:rPr>
          <w:rFonts w:ascii="arial" w:eastAsia="arial" w:hAnsi="arial" w:cs="arial"/>
          <w:color w:val="000000"/>
          <w:sz w:val="20"/>
          <w:lang w:val="en-US" w:eastAsia="en-US" w:bidi="ar-SA"/>
        </w:rPr>
        <w:t>, "it lies in the trial judge's discretion whether to address such a claim as part of the non-pecuniary loss or as a segregated pecuniary head of damage": at para. 26.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[34] Whichever option a court chooses, when valuing these different types of awards, courts should pay heed to the differing rationales behind them. In particular, when valuing the pecuniary damages for the loss of capacity suffered by a plaintiff, courts may look to the cost of hiring replacement services, but they should ensure that any award for that loss, and any deduction to that award, is tied to the actual loss of capacity which justifies the award in the first place.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[35] I recognize that in </w:t>
      </w:r>
      <w:r>
        <w:rPr>
          <w:rFonts w:ascii="arial" w:eastAsia="arial" w:hAnsi="arial" w:cs="arial"/>
          <w:i/>
          <w:color w:val="000000"/>
          <w:sz w:val="20"/>
          <w:lang w:val="en-US" w:eastAsia="en-US" w:bidi="ar-SA"/>
        </w:rPr>
        <w:t>Kroeker v. Jansen</w:t>
      </w:r>
      <w:r>
        <w:rPr>
          <w:rFonts w:ascii="arial" w:eastAsia="arial" w:hAnsi="arial" w:cs="arial"/>
          <w:color w:val="000000"/>
          <w:sz w:val="20"/>
          <w:lang w:val="en-US" w:eastAsia="en-US" w:bidi="ar-SA"/>
        </w:rPr>
        <w:t xml:space="preserve"> </w:t>
      </w:r>
      <w:hyperlink r:id="rId187" w:history="1">
        <w:r>
          <w:rPr>
            <w:rFonts w:ascii="arial" w:eastAsia="arial" w:hAnsi="arial" w:cs="arial"/>
            <w:i/>
            <w:color w:val="0077CC"/>
            <w:sz w:val="20"/>
            <w:u w:val="single"/>
            <w:shd w:val="clear" w:color="auto" w:fill="FFFFFF"/>
            <w:lang w:val="en-US" w:eastAsia="en-US" w:bidi="ar-SA"/>
          </w:rPr>
          <w:t>(1995), 4 B.C.L.R. (3d) 178</w:t>
        </w:r>
      </w:hyperlink>
      <w:r>
        <w:rPr>
          <w:rFonts w:ascii="arial" w:eastAsia="arial" w:hAnsi="arial" w:cs="arial"/>
          <w:color w:val="000000"/>
          <w:sz w:val="20"/>
          <w:lang w:val="en-US" w:eastAsia="en-US" w:bidi="ar-SA"/>
        </w:rPr>
        <w:t xml:space="preserve"> (C.A.) this Court endorsed a cautious or conservative approach to loss of housekeeping capacity claims, but I do not read the decision in that case as counselling any approach that is inconsistent with the framework outlined above.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[37] In fact I see the above framework I described as entirely consistent with this Court's admonition above that "[i]t will be the duty of trial judges and this Court to restrain awards for this type of claim to an amount of compensation commensurate with the loss." So long as the award is justified on the basis of evidence of the plaintiff's incapacity it will be commensurate with the plaintiff's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282</w:t>
      </w:r>
      <w:r>
        <w:rPr>
          <w:rFonts w:ascii="arial" w:eastAsia="arial" w:hAnsi="arial" w:cs="arial"/>
          <w:color w:val="000000"/>
          <w:sz w:val="20"/>
          <w:lang w:val="en-US" w:eastAsia="en-US" w:bidi="ar-SA"/>
        </w:rPr>
        <w:t>  Housekeeping capacity is an asset. The loss or diminution of this asset--an ability to do housekeeping work--is to be compensated by way of the value of that work, whether that value is actualized through replacement services or not, insofar as the plaintiff can demonstrate they would have performed this work but for the defendant's negligent act preventing them from doing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283</w:t>
      </w:r>
      <w:r>
        <w:rPr>
          <w:rFonts w:ascii="arial" w:eastAsia="arial" w:hAnsi="arial" w:cs="arial"/>
          <w:color w:val="000000"/>
          <w:sz w:val="20"/>
          <w:lang w:val="en-US" w:eastAsia="en-US" w:bidi="ar-SA"/>
        </w:rPr>
        <w:t>  I find that the plaintiff is unable to participate in heavier housework and yard work, per the opinions of Drs. Golin, McKenzie, and Ms. Beattie. This includes roofing or other house maintenance that requires climbing ladders or walking on uneven surfaces. The plaintiff told Dr. Marks that he had hired someone to do outside chores, such as cutting grass and shovelling snow.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284</w:t>
      </w:r>
      <w:r>
        <w:rPr>
          <w:rFonts w:ascii="arial" w:eastAsia="arial" w:hAnsi="arial" w:cs="arial"/>
          <w:color w:val="000000"/>
          <w:sz w:val="20"/>
          <w:lang w:val="en-US" w:eastAsia="en-US" w:bidi="ar-SA"/>
        </w:rPr>
        <w:t>  In Ms. Lane's opinion, the total yearly cost of replacement indoor and outdoor home maintenance, house cleaning, lawn care, and gardening the plaintiff is $3,499.90, with housecleaning costs being reduced by 20% starting at the age of 75 and ending at the age of 80. Mr. Townsley estimated the present current value of the lost housekeeping capacity as $75,189.00.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285</w:t>
      </w:r>
      <w:r>
        <w:rPr>
          <w:rFonts w:ascii="arial" w:eastAsia="arial" w:hAnsi="arial" w:cs="arial"/>
          <w:color w:val="000000"/>
          <w:sz w:val="20"/>
          <w:lang w:val="en-US" w:eastAsia="en-US" w:bidi="ar-SA"/>
        </w:rPr>
        <w:t>  I must bear in mind while evaluating these estimations that Mr. Townsley's figure was based on Ms. Lane's calculations, and Ms. Lane's calculations were not based on evidence as to how she arrived at her replacement cost figures. I accept that her methodology in terms of calculating how many hours the plaintiff was likely to engage in such housekeeping tasks was sound, and as accurate as it could be. However, this calculation did not make clear what housekeeping tasks the plaintiff would have had the capacity to do given different combinations of injuries. Ms. Lane takes the plaintiff's injuries as an indivisible whole. The analysis here requires that the Court calculate the housekeeping loss but for the MVA injuries, not but for any injury regardless of its source. For example, I have found the plaintiff's shoulder injury was not caused by the MVA. This impacts the analysis of which housekeeping capacity losses were occasioned by the 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286</w:t>
      </w:r>
      <w:r>
        <w:rPr>
          <w:rFonts w:ascii="arial" w:eastAsia="arial" w:hAnsi="arial" w:cs="arial"/>
          <w:color w:val="000000"/>
          <w:sz w:val="20"/>
          <w:lang w:val="en-US" w:eastAsia="en-US" w:bidi="ar-SA"/>
        </w:rPr>
        <w:t>  I accept that the only activities definitely precluded by the plaintiff's MVA injuries, as set out in Ms. Beattie's FCE report involve sustained walking, particularly on uneven surfaces; climbing on ladders; tasks requiring balancing; light lifting; more than rare kneeling; and more than occasional bending and twisting. In my view, these injuries do not preclude general housecleaning tasks, nor was the evidence that the plaintiff is unable to perform these tasks due to his knee and ankle injuries. Nor was there evidence that the plaintiff did any gardening or lawn care, other than cutting his grass.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287</w:t>
      </w:r>
      <w:r>
        <w:rPr>
          <w:rFonts w:ascii="arial" w:eastAsia="arial" w:hAnsi="arial" w:cs="arial"/>
          <w:color w:val="000000"/>
          <w:sz w:val="20"/>
          <w:lang w:val="en-US" w:eastAsia="en-US" w:bidi="ar-SA"/>
        </w:rPr>
        <w:t>  Given the plaintiff's MVA injury limitations, and the housekeeping work he can presently do, is not precluded from, did not do before the MVA, or otherwise did not indicate he wanted to do but now cannot because of his MVA injuries, I find that an appropriate award is one that compensates the plaintiff for the costs of cutting his grass, shovelling his snow and roofing work. The only receipts provided regarding the hiring of outside services for these tasks were for grass cutting from May 2017 to September 2017, in the amount of $777. No evidence was given that family members complete these tasks for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288</w:t>
      </w:r>
      <w:r>
        <w:rPr>
          <w:rFonts w:ascii="arial" w:eastAsia="arial" w:hAnsi="arial" w:cs="arial"/>
          <w:color w:val="000000"/>
          <w:sz w:val="20"/>
          <w:lang w:val="en-US" w:eastAsia="en-US" w:bidi="ar-SA"/>
        </w:rPr>
        <w:t>  This award is then subject to allowances for contingencies due to risk factors that might make this loss of housekeeping capacity more or less likely over the period the award is sought. I find such risk factors to be:</w:t>
      </w:r>
      <w:r>
        <w:rPr>
          <w:rFonts w:ascii="arial" w:eastAsia="arial" w:hAnsi="arial" w:cs="arial"/>
          <w:sz w:val="20"/>
          <w:lang w:val="en-US" w:eastAsia="en-US" w:bidi="ar-SA"/>
        </w:rPr>
        <w:cr/>
      </w:r>
    </w:p>
    <w:p>
      <w:pPr>
        <w:numPr>
          <w:numId w:val="9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pre-existing knee injury, which presented some limitations to the above activities, and which would have persisted notwithstanding the MVA;</w:t>
      </w:r>
    </w:p>
    <w:p>
      <w:pPr>
        <w:numPr>
          <w:numId w:val="9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ongoing shoulder injury, which could further impact his ability to do these tasks; and</w:t>
      </w:r>
    </w:p>
    <w:p>
      <w:pPr>
        <w:numPr>
          <w:numId w:val="9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Turnbull not accounting for the plaintiff's smoking, cocaine and Percocet use, or psychological issues in his life expectancy calculation.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289</w:t>
      </w:r>
      <w:r>
        <w:rPr>
          <w:rFonts w:ascii="arial" w:eastAsia="arial" w:hAnsi="arial" w:cs="arial"/>
          <w:color w:val="000000"/>
          <w:sz w:val="20"/>
          <w:lang w:val="en-US" w:eastAsia="en-US" w:bidi="ar-SA"/>
        </w:rPr>
        <w:t>  I award $20,000 in loss of housekeeping capacity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290</w:t>
      </w:r>
      <w:r>
        <w:rPr>
          <w:rFonts w:ascii="arial" w:eastAsia="arial" w:hAnsi="arial" w:cs="arial"/>
          <w:color w:val="000000"/>
          <w:sz w:val="20"/>
          <w:lang w:val="en-US" w:eastAsia="en-US" w:bidi="ar-SA"/>
        </w:rPr>
        <w:t xml:space="preserve">  The legal principles governing an award for cost of future care were summarized by Mr. Justice Wong in </w:t>
      </w:r>
      <w:r>
        <w:rPr>
          <w:rFonts w:ascii="arial" w:eastAsia="arial" w:hAnsi="arial" w:cs="arial"/>
          <w:i/>
          <w:color w:val="000000"/>
          <w:sz w:val="20"/>
          <w:lang w:val="en-US" w:eastAsia="en-US" w:bidi="ar-SA"/>
        </w:rPr>
        <w:t>Campbell v. Swetland</w:t>
      </w:r>
      <w:r>
        <w:rPr>
          <w:rFonts w:ascii="arial" w:eastAsia="arial" w:hAnsi="arial" w:cs="arial"/>
          <w:color w:val="000000"/>
          <w:sz w:val="20"/>
          <w:lang w:val="en-US" w:eastAsia="en-US" w:bidi="ar-SA"/>
        </w:rPr>
        <w:t xml:space="preserve">, </w:t>
      </w:r>
      <w:hyperlink r:id="rId188" w:history="1">
        <w:r>
          <w:rPr>
            <w:rFonts w:ascii="arial" w:eastAsia="arial" w:hAnsi="arial" w:cs="arial"/>
            <w:i/>
            <w:color w:val="0077CC"/>
            <w:sz w:val="20"/>
            <w:u w:val="single"/>
            <w:shd w:val="clear" w:color="auto" w:fill="FFFFFF"/>
            <w:lang w:val="en-US" w:eastAsia="en-US" w:bidi="ar-SA"/>
          </w:rPr>
          <w:t>2012 BCSC 423</w:t>
        </w:r>
      </w:hyperlink>
      <w:r>
        <w:rPr>
          <w:rFonts w:ascii="arial" w:eastAsia="arial" w:hAnsi="arial" w:cs="arial"/>
          <w:color w:val="000000"/>
          <w:sz w:val="20"/>
          <w:lang w:val="en-US" w:eastAsia="en-US" w:bidi="ar-SA"/>
        </w:rPr>
        <w:t xml:space="preserve"> at para. 198. This summary includes the following salient points:</w:t>
      </w:r>
      <w:r>
        <w:rPr>
          <w:rFonts w:ascii="arial" w:eastAsia="arial" w:hAnsi="arial" w:cs="arial"/>
          <w:sz w:val="20"/>
          <w:lang w:val="en-US" w:eastAsia="en-US" w:bidi="ar-SA"/>
        </w:rPr>
        <w:cr/>
      </w:r>
    </w:p>
    <w:p>
      <w:pPr>
        <w:numPr>
          <w:numId w:val="9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must be a medical justification for claims for cost of future care;</w:t>
      </w:r>
    </w:p>
    <w:p>
      <w:pPr>
        <w:numPr>
          <w:numId w:val="9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expense should not be a squandering of money. In considering any particular item of future care, the test is whether a reasonably minded person of ample means would incur the expense;</w:t>
      </w:r>
    </w:p>
    <w:p>
      <w:pPr>
        <w:numPr>
          <w:numId w:val="9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weight to be given to an opinion on future care will depend on the extent to which recommendations for things like psychological counseling and physiotherapy are supported by the evidence of experts within the relevant field of expertise; and</w:t>
      </w:r>
    </w:p>
    <w:p>
      <w:pPr>
        <w:numPr>
          <w:numId w:val="9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awards for cost of future care must be reasonable, both in the sense of being medically required and in the sense of being costs that, on the evidence, the plaintiff will be likely to incur.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291</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Collyer v. Boon</w:t>
      </w:r>
      <w:r>
        <w:rPr>
          <w:rFonts w:ascii="arial" w:eastAsia="arial" w:hAnsi="arial" w:cs="arial"/>
          <w:color w:val="000000"/>
          <w:sz w:val="20"/>
          <w:lang w:val="en-US" w:eastAsia="en-US" w:bidi="ar-SA"/>
        </w:rPr>
        <w:t xml:space="preserve">, </w:t>
      </w:r>
      <w:hyperlink r:id="rId189" w:history="1">
        <w:r>
          <w:rPr>
            <w:rFonts w:ascii="arial" w:eastAsia="arial" w:hAnsi="arial" w:cs="arial"/>
            <w:i/>
            <w:color w:val="0077CC"/>
            <w:sz w:val="20"/>
            <w:u w:val="single"/>
            <w:shd w:val="clear" w:color="auto" w:fill="FFFFFF"/>
            <w:lang w:val="en-US" w:eastAsia="en-US" w:bidi="ar-SA"/>
          </w:rPr>
          <w:t>2008 BCSC 1745</w:t>
        </w:r>
      </w:hyperlink>
      <w:r>
        <w:rPr>
          <w:rFonts w:ascii="arial" w:eastAsia="arial" w:hAnsi="arial" w:cs="arial"/>
          <w:color w:val="000000"/>
          <w:sz w:val="20"/>
          <w:lang w:val="en-US" w:eastAsia="en-US" w:bidi="ar-SA"/>
        </w:rPr>
        <w:t xml:space="preserve"> expands on the medical justification standard: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[146] The claimant must demonstrate that there is medical justification for the future cost of care claim and the claim itself must be reasonable: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108"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(S.C.) at para. 211, aff'd </w:t>
      </w:r>
      <w:hyperlink r:id="rId109" w:history="1">
        <w:r>
          <w:rPr>
            <w:rFonts w:ascii="arial" w:eastAsia="arial" w:hAnsi="arial" w:cs="arial"/>
            <w:i/>
            <w:color w:val="0077CC"/>
            <w:sz w:val="20"/>
            <w:u w:val="single"/>
            <w:shd w:val="clear" w:color="auto" w:fill="FFFFFF"/>
            <w:lang w:val="en-US" w:eastAsia="en-US" w:bidi="ar-SA"/>
          </w:rPr>
          <w:t>(1987), 49 B.C.L.R. (2d) 99</w:t>
        </w:r>
      </w:hyperlink>
      <w:r>
        <w:rPr>
          <w:rFonts w:ascii="arial" w:eastAsia="arial" w:hAnsi="arial" w:cs="arial"/>
          <w:color w:val="000000"/>
          <w:sz w:val="20"/>
          <w:lang w:val="en-US" w:eastAsia="en-US" w:bidi="ar-SA"/>
        </w:rPr>
        <w:t xml:space="preserve"> (C.A.). The standard is one of reasonableness; it would be too stringent to require a plaintiff to demonstrate a claim is a medical necessity in order to succeed under this head of damage: </w:t>
      </w:r>
      <w:r>
        <w:rPr>
          <w:rFonts w:ascii="arial" w:eastAsia="arial" w:hAnsi="arial" w:cs="arial"/>
          <w:i/>
          <w:color w:val="000000"/>
          <w:sz w:val="20"/>
          <w:lang w:val="en-US" w:eastAsia="en-US" w:bidi="ar-SA"/>
        </w:rPr>
        <w:t>Zapf v. Muckalt</w:t>
      </w:r>
      <w:r>
        <w:rPr>
          <w:rFonts w:ascii="arial" w:eastAsia="arial" w:hAnsi="arial" w:cs="arial"/>
          <w:color w:val="000000"/>
          <w:sz w:val="20"/>
          <w:lang w:val="en-US" w:eastAsia="en-US" w:bidi="ar-SA"/>
        </w:rPr>
        <w:t xml:space="preserve"> </w:t>
      </w:r>
      <w:hyperlink r:id="rId190" w:history="1">
        <w:r>
          <w:rPr>
            <w:rFonts w:ascii="arial" w:eastAsia="arial" w:hAnsi="arial" w:cs="arial"/>
            <w:i/>
            <w:color w:val="0077CC"/>
            <w:sz w:val="20"/>
            <w:u w:val="single"/>
            <w:shd w:val="clear" w:color="auto" w:fill="FFFFFF"/>
            <w:lang w:val="en-US" w:eastAsia="en-US" w:bidi="ar-SA"/>
          </w:rPr>
          <w:t>(1996), 26 B.C.L.R. (3d) 201</w:t>
        </w:r>
      </w:hyperlink>
      <w:r>
        <w:rPr>
          <w:rFonts w:ascii="arial" w:eastAsia="arial" w:hAnsi="arial" w:cs="arial"/>
          <w:color w:val="000000"/>
          <w:sz w:val="20"/>
          <w:lang w:val="en-US" w:eastAsia="en-US" w:bidi="ar-SA"/>
        </w:rPr>
        <w:t xml:space="preserve"> (C.A.) at para. 36.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[147] An award for future cost of care is based upon a prediction of the medical and non-medical services that will likely be in the plaintiff's best interests. As stated in </w:t>
      </w:r>
      <w:r>
        <w:rPr>
          <w:rFonts w:ascii="arial" w:eastAsia="arial" w:hAnsi="arial" w:cs="arial"/>
          <w:i/>
          <w:color w:val="000000"/>
          <w:sz w:val="20"/>
          <w:lang w:val="en-US" w:eastAsia="en-US" w:bidi="ar-SA"/>
        </w:rPr>
        <w:t>Krangle v. Brisco</w:t>
      </w:r>
      <w:r>
        <w:rPr>
          <w:rFonts w:ascii="arial" w:eastAsia="arial" w:hAnsi="arial" w:cs="arial"/>
          <w:color w:val="000000"/>
          <w:sz w:val="20"/>
          <w:lang w:val="en-US" w:eastAsia="en-US" w:bidi="ar-SA"/>
        </w:rPr>
        <w:t xml:space="preserve">, </w:t>
      </w:r>
      <w:hyperlink r:id="rId44" w:history="1">
        <w:r>
          <w:rPr>
            <w:rFonts w:ascii="arial" w:eastAsia="arial" w:hAnsi="arial" w:cs="arial"/>
            <w:i/>
            <w:color w:val="0077CC"/>
            <w:sz w:val="20"/>
            <w:u w:val="single"/>
            <w:shd w:val="clear" w:color="auto" w:fill="FFFFFF"/>
            <w:lang w:val="en-US" w:eastAsia="en-US" w:bidi="ar-SA"/>
          </w:rPr>
          <w:t>2002 SCC 9</w:t>
        </w:r>
      </w:hyperlink>
      <w:r>
        <w:rPr>
          <w:rFonts w:ascii="arial" w:eastAsia="arial" w:hAnsi="arial" w:cs="arial"/>
          <w:color w:val="000000"/>
          <w:sz w:val="20"/>
          <w:lang w:val="en-US" w:eastAsia="en-US" w:bidi="ar-SA"/>
        </w:rPr>
        <w:t xml:space="preserve">, </w:t>
      </w:r>
      <w:hyperlink r:id="rId44" w:history="1">
        <w:r>
          <w:rPr>
            <w:rFonts w:ascii="arial" w:eastAsia="arial" w:hAnsi="arial" w:cs="arial"/>
            <w:i/>
            <w:color w:val="0077CC"/>
            <w:sz w:val="20"/>
            <w:u w:val="single"/>
            <w:shd w:val="clear" w:color="auto" w:fill="FFFFFF"/>
            <w:lang w:val="en-US" w:eastAsia="en-US" w:bidi="ar-SA"/>
          </w:rPr>
          <w:t>[2002] 1 S.C.R. 205</w:t>
        </w:r>
      </w:hyperlink>
      <w:r>
        <w:rPr>
          <w:rFonts w:ascii="arial" w:eastAsia="arial" w:hAnsi="arial" w:cs="arial"/>
          <w:color w:val="000000"/>
          <w:sz w:val="20"/>
          <w:lang w:val="en-US" w:eastAsia="en-US" w:bidi="ar-SA"/>
        </w:rPr>
        <w:t>: "No one knows the future. Yet the rule that damages must be assessed once and for all at the time of trial (subject to modification on appeal) requires courts to peer into the future and fix the damages for future care as best they can": at para. 21.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[148] An award for future cost of care must attempt to provide the plaintiff with damages "as best as they can be ascertained", without providing the plaintiff "a windfall and [requiring] the defendant to pay more than is fair": </w:t>
      </w:r>
      <w:r>
        <w:rPr>
          <w:rFonts w:ascii="arial" w:eastAsia="arial" w:hAnsi="arial" w:cs="arial"/>
          <w:i/>
          <w:color w:val="000000"/>
          <w:sz w:val="20"/>
          <w:lang w:val="en-US" w:eastAsia="en-US" w:bidi="ar-SA"/>
        </w:rPr>
        <w:t>Krangle</w:t>
      </w:r>
      <w:r>
        <w:rPr>
          <w:rFonts w:ascii="arial" w:eastAsia="arial" w:hAnsi="arial" w:cs="arial"/>
          <w:color w:val="000000"/>
          <w:sz w:val="20"/>
          <w:lang w:val="en-US" w:eastAsia="en-US" w:bidi="ar-SA"/>
        </w:rPr>
        <w:t xml:space="preserve"> at para. 22. The award must be "moderate, and fair to both parties": </w:t>
      </w:r>
      <w:r>
        <w:rPr>
          <w:rFonts w:ascii="arial" w:eastAsia="arial" w:hAnsi="arial" w:cs="arial"/>
          <w:i/>
          <w:color w:val="000000"/>
          <w:sz w:val="20"/>
          <w:lang w:val="en-US" w:eastAsia="en-US" w:bidi="ar-SA"/>
        </w:rPr>
        <w:t>Andrews</w:t>
      </w:r>
      <w:r>
        <w:rPr>
          <w:rFonts w:ascii="arial" w:eastAsia="arial" w:hAnsi="arial" w:cs="arial"/>
          <w:color w:val="000000"/>
          <w:sz w:val="20"/>
          <w:lang w:val="en-US" w:eastAsia="en-US" w:bidi="ar-SA"/>
        </w:rPr>
        <w:t xml:space="preserve"> at 586.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292</w:t>
      </w:r>
      <w:r>
        <w:rPr>
          <w:rFonts w:ascii="arial" w:eastAsia="arial" w:hAnsi="arial" w:cs="arial"/>
          <w:color w:val="000000"/>
          <w:sz w:val="20"/>
          <w:lang w:val="en-US" w:eastAsia="en-US" w:bidi="ar-SA"/>
        </w:rPr>
        <w:t xml:space="preserve">  As stated in </w:t>
      </w:r>
      <w:r>
        <w:rPr>
          <w:rFonts w:ascii="arial" w:eastAsia="arial" w:hAnsi="arial" w:cs="arial"/>
          <w:i/>
          <w:color w:val="000000"/>
          <w:sz w:val="20"/>
          <w:lang w:val="en-US" w:eastAsia="en-US" w:bidi="ar-SA"/>
        </w:rPr>
        <w:t>Hart v. Hansma</w:t>
      </w:r>
      <w:r>
        <w:rPr>
          <w:rFonts w:ascii="arial" w:eastAsia="arial" w:hAnsi="arial" w:cs="arial"/>
          <w:color w:val="000000"/>
          <w:sz w:val="20"/>
          <w:lang w:val="en-US" w:eastAsia="en-US" w:bidi="ar-SA"/>
        </w:rPr>
        <w:t xml:space="preserve">, </w:t>
      </w:r>
      <w:hyperlink r:id="rId191" w:history="1">
        <w:r>
          <w:rPr>
            <w:rFonts w:ascii="arial" w:eastAsia="arial" w:hAnsi="arial" w:cs="arial"/>
            <w:i/>
            <w:color w:val="0077CC"/>
            <w:sz w:val="20"/>
            <w:u w:val="single"/>
            <w:shd w:val="clear" w:color="auto" w:fill="FFFFFF"/>
            <w:lang w:val="en-US" w:eastAsia="en-US" w:bidi="ar-SA"/>
          </w:rPr>
          <w:t>2014 BCSC 518</w:t>
        </w:r>
      </w:hyperlink>
      <w:r>
        <w:rPr>
          <w:rFonts w:ascii="arial" w:eastAsia="arial" w:hAnsi="arial" w:cs="arial"/>
          <w:color w:val="000000"/>
          <w:sz w:val="20"/>
          <w:lang w:val="en-US" w:eastAsia="en-US" w:bidi="ar-SA"/>
        </w:rPr>
        <w:t xml:space="preserve"> at para. 161, evidence of medical </w:t>
      </w:r>
      <w:r>
        <w:rPr>
          <w:rFonts w:ascii="arial" w:eastAsia="arial" w:hAnsi="arial" w:cs="arial"/>
          <w:i/>
          <w:color w:val="000000"/>
          <w:sz w:val="20"/>
          <w:lang w:val="en-US" w:eastAsia="en-US" w:bidi="ar-SA"/>
        </w:rPr>
        <w:t>necessity</w:t>
      </w:r>
      <w:r>
        <w:rPr>
          <w:rFonts w:ascii="arial" w:eastAsia="arial" w:hAnsi="arial" w:cs="arial"/>
          <w:color w:val="000000"/>
          <w:sz w:val="20"/>
          <w:lang w:val="en-US" w:eastAsia="en-US" w:bidi="ar-SA"/>
        </w:rPr>
        <w:t xml:space="preserve"> is not required. Rather, the standard is one of reasonable medical </w:t>
      </w:r>
      <w:r>
        <w:rPr>
          <w:rFonts w:ascii="arial" w:eastAsia="arial" w:hAnsi="arial" w:cs="arial"/>
          <w:i/>
          <w:color w:val="000000"/>
          <w:sz w:val="20"/>
          <w:lang w:val="en-US" w:eastAsia="en-US" w:bidi="ar-SA"/>
        </w:rPr>
        <w:t>justification</w:t>
      </w:r>
      <w:r>
        <w:rPr>
          <w:rFonts w:ascii="arial" w:eastAsia="arial" w:hAnsi="arial" w:cs="arial"/>
          <w:color w:val="000000"/>
          <w:sz w:val="20"/>
          <w:lang w:val="en-US" w:eastAsia="en-US" w:bidi="ar-SA"/>
        </w:rPr>
        <w:t xml:space="preserve">. An evidentiary link must drawn between a qualified medical assessment and a qualified treatment recommendation: </w:t>
      </w:r>
      <w:r>
        <w:rPr>
          <w:rFonts w:ascii="arial" w:eastAsia="arial" w:hAnsi="arial" w:cs="arial"/>
          <w:i/>
          <w:color w:val="000000"/>
          <w:sz w:val="20"/>
          <w:lang w:val="en-US" w:eastAsia="en-US" w:bidi="ar-SA"/>
        </w:rPr>
        <w:t>Gregory v. Insurance Corporation of British Columbia</w:t>
      </w:r>
      <w:r>
        <w:rPr>
          <w:rFonts w:ascii="arial" w:eastAsia="arial" w:hAnsi="arial" w:cs="arial"/>
          <w:color w:val="000000"/>
          <w:sz w:val="20"/>
          <w:lang w:val="en-US" w:eastAsia="en-US" w:bidi="ar-SA"/>
        </w:rPr>
        <w:t xml:space="preserve">, </w:t>
      </w:r>
      <w:hyperlink r:id="rId39" w:history="1">
        <w:r>
          <w:rPr>
            <w:rFonts w:ascii="arial" w:eastAsia="arial" w:hAnsi="arial" w:cs="arial"/>
            <w:i/>
            <w:color w:val="0077CC"/>
            <w:sz w:val="20"/>
            <w:u w:val="single"/>
            <w:shd w:val="clear" w:color="auto" w:fill="FFFFFF"/>
            <w:lang w:val="en-US" w:eastAsia="en-US" w:bidi="ar-SA"/>
          </w:rPr>
          <w:t>2011 BCCA 144</w:t>
        </w:r>
      </w:hyperlink>
      <w:r>
        <w:rPr>
          <w:rFonts w:ascii="arial" w:eastAsia="arial" w:hAnsi="arial" w:cs="arial"/>
          <w:color w:val="000000"/>
          <w:sz w:val="20"/>
          <w:lang w:val="en-US" w:eastAsia="en-US" w:bidi="ar-SA"/>
        </w:rPr>
        <w:t xml:space="preserve"> at para. 39, citing </w:t>
      </w:r>
      <w:r>
        <w:rPr>
          <w:rFonts w:ascii="arial" w:eastAsia="arial" w:hAnsi="arial" w:cs="arial"/>
          <w:i/>
          <w:color w:val="000000"/>
          <w:sz w:val="20"/>
          <w:lang w:val="en-US" w:eastAsia="en-US" w:bidi="ar-SA"/>
        </w:rPr>
        <w:t>Aberdeen v. Zanatta</w:t>
      </w:r>
      <w:r>
        <w:rPr>
          <w:rFonts w:ascii="arial" w:eastAsia="arial" w:hAnsi="arial" w:cs="arial"/>
          <w:color w:val="000000"/>
          <w:sz w:val="20"/>
          <w:lang w:val="en-US" w:eastAsia="en-US" w:bidi="ar-SA"/>
        </w:rPr>
        <w:t xml:space="preserve">, </w:t>
      </w:r>
      <w:hyperlink r:id="rId192" w:history="1">
        <w:r>
          <w:rPr>
            <w:rFonts w:ascii="arial" w:eastAsia="arial" w:hAnsi="arial" w:cs="arial"/>
            <w:i/>
            <w:color w:val="0077CC"/>
            <w:sz w:val="20"/>
            <w:u w:val="single"/>
            <w:shd w:val="clear" w:color="auto" w:fill="FFFFFF"/>
            <w:lang w:val="en-US" w:eastAsia="en-US" w:bidi="ar-SA"/>
          </w:rPr>
          <w:t>2008 BCCA 420</w:t>
        </w:r>
      </w:hyperlink>
      <w:r>
        <w:rPr>
          <w:rFonts w:ascii="arial" w:eastAsia="arial" w:hAnsi="arial" w:cs="arial"/>
          <w:color w:val="000000"/>
          <w:sz w:val="20"/>
          <w:lang w:val="en-US" w:eastAsia="en-US" w:bidi="ar-SA"/>
        </w:rPr>
        <w:t xml:space="preserve"> at paras. 43, 63.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293</w:t>
      </w:r>
      <w:r>
        <w:rPr>
          <w:rFonts w:ascii="arial" w:eastAsia="arial" w:hAnsi="arial" w:cs="arial"/>
          <w:color w:val="000000"/>
          <w:sz w:val="20"/>
          <w:lang w:val="en-US" w:eastAsia="en-US" w:bidi="ar-SA"/>
        </w:rPr>
        <w:t xml:space="preserve">  The overall goal in assessing cost of future care is to make the plaintiff as whole as an award can reasonably make possible. As put by </w:t>
      </w:r>
      <w:r>
        <w:rPr>
          <w:rFonts w:ascii="arial" w:eastAsia="arial" w:hAnsi="arial" w:cs="arial"/>
          <w:i/>
          <w:color w:val="000000"/>
          <w:sz w:val="20"/>
          <w:lang w:val="en-US" w:eastAsia="en-US" w:bidi="ar-SA"/>
        </w:rPr>
        <w:t>Andrews</w:t>
      </w:r>
      <w:r>
        <w:rPr>
          <w:rFonts w:ascii="arial" w:eastAsia="arial" w:hAnsi="arial" w:cs="arial"/>
          <w:color w:val="000000"/>
          <w:sz w:val="20"/>
          <w:lang w:val="en-US" w:eastAsia="en-US" w:bidi="ar-SA"/>
        </w:rPr>
        <w:t xml:space="preserve"> at 241: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theory a claim for the cost of future care is a pecuniary claim for the amount which may reasonably be expected to be expended in putting the injured party in the position he would have been in if he had not sustained the injury. Obviously, a plaintiff who has been gravely and permanently impaired can never be put in the position he would have been in if the tort had not been committed. To this extent, </w:t>
      </w:r>
      <w:r>
        <w:rPr>
          <w:rFonts w:ascii="arial" w:eastAsia="arial" w:hAnsi="arial" w:cs="arial"/>
          <w:i/>
          <w:color w:val="000000"/>
          <w:sz w:val="20"/>
          <w:lang w:val="en-US" w:eastAsia="en-US" w:bidi="ar-SA"/>
        </w:rPr>
        <w:t>restitutio in integrum</w:t>
      </w:r>
      <w:r>
        <w:rPr>
          <w:rFonts w:ascii="arial" w:eastAsia="arial" w:hAnsi="arial" w:cs="arial"/>
          <w:color w:val="000000"/>
          <w:sz w:val="20"/>
          <w:lang w:val="en-US" w:eastAsia="en-US" w:bidi="ar-SA"/>
        </w:rPr>
        <w:t xml:space="preserve"> is not possible. Money is a barren substitute for health and personal happiness, but to the extent, within reason, that money can be used to sustain or improve the mental or physical health of the injured person it may properly form part of a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294</w:t>
      </w:r>
      <w:r>
        <w:rPr>
          <w:rFonts w:ascii="arial" w:eastAsia="arial" w:hAnsi="arial" w:cs="arial"/>
          <w:color w:val="000000"/>
          <w:sz w:val="20"/>
          <w:lang w:val="en-US" w:eastAsia="en-US" w:bidi="ar-SA"/>
        </w:rPr>
        <w:t>  The Court's task, then, is to evaluate whether the claimed future care costs represent reasonable and medically justified means to improve injuries sustained due to the defendant's act. The plaintiff claims $126,426. I have already hived off the housekeeping costs from this amount. Dr. Lane's report, the sole original source for calculating the plaintiff's future care costs in the amount pled, found that that the plaintiff's physiotherapy and kinesiology costs were only in relation to his shoulder injury. As this injury was not due to the MVA, these costs are to be deducted.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295</w:t>
      </w:r>
      <w:r>
        <w:rPr>
          <w:rFonts w:ascii="arial" w:eastAsia="arial" w:hAnsi="arial" w:cs="arial"/>
          <w:color w:val="000000"/>
          <w:sz w:val="20"/>
          <w:lang w:val="en-US" w:eastAsia="en-US" w:bidi="ar-SA"/>
        </w:rPr>
        <w:t>  As for the plaintiff's medication, the evidence was that he was taking both Ativan and Zoplicone before the MVA, and has since discontinued the use of Abilify since the MVA. As the plaintiff's depression and chronic anxiety symptoms would, on a balance of probabilities, never fully resolve, I find, on a balance of probabilities, that the plaintiff would have continued to use Ativan but for the MVA. However, I accept that he would be taking a lower dose than he currently is given that the MVA has aggravated his depression and anxiety. As for Zoplicone, used to treat insomnia, I also find that the plaintiff, on a balance of probabilities, would have continued to use the drug regardless of the MVA, albeit in a smaller or increasingly tapered dose given that his sleep issues were less severe before the MVA and may have eventually resolved themselves.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296</w:t>
      </w:r>
      <w:r>
        <w:rPr>
          <w:rFonts w:ascii="arial" w:eastAsia="arial" w:hAnsi="arial" w:cs="arial"/>
          <w:color w:val="000000"/>
          <w:sz w:val="20"/>
          <w:lang w:val="en-US" w:eastAsia="en-US" w:bidi="ar-SA"/>
        </w:rPr>
        <w:t>  Accordingly, I deduct the costs of Ativan, this being $17,913, given that it is no longer used by the plaintiff, and I reduce the costs of Ativan and Zoplicone by 50%, this representing the chance and dosage level the plaintiff would be using but for the MVA. These amount to $4,728.50 in future care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297</w:t>
      </w:r>
      <w:r>
        <w:rPr>
          <w:rFonts w:ascii="arial" w:eastAsia="arial" w:hAnsi="arial" w:cs="arial"/>
          <w:color w:val="000000"/>
          <w:sz w:val="20"/>
          <w:lang w:val="en-US" w:eastAsia="en-US" w:bidi="ar-SA"/>
        </w:rPr>
        <w:t>  The costs of psychological treatment otherwise represent reasonable and medically justified means to attempt to improve the plaintiff's depression and anxiety. In my view, these issues were aggravated to such a degree by the MVA that I find that, on a balance of probabilities, the plaintiff would not have required such counselling but for the MVA. While he was admittedly in a very dark place in 2012 after his friend's death, the evidence was that the plaintiff's depression and anxiety were getting better. Accepting that these issues may never have fully resolved, I also accept they would probably not have required psychological counselling or intervention given the plaintiff's positive mental health trajectory at the time of the MVA. I award these costs in full, in the amount of $21,980.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298</w:t>
      </w:r>
      <w:r>
        <w:rPr>
          <w:rFonts w:ascii="arial" w:eastAsia="arial" w:hAnsi="arial" w:cs="arial"/>
          <w:color w:val="000000"/>
          <w:sz w:val="20"/>
          <w:lang w:val="en-US" w:eastAsia="en-US" w:bidi="ar-SA"/>
        </w:rPr>
        <w:t>  The plaintiff is entitled to a total of $26,703.50 for his cost of future care. I have not taken any deduction for his likely reduced life expectancy but such a reduction would be small in any event.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299</w:t>
      </w:r>
      <w:r>
        <w:rPr>
          <w:rFonts w:ascii="arial" w:eastAsia="arial" w:hAnsi="arial" w:cs="arial"/>
          <w:color w:val="000000"/>
          <w:sz w:val="20"/>
          <w:lang w:val="en-US" w:eastAsia="en-US" w:bidi="ar-SA"/>
        </w:rPr>
        <w:t>  The special damages claimed by the plaintiff, which relate to injuries I have found the defendants liable for and are otherwise reasonable expenses, amount to $5,180.65. These damages are to be reduced by $1,896.13, the amount already paid out to the plaintiff by ICBC. I award $3,284.52 in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300</w:t>
      </w:r>
      <w:r>
        <w:rPr>
          <w:rFonts w:ascii="arial" w:eastAsia="arial" w:hAnsi="arial" w:cs="arial"/>
          <w:color w:val="000000"/>
          <w:sz w:val="20"/>
          <w:lang w:val="en-US" w:eastAsia="en-US" w:bidi="ar-SA"/>
        </w:rPr>
        <w:t>  In summary, the plaintiff is entitled to judgment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881"/>
        <w:gridCol w:w="5228"/>
        <w:gridCol w:w="230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ITEM</w:t>
            </w:r>
          </w:p>
        </w:tc>
        <w:tc>
          <w:tcPr>
            <w:tcW w:w="512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AWARD</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w:t>
            </w:r>
          </w:p>
        </w:tc>
        <w:tc>
          <w:tcPr>
            <w:tcW w:w="512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Non-pecuniary damages</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$120,000.00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w:t>
            </w:r>
          </w:p>
        </w:tc>
        <w:tc>
          <w:tcPr>
            <w:tcW w:w="512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Loss of past income earning capacity</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$45,000.00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w:t>
            </w:r>
          </w:p>
        </w:tc>
        <w:tc>
          <w:tcPr>
            <w:tcW w:w="512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Loss of future income earning capacity</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$300,000.00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4.</w:t>
            </w:r>
          </w:p>
        </w:tc>
        <w:tc>
          <w:tcPr>
            <w:tcW w:w="512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Loss of housekeeping capacity</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5.</w:t>
            </w:r>
          </w:p>
        </w:tc>
        <w:tc>
          <w:tcPr>
            <w:tcW w:w="512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Cost of future care</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$26,703.50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6.</w:t>
            </w:r>
          </w:p>
        </w:tc>
        <w:tc>
          <w:tcPr>
            <w:tcW w:w="512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Special damages</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$3,284.52</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TOTAL</w:t>
            </w:r>
          </w:p>
        </w:tc>
        <w:tc>
          <w:tcPr>
            <w:tcW w:w="512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$514,988.02</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301</w:t>
      </w:r>
      <w:r>
        <w:rPr>
          <w:rFonts w:ascii="arial" w:eastAsia="arial" w:hAnsi="arial" w:cs="arial"/>
          <w:color w:val="000000"/>
          <w:sz w:val="20"/>
          <w:lang w:val="en-US" w:eastAsia="en-US" w:bidi="ar-SA"/>
        </w:rPr>
        <w:t xml:space="preserve">  There will be judgment to the plaintiff for ($514,988.02), with interest pursuant to s. 7 of the </w:t>
      </w:r>
      <w:r>
        <w:rPr>
          <w:rFonts w:ascii="arial" w:eastAsia="arial" w:hAnsi="arial" w:cs="arial"/>
          <w:i/>
          <w:color w:val="000000"/>
          <w:sz w:val="20"/>
          <w:lang w:val="en-US" w:eastAsia="en-US" w:bidi="ar-SA"/>
        </w:rPr>
        <w:t>Court Order Interest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c.79</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302</w:t>
      </w:r>
      <w:r>
        <w:rPr>
          <w:rFonts w:ascii="arial" w:eastAsia="arial" w:hAnsi="arial" w:cs="arial"/>
          <w:color w:val="000000"/>
          <w:sz w:val="20"/>
          <w:lang w:val="en-US" w:eastAsia="en-US" w:bidi="ar-SA"/>
        </w:rPr>
        <w:t>  The parties may make submissions as to costs if they are unable to 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L.D. RUSSELL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46" style="position:absolute;z-index:25186304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93"/>
          <w:headerReference w:type="default" r:id="rId194"/>
          <w:footerReference w:type="even" r:id="rId195"/>
          <w:footerReference w:type="default" r:id="rId196"/>
          <w:headerReference w:type="first" r:id="rId197"/>
          <w:footerReference w:type="first" r:id="rId19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99" w:history="1">
        <w:r>
          <w:rPr>
            <w:rFonts w:ascii="arial" w:eastAsia="arial" w:hAnsi="arial" w:cs="arial"/>
            <w:b/>
            <w:bCs/>
            <w:i/>
            <w:color w:val="0077CC"/>
            <w:kern w:val="32"/>
            <w:sz w:val="28"/>
            <w:szCs w:val="32"/>
            <w:u w:val="single"/>
            <w:shd w:val="clear" w:color="auto" w:fill="FFFFFF"/>
            <w:lang w:val="en-US" w:eastAsia="en-US" w:bidi="ar-SA"/>
          </w:rPr>
          <w:t>Worobetz v. Fooks, [2015] B.C.J. No. 171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Chilliwack,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B.M. Joyce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10-13, and 16-20,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4,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S23810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Chilliwack</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[2015] B.C.J. No. 171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BCSC 150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Michelle Dawne Worobetz, Plaintiff, and William Ray Fooks,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(171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47" style="position:absolute;z-index:2516623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6" w:name="Keywords_3"/>
      <w:bookmarkEnd w:id="26"/>
      <w:r>
        <w:rPr>
          <w:rFonts w:ascii="arial" w:eastAsia="arial" w:hAnsi="arial" w:cs="arial"/>
          <w:b/>
          <w:color w:val="000000"/>
          <w:sz w:val="20"/>
          <w:lang w:val="en-US" w:eastAsia="en-US" w:bidi="ar-SA"/>
        </w:rPr>
        <w:t>Damages — Physical and psychological injuries — Physical injuries — Body injuries — Back and spine — Neck — Fibromyalgia or chronic pain — Considerations impacting on award — Degree of impairment — Age of claimant — Determination of damages for injuries arising from motor vehicle accident — Plaintiff was awarded $90,000 in non-pecuniary damages, $26,000 for past loss of income and $275,000 for loss of future earning capacity — Plaintiff's vehicle was stopped when it was struck from behind by defendant's vehicle — Plaintiff was 45 and worked as at-home teacher — Plaintiff suffered ongoing chronic neck and back pain — She was less able to enjoy her social and recreational pursuits, carry out functions of wife and mother and work at her chosen career.</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Considerations — Duration of loss — Employment status — Extent of incapacity — Loss of earning capacity — Retroactive loss of income — Non-pecuniary loss — Determination of damages for injuries arising from motor vehicle accident — Plaintiff was awarded $90,000 in non-pecuniary damages, $26,000 for past loss of income and $275,000 for loss of future earning capacity — Plaintiff's vehicle was stopped when it was struck from behind by defendant's vehicle — Plaintiff was 45 and worked as at-home teacher — Plaintiff suffered ongoing chronic neck and back pain — She was less able to enjoy her social and recreational pursuits, carry out functions of wife and mother and work at her chosen career.</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7" w:name="Case Summary_3"/>
            <w:bookmarkEnd w:id="2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Determination of damages for injuries arising from a motor vehicle accident. The plaintiff's vehicle was stopped, intending to make a left turn, when it was struck from behind by the defendant's vehicle. The plaintiff was 45 and married with three children. She worked as an at-home teacher. She was generally in good health at the time of the accident, but had some health issues during the years before. She made some gains through a formal exercise program and continued some of the exercises, to a lesser degree, after completing it.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8" w:name="Holdings of Court_3"/>
            <w:bookmarkEnd w:id="28"/>
            <w:r>
              <w:rPr>
                <w:rFonts w:ascii="arial" w:eastAsia="arial" w:hAnsi="arial" w:cs="arial"/>
                <w:color w:val="000000"/>
                <w:sz w:val="20"/>
                <w:lang w:val="en-US" w:eastAsia="en-US" w:bidi="ar-SA"/>
              </w:rPr>
              <w:t>HELD: The plaintiff was awarded $90,000 in non-pecuniary damages, $26,000 for past loss of income, $275,000 for loss of future earning capacity, $28,200 for cost of future care and $6221 in special damages.</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 suffered ongoing chronic neck and back pain. She was less able to enjoy her social and recreational pursuits, carry out the functions of a wife and mother and work at her chosen career. She was unlikely to completely recover, but her pain might lessen if she were to obtain optimum fitness. There was a real and substantial possibility that, but for the accident, she would have supervised 10 students. There was a real and substantial possibility that she would have become a teacher in a private or public school. She likely would have retired when she was 60. The award for cost of future care included amounts for housecleaning and medications.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9" w:name="Counsel_3"/>
      <w:bookmarkEnd w:id="2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48" style="position:absolute;z-index:2517135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D.C. Sliman, A. Sovani.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D. Batkin.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0" w:name="Judgment_3"/>
      <w:bookmarkEnd w:id="30"/>
      <w:r>
        <w:pict>
          <v:line id="_x0000_s1049" style="position:absolute;z-index:25176473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1" w:name="B.M. JOYCE J."/>
            <w:bookmarkEnd w:id="31"/>
            <w:r>
              <w:rPr>
                <w:rFonts w:ascii="arial" w:eastAsia="arial" w:hAnsi="arial" w:cs="arial"/>
                <w:b/>
                <w:color w:val="000000"/>
                <w:sz w:val="30"/>
                <w:lang w:val="en-US" w:eastAsia="en-US" w:bidi="ar-SA"/>
              </w:rPr>
              <w:t>B.M. JOYCE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Ms. Worobetz, a 45 year-old married mother of three children, claims damages as a result of a motor vehicle collision ("Accident") that occurred on January 21, 2010, when the vehicle she was driving was struck from behind by a vehicle being driven by the defendant, Mr. Fooks.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Ms. Worobetz claims that as a result of the Accident, she sustained injuries to various parts of her body that have left her with debilitating chronic pain and partially disabled from work in her career as an at-home teacher and supervisor of other at-home teachers.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Ms. Worobetz claims non-pecuniary damages for pain, suffering and loss of amenities of life. She also claims pecuniary damages for past loss of earning capacity and future loss of earning capacity. In addition, Ms. Worobetz claims damages for the cost of future care and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defendant admits that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the Accident, but says that the collision was of a minor nature. He denies the severity of the injuries claimed by the plaintiff and denies that the Accident caused injuries of the sort that could have resulted in her alleged chronic pain. He submits that the plaintiff suffered minor soft tissue injuries only.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defendant denies that the plaintiff has suffered a past loss of wages or loss of opportunity to earn income. He denies that she has any ongoing disability and disputes any future loss of earning capacity as a result of the Accident. The defendant disputes that the plaintiff has established a need for most of the future care items that she claims and says that what she really needs is to improve her strength and conditioning.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On January 21, 2010, at about 6:00 p.m., Ms. Worobetz was driving her 1997 passenger van westbound on 1st Avenue in Chilliwack, B.C., taking her son to his music lesson at a music school on 1st Avenue. Ms. Worobetz came to a stop on 1st Avenue, intending to turn left, into the lane entrance to the music school. She had activated her left-turn indicator. The roads were damp, but not 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Fooks was also driving westbound on 1st Avenue in his 2000 Chevrolet Cavalier, taking his son to the hockey arena where his son was to play hockey. His daughter was also in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posted speed limit on 1st Avenue is 50 km/h. Just before the collision, Mr. Fooks took his attention from the road when he tried to change the music in his CD player. His son alerted him to the impending collision but, by the time Mr. Fooks looked up, he was too close to stop and his vehicle struck the back of Ms. Worobetz's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parties disagree as to the speed of Mr. Fooks' vehicle at the time of the collision and the severity of the collision. Ms. Worobetz testified that she saw Mr. Fooks' car in her rear view mirror as he approached quickly from behind before she felt the impact, which she described as a "smash". Ms. Worobetz testified that she believed her vehicle was pushed forward. Contents in a compartment in the dash flew into the middle of the van. She described it as a hard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Ms. Worobetz's vehicle sustained damage to the right rear as well as the frame, causing the sliding door and front passenger door to not operate properly. Her vehicle was written off by ICBC.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Fooks testified that he believed that he had been travelling at the speed limit and that when he looked up and saw the car about one and a-half car lengths in front of him, he braked and tried to swerve to the right. In cross-examination, he admitted that he may have been exceeding the speed limit. He was concerned about being late for his son's hockey game. Mr. Fooks believed his speed had slowed to about 25 km/h at the time of impact but on cross-examination, admitted that he could not be certain of his speed at the time of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Upon impact, Mr. Fooks' daughter, who was sitting in the back seat without her seat belt on, flew forward but fortunately was not injured. Mr. Fooks did not have the damage to his vehicle appraised. He said that a headlight was smashed, the front bumper was dislodged and the hood was crumpled. Although he drove the car from the scene and took it home, the next time he tried to start the car, it would not run. Mr. Fooks sold the car for scrap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my opinion, it is likely that Mr. Fooks understated the impact of the collision. In my view, it is probable that he was travelling at or close to 50 km/h when he struck the back of Ms. Worobetz's vehicle considering how close her vehicle was to him when he first saw it and tried to avoid it. I am satisfied that the impact was sufficient to cause structural damage to both vehicles, including bending the frame of Ms. Worobetz's van. It was not, in my view, what could be described as a minor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Plaintiff's Health and Activity Level Prior to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the years before the Accident, Ms. Worobetz had the following health issues:</w:t>
      </w:r>
      <w:r>
        <w:rPr>
          <w:rFonts w:ascii="arial" w:eastAsia="arial" w:hAnsi="arial" w:cs="arial"/>
          <w:sz w:val="20"/>
          <w:lang w:val="en-US" w:eastAsia="en-US" w:bidi="ar-SA"/>
        </w:rPr>
        <w:cr/>
      </w:r>
    </w:p>
    <w:p>
      <w:pPr>
        <w:numPr>
          <w:numId w:val="9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2002, she experienced a peripheral neuropathy that caused pain in her hands and legs, but she testified that she recovered from that condition within about a year.</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2007, Ms. Worobetz complained of pain in the left side of her neck. Dr. Stopforth sent her to see a general surgeon, Dr. Schwartz, and to an endocrinologist. Neither of those specialists gave expert opinion at this trial. However, the plaintiff agreed that Dr. Schwartz saw her to investigate a four-month history of intermittent pain/tenderness in her right neck. Ms. Worobetz saw Dr. Schwartz on December 7, 2007. Dr. Schwartz suspected thyroiditis, although he did not arrive at a definitive diagnosis. It seems, however, that during the course of the investigation of the neck pain Ms. Worobetz was ultimately diagnosed with a thyroid condition for which she was prescribed Synthroid, a synthetic hormone.</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May 2007, Ms. Worobetz experienced pain under her left breast, which was investigated by an abdominal CT scan and by a gastroscopy. The cause was not definitively diagnosed, but was thought to be musculoskeletal in origin. Dr. Stopforth sent Ms. Worobetz for physiotherapy and chiropractic treatments, prescribed an anti-inflammatory gel and ultimately cortisone injection.</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one period of time in 2007, Ms. Worobetz complained to Dr. Stopforth of feeling tired and, after sending her for some blood tests, he prescribed iron supplements.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November 2007, Ms. Worobetz sought treatment from Dr. Stopforth because of problems with stomach acid reflux.</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Worobetz also complained of abdominal pain in the fall of 2009 and underwent a CT scan which did not reveal the source of her discomfort.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Ms. Worobetz testified that prior to the collision she was in reasonably good physical condition. While she was not involved in any sports </w:t>
      </w:r>
      <w:r>
        <w:rPr>
          <w:rFonts w:ascii="arial" w:eastAsia="arial" w:hAnsi="arial" w:cs="arial"/>
          <w:i/>
          <w:color w:val="000000"/>
          <w:sz w:val="20"/>
          <w:lang w:val="en-US" w:eastAsia="en-US" w:bidi="ar-SA"/>
        </w:rPr>
        <w:t>per se</w:t>
      </w:r>
      <w:r>
        <w:rPr>
          <w:rFonts w:ascii="arial" w:eastAsia="arial" w:hAnsi="arial" w:cs="arial"/>
          <w:color w:val="000000"/>
          <w:sz w:val="20"/>
          <w:lang w:val="en-US" w:eastAsia="en-US" w:bidi="ar-SA"/>
        </w:rPr>
        <w:t>, she walked five days per week and exercised with an elliptical trainer and treadmill machine.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Ms. Worobetz testified that before the Accident she did most of the shopping, cooking and housework. Ms. Worobetz used to enjoy going to the movies and going to church with her family. She and her family used to visit her parents at their home at Shuswap Lake.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Ms. Worobetz testified that she and her husband had a good relationship, with the usual ups and downs that are common in most marriages. She was an active mother.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Plaintiff's Symptoms, Injuries and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Immediately after the collision, Ms. Worobetz pulled her vehicle to the side of the road. She said she was shaken. She called her husband, who calmed her down. Ms. Worobetz testified that she felt immediate pain in her neck and upper back, and developed a very bad headache. That evening, Ms. Worobetz felt pain in her low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day after the Accident, Ms. Worobetz went to see her family doctor, Dr. Stopforth, complaining of pain down the right side of her neck and spine. On examination, the range of motion of her cervical and lumbar spine was normal. Dr. Stopforth diagnosed soft tissue injury and recommended massage therapy, and then physiotherapy, to mobilize her spine. Dr. Stopforth also prescribed muscle relaxant and pain reliever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About four days later, she developed pain in her jaw and 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Over the course of the next several months, Ms. Worobetz continued to experience pain in her neck, jaw, shoulder, lower back, hips and buttocks. She has seen a number of medical specialists and received various treatments for her symptoms, including the following:</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seven massage therapy sessions from February 2, 2010 to March 11, 2010;</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42 physiotherapy treatments between March 2010 and November 2010;</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individualized exercise program from June 2010 to September 2010;</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seven acupuncture treatments between July and September 2011;</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TMJ physiotherapy between September 2013 and October 2103;</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32 chiropractic treatments between November 2010 and January 2012;</w:t>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three chiropractic treatments in April 2011;</w:t>
      </w:r>
    </w:p>
    <w:p>
      <w:pPr>
        <w:numPr>
          <w:numId w:val="1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Active Release Therapy in April 2011;</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use of a dental appliance for a time starting in March 2013;</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home stretching and exercise program;</w:t>
      </w:r>
    </w:p>
    <w:p>
      <w:pPr>
        <w:numPr>
          <w:numId w:val="1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trigger point injections in the neck area in December 2011;</w:t>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piriformis muscle injection in January 2012; and</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Botox injections in her neck region in October 2012, January 2013, March 2013 and August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Ms. Worobetz has tried numerous medications for relief of her pain symptoms and symptoms of depression. For pain relief, she has taken Emtec, Tramadol, Gabapentin and Nortriptyline, as well as non-prescription medication. She has been taking Cymbalta for symptoms of depression since about May 2014. Ms. Worobetz had first been prescribed Cymbalta in 2010, but she and her husband made the decision not to take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Ms. Worobetz was scheduled to undergo radiofrequency lesioning in her neck.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Despite the medical treatments, at the time of trial, Ms. Worobetz was still complaining of frequent pain in the right side of her neck, jaw and face, right shoulder blade and upper back, lower back, hips and buttocks. She says that there is no real pattern to the pain, although prolonged sitting or walking aggravates the pain in her low back and hips. She also complains of fatigue, irritability, depressed mood and difficulty sleeping.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Ms. Worobetz testified that the injuries she suffered in the Accident have impacted most of her activities of daily life. She cannot go on lengthy walks. She finds it difficult to travel in a car for extended periods of time and is now nervous when she is in a car. She found it particularly distressing that she could not shop with her daughter for a graduation gown. She does not go out in the evenings and does not spend as much time with her friends as she did before the Accident. She finds it difficult to sit in a movie theatre, where she cannot easily get up and move around. Her children now are less likely to invite friends to come over because the noise causes her discomfort.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Ms. Worobetz now finds shopping, cooking and housecleaning more difficult and her husband has had to assume a greater role in those activities. She testified that there is greater conflict in her relationship with her husband and their intimacy has suffered. However, she and her husband remain committed to one another and are confident that their marriage will survive the strains placed upon it by Ms. Worobetz's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Review of Plaintiff's Medical Evidence and Functional Capacity Evaluation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L. Viljoen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Dr. Viljoen is Ms. Worobetz's current family doctor, having taken over Ms. Worobetz's general care from Dr. Stopforth in March 2012, after Dr. Stopforth moved to South Africa. Dr. Viljoen was qualified as an expert in family medicine.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her report dated February 13, 2014, Dr. Viljoen expressed the following diagnoses:</w:t>
      </w:r>
      <w:r>
        <w:rPr>
          <w:rFonts w:ascii="arial" w:eastAsia="arial" w:hAnsi="arial" w:cs="arial"/>
          <w:sz w:val="20"/>
          <w:lang w:val="en-US" w:eastAsia="en-US" w:bidi="ar-SA"/>
        </w:rPr>
        <w:cr/>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chronic soft tissue pain to the right side of the neck face and shoulder, for which the likely diagnosis is chronic myofascial pain syndrome, soft tissue pain with trigger points in the muscles or fascia that can give rise to referred pain in other areas;</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soft tissue pain in the lower back and right buttock area, which is potentially related to, or generated by, the facet joints;</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right buttock pain, which is likely related to a piriformis syndrome (a neuromuscular disorder caused by pressure or irritation of the sciatic nerve by the piriformis muscle); and</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some tenderness over the greater trochanters and iliotibial bands, raising the possibility of trochanteric bursitis (inflammation of the trochanteric bursa) with Iliotibial Band Syndrome (inflammation of the iliotibial band).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With regard to prognosis, Dr. Viljoen offered the following opinion: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my opinion that Mrs. Worobetz will continue to struggle with chronic pain. She has made little to no progress over the last 4 years in terms of pain experience. During her last appointment with me in February 2014 she complained of nearly all the same symptoms she complained of March 2012 when I first saw her. ln the patient's own words there has been almost no improvement in pain symptoms over the last 4 years. She has furthermore continued to struggle with mild mood symptoms throughout the time she has been my patient. Due to the chronicity of the symptoms and only mild to moderate benefit from adequate medical therapies, I suspect that she will continue to have chronic pain. As mentioned before she did have some benefit with therapies like Botox injections, trigger point injections, a piriformis muscle injection and did report improvement of strength and general conditioning with physical therapy. She also had mild improvement in symptoms since starting Nortriptyline, but not without side effects. Although I do not believe that the patient will recover to her preinjury level of functioning, I am hopeful however that she will continue to have some benefit from the interdisciplinary therapies and treatments rendered at the Jim [Pattison] Outpatient Pain Clinic and that we will be able to maintain her current level of functionality.</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A. MacInnes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Dr. MacInnes is an expert in the area of anaesthesiology and pain management. His practice is based at the Jim Pattison Outpatient Care and Surgery Centre in Surrey,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Dr. MacInnes is a treating physician for Ms. Worobetz. Ms. Worobetz was referred to him in November 2013 for assessment of chronic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his report dated March 14, 2014, Dr. MacInnes offered the following diagnoses: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current diagnoses for Ms. Worobetz, based on my assessment, include; chronic mechanical neck pain, cervicogenic headache, whiplash-associated disorder (Grade II) and chronic myofascial pain syndrome. I am unable to comment at this time on Ms. Worobetz's lower body symptoms as we have not completed assessment of this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It is Dr. MacInnes' opinion that Ms. Worobetz's current chronic pain is due to the Accident. 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Prior to the motor vehicle accident on January 21, 2010, Ms. Worobetz did not have a history of chronic pain. She reported intermittent pain in the cervical spine region, however, this was self-limiting and did not cause her disability.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Since the motor vehicle accident Ms. Worobetz has developed constant painful symptoms throughout the cervical, thoracic and lumbar spine areas. These symptoms are most severe in the cervical spine and shoulder girdle region. She reported headaches which were diagnosed previously as cervicogenic in nature. These symptoms are now chronic and again likely mechanical or musculoskeletal in cause. Since these symptoms have developed since the accident, it is my opinion that the motor vehicle accident is most likely responsible for the current constant, daily symptoms and their associated disability.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Dr. MacInnes offered a possible explanation for Ms. Worobetz's chronic and wide spread symptoms that involves a mechanism beyond simply localized soft-tissue injury. This process is referred to as central sensitization, which Dr. MacInnes described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Central sensitization is a phenomena in chronic pain where the brain and its associated pain pathways respond in a heightened way to both painful and non-painful stimuli. This change is caused by a modification of neural connections within the brain and spinal cord, known as neuroplasticity. Central sensitization has been identified and studied in many chronic pain conditions including; chronic, whiplash-associated disorders, chronic low back pain, chronic knee pain and fibromyalgia to name a few.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my opinion that Ms. Worobetz's heightened response and difficulty with management of her symptoms may be attributed to this process. I believe that the motor vehicle accident initiated central sensitization of her nervous system. These changes that have occurred in her body secondary to the motor vehicle accident are permanent. They will likely make Ms. Worobetz's management of her current conditions more resistant and challenging. These changes may cause a heightened response, increased symptoms and further disability to future injuries throughout her body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Dr. MacInnes noted that there is an association between mood disorders and chronic pain, and that patients with untreated mood disorders are likely to have poorer functional outcomes and quality of life. He is of the view that the Accident contributed to psychological symptoms displayed by Ms. Worobetz after the Accident and that it is important that she be further assessed and treated, if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Dr. MacInnes is of the opinion that Ms. Worobetz suffers functional impairment as a result of the Accident, and believes that her current level of disability will probably remain given that her symptoms have persisted with little improvement for over four years. He is of the view that it will be difficult for Ms. Worobetz to maintain regular employment, even in a sedentary job since prolonged sitting aggravates her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It is Dr. MacInnes' opinion that Ms. Worobetz has reached maximum medical improvement and that there is only a low possibility of complete resolution of her chronic pain symptoms. He believes that it is very likely that she will have exacerbations of her current pain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terms of his recommendations for future treatment, Dr. MacInnes recommends that Ms. Worobetz remain as active as possible and remain as physically fit as possible. He also recommends monitoring of her psychological status and treatment as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Dr. MacInnes is embarking on a trial of radiofrequency lesioning of medial branch nerves. The decision to undertake this trial was as a result of some temporary remediation of pain from medial branch blocks. Dr. MacInnes described the process of radiofrequency lesioning and its potential for relieving Ms. Worobetz's symptoms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Radiofrequency lesioning is a palliative procedure that uses radiofrequency energy to produce heat and burn the tissue next to where the needle tip is placed. For this procedure the needle is placed adjacent to the medial branch nerve. The medial branch nerve provides sensory information from the facet joint. After completing this procedure we have essentially stopped the conduction of a sensory (pain) signal travelling from the joint to spinal cord and brain for interpretation. This is not a permanent procedure, as the nerve will regenerate over time, typically after 6-18 months. At that time the procedure can be repeated as needed as part of a patient's pain management strategy.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Dr. MacInnes thought that this treatment might provide a 70% chance of 50% improvement in Ms. Worobetz's neck symptoms.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M. Sudol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Dr. Sudol is a specialist in Physical Medicine and Rehabilitation. Dr. Sudol initially saw Ms. Worobetz on referral from her family doctor on November 8, 2011, and saw her on a number of occasions thereafter.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Over the course of her treatment, Dr. Sudol administered or caused to be administered a number of trigger point injections (injections of local freezing) in Ms. Worobetz's low back, hip, thigh, neck and shoulders. The injections gave partial and temporary relief only.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her report dated March 10, 2014, Dr. Sudol expressed her opinion that Ms. Worobetz suffered a musculoligamentous injury to her cervical spine. She also believes, based on the positive effect of the medial branch block, that it is likely Ms. Worobetz has a component of mechanical (i.e. joint) neck pain from the C5-6 level.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It is Dr. Sudol's opinion that Ms. Worobetz will probably continue to be symptomatic, but she is hopeful that with exercise, use of ongoing medications and radiofrequency lesioning, Ms. Worobetz will have some improvement in her pain symptoms. She notes, however, that the treatments are not curative and only provide temporary improvement.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Dr. Sudol is also of the opinion that as a result of the Accident, Ms. Worobetz probably suffered musculoligamentous injuries through her lumbar area and pelvic girdle, which is the cause of her ongoing hip and buttocks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Dr. Sudol thinks that Ms. Worobetz may have a component of underlying mechanical back pain from her lumbar spine, which may show mild to moderate improvement with treatment, such as medial blocks, and with physical conditioning and ongoing exercise.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Dr. Sudol expects Ms. Worobetz to continue to have headaches but is hopeful that the treatments being undertaken by Dr. MacInnes and Botox injections thereafter, as required, will help with the ongoing headache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Dr. Sudol is of the opinion that because of her ongoing pain symptoms Ms. Worobetz will continue to have limitations in: prolonged sitting due to buttock, pelvic and low back pain; prolonged walking due to her back and hip girdle symptoms; lifting due to her back pain; and any lifting, carrying or overhead activities, as well as computer work and typing due to her neck pain.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C. Watt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Dr. Watt is a specialist in Sports Medicine. He provided two reports, one dated May 4, 2012, and one dated January 7,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 his first report, Dr. Watt identified the following conditions which, in his opinion, were caused by the Accident:</w:t>
      </w:r>
      <w:r>
        <w:rPr>
          <w:rFonts w:ascii="arial" w:eastAsia="arial" w:hAnsi="arial" w:cs="arial"/>
          <w:sz w:val="20"/>
          <w:lang w:val="en-US" w:eastAsia="en-US" w:bidi="ar-SA"/>
        </w:rPr>
        <w:cr/>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post-traumatic myofascial pain syndrome (defined as a regional soft tissue pain syndrome associated with the presence of a trigger point in the involved muscle);</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generalized anxiety disorder;</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post-traumatic stress symptoms (although she did not meet the criteria for a diagnosis of post-traumatic stress disorder);</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iliotibial band syndrome; and</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piriformis syndrome.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Dr. Watt was of the view that Ms. Worobetz had probably reached maximal medical improvement at the time he gave his first report. 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my opinion that she has probably reached maximal medical improvement with respect to her pain symptoms. She has had appropriate and adequate treatment over the past two years since the motor vehicle accident. To the best of my knowledge she has been compliant with all aspects of treatment with the possible exception of the prescription for antidepressant medication. Her pain symptoms have not changed in any significant way over the past six months despite adherence to a reasonable exercise program. In view of the chronicity of her symptoms despite an appropriate rehabilitation program, in my opinion it is more likely than not that she is going to continue to experience chronic pain involving her neck, back and hips. Therefore, it is my opinion, that she should be considered to have permanent impairments of each of these areas resulting in permanent partial disability.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Based upon his review of the medical evidence, his examination, and a consideration of functional test data obtained by Mr. C. Nguyen, Dr. Watt offered his opinion that Ms. Worobetz was able to continue working as a part-time online home support teacher (up to 15 hours per week), but that it was unlikely that she would be able to work full time (37.5 to 40 hours per week). It was his opinion that Ms. Worobetz's future employability was significantly and adversely affected for any jobs requiring more than light physical demands for activities such as lifting, pulling, pushing, carrying, reaching, as well as squatting, stooping, kneeling, crawling and climbing.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In his second report, Dr. Watt referred to additional materials that had been provided to him since his first report and additional treatments that Ms. Worobetz had undergone. His opinion with respect to the conditions that Ms. Worobetz was suffering due to the Accident did not change, nor did his opinion that she was at a maximum level of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Dr. Watt remained of the opinion that Ms. Worobetz was capable of working as a part-time online home support teacher for up to 20 hours per week. In his view, she was physically able to work at a teaching position outside the home on a part-time basis, up to 20 hours per week, preferably if she worked half-days.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Review of Defendant's Medical Expert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M. Grypma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defendant provided an expert report from Dr. Grypma, an orthopaedic surgeon, who reviewed the medical records relating to Ms. Worobetz and examined her on March 19,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In his report, Dr. Grypma noted what he believed to be some non-organic signs and inconsistent findings:</w:t>
      </w:r>
      <w:r>
        <w:rPr>
          <w:rFonts w:ascii="arial" w:eastAsia="arial" w:hAnsi="arial" w:cs="arial"/>
          <w:sz w:val="20"/>
          <w:lang w:val="en-US" w:eastAsia="en-US" w:bidi="ar-SA"/>
        </w:rPr>
        <w:cr/>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Worobetz told him that she was pain free with respect to her neck symptoms for five years prior to the Accident but, in 2008 and 2009, complained of right sided neck pain;</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Worobetz told him that physiotherapy treatments did not help, but the records of Fraser Valley Physiotherapy and Rehabilitation Centre on August 6, 2010, record that Ms. Worobetz reported increased strength and decreased pain levels;</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Grypma noted inconsistency in Ms. Worobetz's tenderness of her hips;</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Grypma noted that Dr. Watt noted that Ms. Worobetz complained to him of excruciating pain when laying down each evening; however, laying down takes most of the stress off the back and hips and should result in less pain than standing and sitting; and</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Sudol described that on March 10, 2014, Ms. Worobetz had tenderness involving the C4 and C6 paraspinal muscles, as well as C5-C7 centrally and tenderness of a trapezius muscle. However, when Dr. Grypma examined Ms. Worobetz on March 18, 2014, there was no tenderness to any of these structures.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In the section of his report headed Impressions, Dr. Grypma provided the following opinions and statements: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According to the clinical records, prior to the motor vehicle accident Ms. Worobetz had long-standing right-sided neck discomfort, which radiates up into the jaw and into the right ear. This was documented by Dr. Grills on January 8, 2008. I found Ms. Worobetz's current symptoms today are quite similar to the symptoms that she had on January 8, 2008. Therefore, it would be wise to consult an endocrinologist to see if it is possible that her current symptoms could be due to thyroiditis and not due to an injury. Clarification will be necessary.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examination, today, Ms. Worobetz demonstrates good level of function with some limitations of neck extension and right rotation. However, when Ms. Worobetz saw Dr. Sudol there was normal range of motion to the neck on November 8, 2011. This would suggest that Ms. Worobetz may have developed degenerative changes or osteoarthritis, which is limiting her current range of motion. However, the early records following the accident including January 22, 2010, February 2, 2010, February [sic] 2010 all indicated normal range of motion. With normal range of motion, this would suggest that a significant injury is unlikely.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physical examination, to the shoulders today was normal. Therefore, an injury to the shoulders is very unlikely.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Regarding the lower back pain, Ms. Worobetz likely sustained a Grade 1 soft-tissue injury to her lower back secondary to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Dr. Grypma stated that he could find no evidence of any structural injury. In his opinion, a musculoligamentous injury is highly unlikely. He stated that a musculoligamentous injury would result in severe immediate pain requiring an immediate emergency room visit. He was also of the opinion that an injury to the right buttock area is very unlikely since there was no onset of pain until about six weeks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Dr. Grypma noted that Ms. Worobetz has had thorough investigations of her neck, upper back, lower back and pelvis, which failed to show abnormal pathology. He went on to state: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However, the facet joints all appear to be normal. Therefore, I am not clear how the lower back pain is due to facet joints other than the fact that Ms. Worobetz may be developing osteoarthritis. However, in the absence of injury to the facet joints, osteoarthritis from this motor vehicle accident is highly unlikely.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Dr. Grypma admitted that the concept of central sensitization, described by Dr. MacInnes, is outside of his area of expertise.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In summary, Dr. Grypma's opinion was that Ms. Worobetz's symptoms of neck and upper back pain are not likely due to the Accident, and are more likely due to deconditioning secondary to inactivity.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Likewise, he was of the view that Ms. Worobetz's symptoms of enduring back pain and buttock pain are not likely due to the Accident and are more likely due to:</w:t>
      </w:r>
      <w:r>
        <w:rPr>
          <w:rFonts w:ascii="arial" w:eastAsia="arial" w:hAnsi="arial" w:cs="arial"/>
          <w:sz w:val="20"/>
          <w:lang w:val="en-US" w:eastAsia="en-US" w:bidi="ar-SA"/>
        </w:rPr>
        <w:cr/>
      </w:r>
    </w:p>
    <w:p>
      <w:pPr>
        <w:numPr>
          <w:numId w:val="3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deconditioning;</w:t>
      </w:r>
    </w:p>
    <w:p>
      <w:pPr>
        <w:numPr>
          <w:numId w:val="3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being overweight;</w:t>
      </w:r>
    </w:p>
    <w:p>
      <w:pPr>
        <w:numPr>
          <w:numId w:val="3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poor posture; and/or</w:t>
      </w:r>
    </w:p>
    <w:p>
      <w:pPr>
        <w:numPr>
          <w:numId w:val="3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degenerative changes or osteoarthritis.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As far as any ongoing treatment is concerned, Dr. Grypma eschews any passive treatment and recommended exercise. He said that Ms. Worobetz is severely deconditioned and the more activity she does, the better she will 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Dr. Grypma opined that Ms. Worobetz had a period of total disability due to the Accident of four to six weeks, with partial disability for another two to four weeks. He states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absence of structural damages, disability is unlikely. Ms. Worobetz's perceived disability appears to be disproportionate to her physical findings.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Plaintiff's other evidence relating to her condition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Mr. Worobetz</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Mr. Worobetz was 50 years old at the time of trial and is a computer programmer, employed by the City of Chilliwack. He will be eligible for a pension when he is 65 years old, in 2029.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Mr. Worobetz gave the following evidence of the changes that he has noticed in his wife since the Accident. She was always a driven, hard-working person, and her energy level and physical ability was quite strong. Since the Accident, she does less housework and less exercise, and tends to go to bed earlier. She uses medications and topical medications for pain and does stretching exercises, but without sustained relief. She is less able to be active and involved with the children, which has affected their relationship. He said that she is less able to handle situations and her mood is generally low. Mr. Worobetz has had to take on more of the household responsibilities such as shopping, cooking and washing clothes.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Mr. Worobetz testified that he and his wife now only go for short walks and she is fatigued by the end of the walk. Mr. Worobetz used to encourage his wife to be more active but is now more likely to suggest rest to ease the pain because exercise did not work. He said that when Ms. Worobetz completed the exercise program with the kinesiologist, she tried to do her exercises. She is not lazy. He thinks she is "maxed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Mr. Worobetz testified that their plan had been that Ms. Worobetz would return to full time work when the children got older. He said it is difficult living on his salary alone.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Mr. Worobetz was not in favour of his wife using Cymbalta because of concern that it affects the brain. He viewed it as a last resort. He wanted to try other things, to see if some more natural treatment might work, before using the drug.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Mr. Worobetz confirmed that the incident following the birth of their youngest child in 2002, when Ms. Worobetz developed pain in her hands and feet, lasted a few months, but resolved and was not a problem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In cross-examination, Mr. Worobetz agreed that leading up to the Accident Ms. Worobetz was struggling with the home schooling and with the family.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Ms. Santschi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Ms. Santschi is the mother of three children and a neighbour to Ms. Worobetz. She became familiar with home schooling through Ms. Worobetz and decided to home school her own children. Ms. Worobetz is her support teacher and they became friends.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Ms. Santschi said that before the Accident, Ms. Worobetz was outgoing, happy, sociable and involved in home school activities. Now, she mainly talks about her discomfort and does not appear to be a very happy person. I think it was with some difficulty, given their friendship, that Ms. Santschi testified that Ms. Worobetz is no longer a good support teacher. She is less likely to call on her for advice. She said she planned to ask for a different support teacher, although Ms. Worobetz was not aware of this before Ms. Santschi testified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Ms. Santschi testified she has not seen much of Ms. Worobetz in the past couple of years on a social basis but, about a month prior to trial, she went to a movie with her and noticed that Ms. Worobetz was uncomfortable sitting in the theatre.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Ms. Santschi testified that she finds it depressing to be around Ms. Worobetz because she is very negative, cries often and complaints a great deal about her neck and back.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Mrs. Wedgewood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Mrs. Wedgewood is Ms. Worobetz's mother. She testified about the changes she has observed in Ms. Worobetz since the Accident. She described how Ms. Worobetz used to drive with her children to her home near Shuswap Lake and spend five to seven days at a time. While there, Ms. Worobetz would hike, walk and jog. She would help around the house and before leaving would vacuum the house, clean the bathrooms and do the laundry.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Mrs. Wedgewood said that her daughter can now barely walk up the stairs. She often sits with a hot pad or a cold pack and appears to be in pain all the time. Mrs. Wedgewood said that her daughter is more impatient and has lost her vibrancy. She described her walking like an "old woman".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Causation and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defendant relies heavily on the opinions of Dr. Grypma to submit that Ms. Worobetz suffered, at most, only a minor soft tissue injury to her neck and back. The defendant submits that Ms. Worobetz should have recovered by October 2010, a month after she was discharged from the Individualized Exercise Program at Fraser Valley Physiotherapy &amp; Rehabilitation Centre that she attended. The defendant refers to the evidence and report of Mr. Derksen, a kinesiologist who saw Ms. Worobetz at the time of her discharge from the program. In his report under the heading, Subjective Findings, Mr. Derksen noted: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Worobetz reports that she has noticed improvements in her general level of fitness conditioning, strength, and flexibility since initiating the program. She explains that she has experienced an increase in right shoulder symptoms over the last 2 weeks that are unrelated to her original symptoms. She states that her physiotherapist diagnosed her with a right shoulder "subluxation" with an insidious onset. This increase in right shoulder symptoms over the last 2 weeks has limited her progress.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Currently, Ms. Worobetz is reporting neck, jaw, low back and upper back symptoms. On the VAS, she rates these symptoms at 3-4.5/10 (unchanged from intake) and describes them as periodic. Ms. Worobetz explains that her symptoms improve after exercising but when at rest she states that her symptoms overall are unchanged from intake. She states that she has frequent headaches in the back of her head. She relays that her neck range of motion has increased, her core strength has improved, and her cardiovascular conditioning has improved. She explains that she has been wearing a lumbar support belt for the past week which was recommended to her by her physiotherapist. In order to gain relief, Ms. Worobetz reports the use of pain medication.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Overall, Ms. Worobetz enjoyed attending the program and will be continuing with her exercise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Mr. Derksen also reported that active range of motion tests of Ms. Worobetz's cervical spine, shoulder girdle and thoracic spine were within normal limits and pain free. Active range of motion tests for her lumbar spine were within "expected limits" with symptoms reported at the end range of flexion and left side rotation.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defendant submits that given the lack of objective physical evidence of an ongoing injury, Ms. Worobetz has not proven that her ongoing subjective symptoms are caused by the Accident. The defendant says the only connection between the ongoing complaints and the Accident is temporal, yet the objective physical examinations fail to reveal anything wrong with Ms. Worobetz physically after the Accident. The defendant adopts the opinion of Dr. Grypma that Ms. Worobetz's enduring pain is likely due to deconditioning secondary to inactivity. The defendant says this is borne out by the result of the Individualized Exercise Program - upon completion of the program, Ms. Worobetz was stronger, more conditioned and feeling better, but after she stopped attending the program and did not fully maintain her exercises, her conditioning got worse and her complaints increased. The defendant submits that Ms. Worobetz would have continued to recover if she had been diligent with the exercise program at home, which she was not, and had regularly attended at a gym, which she did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The defendant submits that the following caution given by McEachern C.J. in </w:t>
      </w:r>
      <w:r>
        <w:rPr>
          <w:rFonts w:ascii="arial" w:eastAsia="arial" w:hAnsi="arial" w:cs="arial"/>
          <w:i/>
          <w:color w:val="000000"/>
          <w:sz w:val="20"/>
          <w:lang w:val="en-US" w:eastAsia="en-US" w:bidi="ar-SA"/>
        </w:rPr>
        <w:t>Price v. Kostryba</w:t>
      </w:r>
      <w:r>
        <w:rPr>
          <w:rFonts w:ascii="arial" w:eastAsia="arial" w:hAnsi="arial" w:cs="arial"/>
          <w:color w:val="000000"/>
          <w:sz w:val="20"/>
          <w:lang w:val="en-US" w:eastAsia="en-US" w:bidi="ar-SA"/>
        </w:rPr>
        <w:t xml:space="preserve"> </w:t>
      </w:r>
      <w:hyperlink r:id="rId66" w:history="1">
        <w:r>
          <w:rPr>
            <w:rFonts w:ascii="arial" w:eastAsia="arial" w:hAnsi="arial" w:cs="arial"/>
            <w:i/>
            <w:color w:val="0077CC"/>
            <w:sz w:val="20"/>
            <w:u w:val="single"/>
            <w:shd w:val="clear" w:color="auto" w:fill="FFFFFF"/>
            <w:lang w:val="en-US" w:eastAsia="en-US" w:bidi="ar-SA"/>
          </w:rPr>
          <w:t>(1982), 70 B.C.L.R. 397</w:t>
        </w:r>
      </w:hyperlink>
      <w:r>
        <w:rPr>
          <w:rFonts w:ascii="arial" w:eastAsia="arial" w:hAnsi="arial" w:cs="arial"/>
          <w:color w:val="000000"/>
          <w:sz w:val="20"/>
          <w:lang w:val="en-US" w:eastAsia="en-US" w:bidi="ar-SA"/>
        </w:rPr>
        <w:t xml:space="preserve"> at 399 (S.C.) is apt: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 In </w:t>
      </w:r>
      <w:r>
        <w:rPr>
          <w:rFonts w:ascii="arial" w:eastAsia="arial" w:hAnsi="arial" w:cs="arial"/>
          <w:i/>
          <w:color w:val="000000"/>
          <w:sz w:val="20"/>
          <w:lang w:val="en-US" w:eastAsia="en-US" w:bidi="ar-SA"/>
        </w:rPr>
        <w:t>Butler v. Blaylock</w:t>
      </w:r>
      <w:r>
        <w:rPr>
          <w:rFonts w:ascii="arial" w:eastAsia="arial" w:hAnsi="arial" w:cs="arial"/>
          <w:color w:val="000000"/>
          <w:sz w:val="20"/>
          <w:lang w:val="en-US" w:eastAsia="en-US" w:bidi="ar-SA"/>
        </w:rPr>
        <w:t xml:space="preserve">, </w:t>
      </w:r>
      <w:hyperlink r:id="rId200" w:history="1">
        <w:r>
          <w:rPr>
            <w:rFonts w:ascii="arial" w:eastAsia="arial" w:hAnsi="arial" w:cs="arial"/>
            <w:i/>
            <w:color w:val="0077CC"/>
            <w:sz w:val="20"/>
            <w:u w:val="single"/>
            <w:shd w:val="clear" w:color="auto" w:fill="FFFFFF"/>
            <w:lang w:val="en-US" w:eastAsia="en-US" w:bidi="ar-SA"/>
          </w:rPr>
          <w:t>[1981] B.C.J. No. 31</w:t>
        </w:r>
      </w:hyperlink>
      <w:r>
        <w:rPr>
          <w:rFonts w:ascii="arial" w:eastAsia="arial" w:hAnsi="arial" w:cs="arial"/>
          <w:color w:val="000000"/>
          <w:sz w:val="20"/>
          <w:lang w:val="en-US" w:eastAsia="en-US" w:bidi="ar-SA"/>
        </w:rPr>
        <w:t>, decided 7th October 1981, Vancouver No. B781505 (unreported), I referred to counsel's argument that a defendant is often at the mercy of a plaintiff in actions for damages for personal injuries because complaints of pain cannot easily be disproved. I then said: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am not stating any new principle when I say that the court should be exceedingly careful when there is little or no objective evidence of continuing injury and when complaints of pain persist for long periods extending beyond the normal or usual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The defendant also refers to </w:t>
      </w:r>
      <w:r>
        <w:rPr>
          <w:rFonts w:ascii="arial" w:eastAsia="arial" w:hAnsi="arial" w:cs="arial"/>
          <w:i/>
          <w:color w:val="000000"/>
          <w:sz w:val="20"/>
          <w:lang w:val="en-US" w:eastAsia="en-US" w:bidi="ar-SA"/>
        </w:rPr>
        <w:t>White v. Stonestreet</w:t>
      </w:r>
      <w:r>
        <w:rPr>
          <w:rFonts w:ascii="arial" w:eastAsia="arial" w:hAnsi="arial" w:cs="arial"/>
          <w:color w:val="000000"/>
          <w:sz w:val="20"/>
          <w:lang w:val="en-US" w:eastAsia="en-US" w:bidi="ar-SA"/>
        </w:rPr>
        <w:t xml:space="preserve">, </w:t>
      </w:r>
      <w:hyperlink r:id="rId201" w:history="1">
        <w:r>
          <w:rPr>
            <w:rFonts w:ascii="arial" w:eastAsia="arial" w:hAnsi="arial" w:cs="arial"/>
            <w:i/>
            <w:color w:val="0077CC"/>
            <w:sz w:val="20"/>
            <w:u w:val="single"/>
            <w:shd w:val="clear" w:color="auto" w:fill="FFFFFF"/>
            <w:lang w:val="en-US" w:eastAsia="en-US" w:bidi="ar-SA"/>
          </w:rPr>
          <w:t>2006 BCSC 801</w:t>
        </w:r>
      </w:hyperlink>
      <w:r>
        <w:rPr>
          <w:rFonts w:ascii="arial" w:eastAsia="arial" w:hAnsi="arial" w:cs="arial"/>
          <w:color w:val="000000"/>
          <w:sz w:val="20"/>
          <w:lang w:val="en-US" w:eastAsia="en-US" w:bidi="ar-SA"/>
        </w:rPr>
        <w:t>, where the court considered the reliability of a temporal connection in finding causation. At paras. 74-75, Ehrcke J.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[74] The inference from a temporal sequence to a causal connection, however, is not always reliable. In fact, this form of reasoning so often results in false conclusions that logicians have given it a Latin name. It is sometimes referred to as the fallacy of </w:t>
      </w:r>
      <w:r>
        <w:rPr>
          <w:rFonts w:ascii="arial" w:eastAsia="arial" w:hAnsi="arial" w:cs="arial"/>
          <w:i/>
          <w:color w:val="000000"/>
          <w:sz w:val="20"/>
          <w:lang w:val="en-US" w:eastAsia="en-US" w:bidi="ar-SA"/>
        </w:rPr>
        <w:t>post hoc ergo propter hoc</w:t>
      </w:r>
      <w:r>
        <w:rPr>
          <w:rFonts w:ascii="arial" w:eastAsia="arial" w:hAnsi="arial" w:cs="arial"/>
          <w:color w:val="000000"/>
          <w:sz w:val="20"/>
          <w:lang w:val="en-US" w:eastAsia="en-US" w:bidi="ar-SA"/>
        </w:rPr>
        <w:t>: "after this therefore because of this."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[75] In searching for causes, a temporal connection is sometimes the only thing to go on. But if a mere temporal connection is going to form the basis for a conclusion about the cause of an event, then it is important to examine that temporal connection carefully. Just how close are the events in time? Were there other events happening around the same time, or even closer in time, that would provide an alternate, and more accurate, explanation of the true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defendant also submits that Ms. Worobetz failed to follow medical advice to treat her symptoms of depression by using Cymbalta and attending counseling and that either this failure broke the chain of causation between the Accident and Ms. Worobetz's chronic pain or, alternatively, she failed to mitigate her damages, which would be less if she had followed the medical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Dr. Stopforth suggested as early as August 2010 that Ms. Worobetz take Cymbalta because of the symptoms of depression that she was experiencing. He also suggested that she undertake counselling. However, Ms. Worobetz was reluctant to follow that advice because her husband was against it, due to the stigma that might be attached to seeking treatment for psychological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defendant suggests that Ms. Worobetz's symptoms of pain in her neck are due to her hypothyroidism. However, Ms. Worobetz testified that the pain that she experienced in her neck around the time she was diagnosed with her thyroid condition was different in nature from that which she experienced following the Accident: it was in the front of her neck, as opposed to the side and back. I accept that evidence. I am not satisfied that Ms. Worobetz's hypothyroidism was not properly managed with medication and I am not satisfied that the neck pain experienced by her following the Accident was caused by an imbalance of her thyroid.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Ms. Worobetz submits that the evidence, on the whole, proves on a balance of probabilities that her ongoing symptoms and disabilities were caused by the Accident. She refers to </w:t>
      </w:r>
      <w:r>
        <w:rPr>
          <w:rFonts w:ascii="arial" w:eastAsia="arial" w:hAnsi="arial" w:cs="arial"/>
          <w:i/>
          <w:color w:val="000000"/>
          <w:sz w:val="20"/>
          <w:lang w:val="en-US" w:eastAsia="en-US" w:bidi="ar-SA"/>
        </w:rPr>
        <w:t>Wallman v. John Doe</w:t>
      </w:r>
      <w:r>
        <w:rPr>
          <w:rFonts w:ascii="arial" w:eastAsia="arial" w:hAnsi="arial" w:cs="arial"/>
          <w:color w:val="000000"/>
          <w:sz w:val="20"/>
          <w:lang w:val="en-US" w:eastAsia="en-US" w:bidi="ar-SA"/>
        </w:rPr>
        <w:t xml:space="preserve">, </w:t>
      </w:r>
      <w:hyperlink r:id="rId202" w:history="1">
        <w:r>
          <w:rPr>
            <w:rFonts w:ascii="arial" w:eastAsia="arial" w:hAnsi="arial" w:cs="arial"/>
            <w:i/>
            <w:color w:val="0077CC"/>
            <w:sz w:val="20"/>
            <w:u w:val="single"/>
            <w:shd w:val="clear" w:color="auto" w:fill="FFFFFF"/>
            <w:lang w:val="en-US" w:eastAsia="en-US" w:bidi="ar-SA"/>
          </w:rPr>
          <w:t>2014 BCSC 79</w:t>
        </w:r>
      </w:hyperlink>
      <w:r>
        <w:rPr>
          <w:rFonts w:ascii="arial" w:eastAsia="arial" w:hAnsi="arial" w:cs="arial"/>
          <w:color w:val="000000"/>
          <w:sz w:val="20"/>
          <w:lang w:val="en-US" w:eastAsia="en-US" w:bidi="ar-SA"/>
        </w:rPr>
        <w:t>, in which the court summarized the "but for" test of causation at paras.438-439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[438] The plaintiff must show on the balance of probabilities that he was injured by and his injury would not have occurred but 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"but for" test must be applied in a robust common sense fashion. There is no need for scientific evidence of the precise contribution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made to the injury: </w:t>
      </w:r>
      <w:r>
        <w:rPr>
          <w:rFonts w:ascii="arial" w:eastAsia="arial" w:hAnsi="arial" w:cs="arial"/>
          <w:i/>
          <w:color w:val="000000"/>
          <w:sz w:val="20"/>
          <w:lang w:val="en-US" w:eastAsia="en-US" w:bidi="ar-SA"/>
        </w:rPr>
        <w:t>Clements v. Clements</w:t>
      </w:r>
      <w:r>
        <w:rPr>
          <w:rFonts w:ascii="arial" w:eastAsia="arial" w:hAnsi="arial" w:cs="arial"/>
          <w:color w:val="000000"/>
          <w:sz w:val="20"/>
          <w:lang w:val="en-US" w:eastAsia="en-US" w:bidi="ar-SA"/>
        </w:rPr>
        <w:t xml:space="preserve"> </w:t>
      </w:r>
      <w:hyperlink r:id="rId11" w:history="1">
        <w:r>
          <w:rPr>
            <w:rFonts w:ascii="arial" w:eastAsia="arial" w:hAnsi="arial" w:cs="arial"/>
            <w:i/>
            <w:color w:val="0077CC"/>
            <w:sz w:val="20"/>
            <w:u w:val="single"/>
            <w:shd w:val="clear" w:color="auto" w:fill="FFFFFF"/>
            <w:lang w:val="en-US" w:eastAsia="en-US" w:bidi="ar-SA"/>
          </w:rPr>
          <w:t>[2012] 2 SCR 181</w:t>
        </w:r>
      </w:hyperlink>
      <w:r>
        <w:rPr>
          <w:rFonts w:ascii="arial" w:eastAsia="arial" w:hAnsi="arial" w:cs="arial"/>
          <w:color w:val="000000"/>
          <w:sz w:val="20"/>
          <w:lang w:val="en-US" w:eastAsia="en-US" w:bidi="ar-SA"/>
        </w:rPr>
        <w:t xml:space="preserve"> at paras 8-9.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[439] Causation is to be decided on the whole of the evidence: </w:t>
      </w:r>
      <w:r>
        <w:rPr>
          <w:rFonts w:ascii="arial" w:eastAsia="arial" w:hAnsi="arial" w:cs="arial"/>
          <w:i/>
          <w:color w:val="000000"/>
          <w:sz w:val="20"/>
          <w:lang w:val="en-US" w:eastAsia="en-US" w:bidi="ar-SA"/>
        </w:rPr>
        <w:t>Hoy v. Harvey</w:t>
      </w:r>
      <w:r>
        <w:rPr>
          <w:rFonts w:ascii="arial" w:eastAsia="arial" w:hAnsi="arial" w:cs="arial"/>
          <w:color w:val="000000"/>
          <w:sz w:val="20"/>
          <w:lang w:val="en-US" w:eastAsia="en-US" w:bidi="ar-SA"/>
        </w:rPr>
        <w:t xml:space="preserve">, </w:t>
      </w:r>
      <w:hyperlink r:id="rId203" w:history="1">
        <w:r>
          <w:rPr>
            <w:rFonts w:ascii="arial" w:eastAsia="arial" w:hAnsi="arial" w:cs="arial"/>
            <w:i/>
            <w:color w:val="0077CC"/>
            <w:sz w:val="20"/>
            <w:u w:val="single"/>
            <w:shd w:val="clear" w:color="auto" w:fill="FFFFFF"/>
            <w:lang w:val="en-US" w:eastAsia="en-US" w:bidi="ar-SA"/>
          </w:rPr>
          <w:t>2012 BCSC 1076</w:t>
        </w:r>
      </w:hyperlink>
      <w:r>
        <w:rPr>
          <w:rFonts w:ascii="arial" w:eastAsia="arial" w:hAnsi="arial" w:cs="arial"/>
          <w:color w:val="000000"/>
          <w:sz w:val="20"/>
          <w:lang w:val="en-US" w:eastAsia="en-US" w:bidi="ar-SA"/>
        </w:rPr>
        <w:t>. Here, as in many personal injury cases, the evidence of injury consists of the subjective history of the plaintiff, the collateral evidence of his wife, friends and former co-workers, as well as the findings and opinions of several medical and engineering experts.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Ms. Worobetz submits that but for the collision of January 21, 2010, she would not be in the condition that she is in today.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 accept Ms. Worobetz's submission and reject that of the defendant for a number of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 am satisfied that Ms. Worobetz was generally in good health at the time of the Accident and was not suffering from the symptoms which she has experienced since the Accident. While Ms. Worobetz did suffer from neck pain which radiated into her face for a period time in 2007, she described it as a pain in the front part of her neck and of a different kind than the neck pain she experienced following the Accident. I am satisfied the neck and face pain that she experienced prior to the Accident was probably the result of her thyroid condition, which has been stabilized and maintained with Synthroid. She had not experienced neck pain for a considerable period of time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 imaging studies of Ms. Worobetz's low back did show some evidence of minimal degenerative changes which may have predated the Accident, but she had not been experiencing any low back pain prior to the Accident. Dr. Grypma suggests that Ms. Worobetz may be developing osteoarthritis. However, given the mild degenerative changes and the onset of quite severe low back and buttocks pain quite soon after the Accident, I question that possible explanation.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Dr. Grypma's opinion appears to be based substantially on two things: first, the lack of evidence of any </w:t>
      </w:r>
      <w:r>
        <w:rPr>
          <w:rFonts w:ascii="arial" w:eastAsia="arial" w:hAnsi="arial" w:cs="arial"/>
          <w:color w:val="000000"/>
          <w:sz w:val="20"/>
          <w:u w:val="single"/>
          <w:lang w:val="en-US" w:eastAsia="en-US" w:bidi="ar-SA"/>
        </w:rPr>
        <w:t>structural</w:t>
      </w:r>
      <w:r>
        <w:rPr>
          <w:rFonts w:ascii="arial" w:eastAsia="arial" w:hAnsi="arial" w:cs="arial"/>
          <w:color w:val="000000"/>
          <w:sz w:val="20"/>
          <w:lang w:val="en-US" w:eastAsia="en-US" w:bidi="ar-SA"/>
        </w:rPr>
        <w:t xml:space="preserve"> injury; and second, her lack of conditioning and mild obesity. Dr. Grypma suggests that if Ms. Worobetz had suffered an injury other than a mild soft tissue injury, she would have experienced immediate pain of such intensity that she would have sought out immediate attention at an emergency room. I am not persuaded, however, that a person need sustain a serious structural injury in order to develop serious and chronic pain following a trauma such as an Accident. There are simply too many cases where persons have been found to have developed chronic back pain following a motor vehicle accident in the absence of objective evidence of structural damage to accept Dr. Grypma's bald proposition.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Dr. Grypma's opinion that Ms. Worobetz suffered only a mild injury that would have healed completely within a few months is contradicted by the evidence of Ms. Worobetz concerning her symptoms and how they affected her functioning, which is supported by the evidence of a number of other specialists who have treated Ms. Worobetz and followed her progress over a long period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In my opinion, it is a relevant factor that Ms. Worobetz developed her pain complaints very soon after the Accident and that they progressed, with little change, until the present time. I accept that a mere temporal connection between an accident and the development of pain is not determinative by itself that the Accident caused the pain, but it is, nonetheless, a relevant factor. I also accept that the court must be cautious in relying on the subjective complaints of a patient, where there is no other objective evidence to support those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However, in this case, there is more evidence than simply subjective complaints and a temporal connection between those complaints and the Accident. I accept that Ms. Worobetz's symptoms of pain are real and honestly felt. The manner in which they have impacted her functioning is supported by evidence of her husband, mother, co-worker and the woman for whom Ms. Worobetz acts as a support teacher. There is a strong body of expert opinion evidence in this case from specialists in a number of fields to support a finding that Ms. Worobetz's ongoing pain was caused by the Accident. Those specialists have spent a great deal of time examining Ms. Worobetz, investigating her complaints and providing treatment. In my respectful view, their evidence is to be preferred over that of Dr. Grypma, who conducted a single, rather brief examination and a review of her medical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Dr. MacInnes, in particular, puts forward an explanation as to how Ms. Worobetz could have developed the pain at various sites in her body as a result of a rather modest soft tissue injury that one would ordinarily think would resolve quite quickly: central sensitization. Dr. Grypma admits that he is not qualified to comment on that topic, so he is not able to agree or disagree that it is a reasonable explanation for Ms. Worobetz's continuing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In summary, I find that but for the Accident, Ms. Worobetz would not be suffering the ongoing symptoms that she feels and her daily activities of life and ability to work would not be affected the way they are. She is less able to enjoy the social and recreational pursuits that she used to enjoy. She is less able to carry out the functions of a mother and wife, compared to her life before the Accident. She no longer has the same ability to work at her chosen career as a teacher because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Based on the evidence as a whole, I am satisfied that it is unlikely that Ms. Worobetz will recover completely and become symptom-free and fully functioning. Having said that, it seems to be universally accepted by all of the doctors that it is important that Ms. Worobetz become and remain as physically active as possible. She will do her body no harm and it is certainly possible that her overall pain level will be lessened or, at least will become more tolerable, if she attains optimum fitness.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Ms. Worobetz did make some gains in her general feeling of well-being when she was actively involved in the formal exercise program. When she completed the formal program, she continued with some of the exercises, but not all of them and not to the degree she had participated while in the program. In my opinion, it is understandable that Ms. Worobetz and her husband have been discouraged by the fact that none of the many treatment modalities attempted have led to a "cure" and that she has not been as active as she should be. But, I am not satisfied that she has failed to mitigate her loss to any significant degree. No one, other than Dr. Grypma, suggests that exercise will provide a cure.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Similarly, Ms. Worobetz resisted taking the anti-depressant medication, Cymbalta, for some time before she recently relented and began taking it. She and her husband were concerned about possible side effects and the stigma attached to anti-depressants. It is not clear yet whether that medication is having any positive effect. In any event, it will not provide a "cure". In my view, the defendant has not proven a failure to mitigate by resisting taking the Cymbalta.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I turn then to consider the quantum of damages that will provide proper compensation for Ms. Worobetz's pain, suffering and loss of enjoyment, and loss of amenities. It is trite law that while other cases may provide some guidance, each award must be made with reference to the particular circumstances of the case. The following non-exhaustive list of the factors that the court may consider in determining the amount of the award was given in </w:t>
      </w:r>
      <w:r>
        <w:rPr>
          <w:rFonts w:ascii="arial" w:eastAsia="arial" w:hAnsi="arial" w:cs="arial"/>
          <w:i/>
          <w:color w:val="000000"/>
          <w:sz w:val="20"/>
          <w:lang w:val="en-US" w:eastAsia="en-US" w:bidi="ar-SA"/>
        </w:rPr>
        <w:t>Hartnett v. Leischner &amp; ICBC</w:t>
      </w:r>
      <w:r>
        <w:rPr>
          <w:rFonts w:ascii="arial" w:eastAsia="arial" w:hAnsi="arial" w:cs="arial"/>
          <w:color w:val="000000"/>
          <w:sz w:val="20"/>
          <w:lang w:val="en-US" w:eastAsia="en-US" w:bidi="ar-SA"/>
        </w:rPr>
        <w:t xml:space="preserve">, </w:t>
      </w:r>
      <w:hyperlink r:id="rId204" w:history="1">
        <w:r>
          <w:rPr>
            <w:rFonts w:ascii="arial" w:eastAsia="arial" w:hAnsi="arial" w:cs="arial"/>
            <w:i/>
            <w:color w:val="0077CC"/>
            <w:sz w:val="20"/>
            <w:u w:val="single"/>
            <w:shd w:val="clear" w:color="auto" w:fill="FFFFFF"/>
            <w:lang w:val="en-US" w:eastAsia="en-US" w:bidi="ar-SA"/>
          </w:rPr>
          <w:t>2008 BCSC 1589</w:t>
        </w:r>
      </w:hyperlink>
      <w:r>
        <w:rPr>
          <w:rFonts w:ascii="arial" w:eastAsia="arial" w:hAnsi="arial" w:cs="arial"/>
          <w:color w:val="000000"/>
          <w:sz w:val="20"/>
          <w:lang w:val="en-US" w:eastAsia="en-US" w:bidi="ar-SA"/>
        </w:rPr>
        <w:t xml:space="preserve"> at para. 81:</w:t>
      </w:r>
      <w:r>
        <w:rPr>
          <w:rFonts w:ascii="arial" w:eastAsia="arial" w:hAnsi="arial" w:cs="arial"/>
          <w:sz w:val="20"/>
          <w:lang w:val="en-US" w:eastAsia="en-US" w:bidi="ar-SA"/>
        </w:rPr>
        <w:cr/>
      </w:r>
    </w:p>
    <w:p>
      <w:pPr>
        <w:numPr>
          <w:numId w:val="3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age of the plaintiff;</w:t>
      </w:r>
    </w:p>
    <w:p>
      <w:pPr>
        <w:numPr>
          <w:numId w:val="3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the injury;</w:t>
      </w:r>
    </w:p>
    <w:p>
      <w:pPr>
        <w:numPr>
          <w:numId w:val="4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severity and duration of pain;</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disability;</w:t>
      </w:r>
    </w:p>
    <w:p>
      <w:pPr>
        <w:numPr>
          <w:numId w:val="4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emotional suffering;</w:t>
      </w:r>
    </w:p>
    <w:p>
      <w:pPr>
        <w:numPr>
          <w:numId w:val="4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or impairment of life;</w:t>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family, marital and social relationships;</w:t>
      </w:r>
    </w:p>
    <w:p>
      <w:pPr>
        <w:numPr>
          <w:numId w:val="4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physical and mental abilities;</w:t>
      </w:r>
    </w:p>
    <w:p>
      <w:pPr>
        <w:numPr>
          <w:numId w:val="4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lifestyle; and</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stoicism (as a factor that should not, generally speaking, penalize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Ms. Worobetz seeks an award of $100,000 under this head and refers to the following cases: </w:t>
      </w:r>
      <w:r>
        <w:rPr>
          <w:rFonts w:ascii="arial" w:eastAsia="arial" w:hAnsi="arial" w:cs="arial"/>
          <w:i/>
          <w:color w:val="000000"/>
          <w:sz w:val="20"/>
          <w:lang w:val="en-US" w:eastAsia="en-US" w:bidi="ar-SA"/>
        </w:rPr>
        <w:t>Freeland-Clayton v. Murphy</w:t>
      </w:r>
      <w:r>
        <w:rPr>
          <w:rFonts w:ascii="arial" w:eastAsia="arial" w:hAnsi="arial" w:cs="arial"/>
          <w:color w:val="000000"/>
          <w:sz w:val="20"/>
          <w:lang w:val="en-US" w:eastAsia="en-US" w:bidi="ar-SA"/>
        </w:rPr>
        <w:t xml:space="preserve">, </w:t>
      </w:r>
      <w:hyperlink r:id="rId205" w:history="1">
        <w:r>
          <w:rPr>
            <w:rFonts w:ascii="arial" w:eastAsia="arial" w:hAnsi="arial" w:cs="arial"/>
            <w:i/>
            <w:color w:val="0077CC"/>
            <w:sz w:val="20"/>
            <w:u w:val="single"/>
            <w:shd w:val="clear" w:color="auto" w:fill="FFFFFF"/>
            <w:lang w:val="en-US" w:eastAsia="en-US" w:bidi="ar-SA"/>
          </w:rPr>
          <w:t>[1997] B.C.J. No. 1705</w:t>
        </w:r>
      </w:hyperlink>
      <w:r>
        <w:rPr>
          <w:rFonts w:ascii="arial" w:eastAsia="arial" w:hAnsi="arial" w:cs="arial"/>
          <w:color w:val="000000"/>
          <w:sz w:val="20"/>
          <w:lang w:val="en-US" w:eastAsia="en-US" w:bidi="ar-SA"/>
        </w:rPr>
        <w:t xml:space="preserve"> (S.C.) ($110,000 = $152,000 in 2013 dollars); </w:t>
      </w:r>
      <w:r>
        <w:rPr>
          <w:rFonts w:ascii="arial" w:eastAsia="arial" w:hAnsi="arial" w:cs="arial"/>
          <w:i/>
          <w:color w:val="000000"/>
          <w:sz w:val="20"/>
          <w:lang w:val="en-US" w:eastAsia="en-US" w:bidi="ar-SA"/>
        </w:rPr>
        <w:t>Neumann v. Eskoy</w:t>
      </w:r>
      <w:r>
        <w:rPr>
          <w:rFonts w:ascii="arial" w:eastAsia="arial" w:hAnsi="arial" w:cs="arial"/>
          <w:color w:val="000000"/>
          <w:sz w:val="20"/>
          <w:lang w:val="en-US" w:eastAsia="en-US" w:bidi="ar-SA"/>
        </w:rPr>
        <w:t xml:space="preserve">, </w:t>
      </w:r>
      <w:hyperlink r:id="rId20" w:history="1">
        <w:r>
          <w:rPr>
            <w:rFonts w:ascii="arial" w:eastAsia="arial" w:hAnsi="arial" w:cs="arial"/>
            <w:i/>
            <w:color w:val="0077CC"/>
            <w:sz w:val="20"/>
            <w:u w:val="single"/>
            <w:shd w:val="clear" w:color="auto" w:fill="FFFFFF"/>
            <w:lang w:val="en-US" w:eastAsia="en-US" w:bidi="ar-SA"/>
          </w:rPr>
          <w:t>2010 BCSC 1275</w:t>
        </w:r>
      </w:hyperlink>
      <w:r>
        <w:rPr>
          <w:rFonts w:ascii="arial" w:eastAsia="arial" w:hAnsi="arial" w:cs="arial"/>
          <w:color w:val="000000"/>
          <w:sz w:val="20"/>
          <w:lang w:val="en-US" w:eastAsia="en-US" w:bidi="ar-SA"/>
        </w:rPr>
        <w:t xml:space="preserve"> ($90,000 = $97,000 in 2014 dollars); </w:t>
      </w:r>
      <w:r>
        <w:rPr>
          <w:rFonts w:ascii="arial" w:eastAsia="arial" w:hAnsi="arial" w:cs="arial"/>
          <w:i/>
          <w:color w:val="000000"/>
          <w:sz w:val="20"/>
          <w:lang w:val="en-US" w:eastAsia="en-US" w:bidi="ar-SA"/>
        </w:rPr>
        <w:t>Paller v. Regan</w:t>
      </w:r>
      <w:r>
        <w:rPr>
          <w:rFonts w:ascii="arial" w:eastAsia="arial" w:hAnsi="arial" w:cs="arial"/>
          <w:color w:val="000000"/>
          <w:sz w:val="20"/>
          <w:lang w:val="en-US" w:eastAsia="en-US" w:bidi="ar-SA"/>
        </w:rPr>
        <w:t xml:space="preserve">, </w:t>
      </w:r>
      <w:hyperlink r:id="rId206" w:history="1">
        <w:r>
          <w:rPr>
            <w:rFonts w:ascii="arial" w:eastAsia="arial" w:hAnsi="arial" w:cs="arial"/>
            <w:i/>
            <w:color w:val="0077CC"/>
            <w:sz w:val="20"/>
            <w:u w:val="single"/>
            <w:shd w:val="clear" w:color="auto" w:fill="FFFFFF"/>
            <w:lang w:val="en-US" w:eastAsia="en-US" w:bidi="ar-SA"/>
          </w:rPr>
          <w:t>2013 BCSC 1672</w:t>
        </w:r>
      </w:hyperlink>
      <w:r>
        <w:rPr>
          <w:rFonts w:ascii="arial" w:eastAsia="arial" w:hAnsi="arial" w:cs="arial"/>
          <w:color w:val="000000"/>
          <w:sz w:val="20"/>
          <w:lang w:val="en-US" w:eastAsia="en-US" w:bidi="ar-SA"/>
        </w:rPr>
        <w:t xml:space="preserve"> ($85,000 = $86,300 in 2014 dollars); </w:t>
      </w:r>
      <w:r>
        <w:rPr>
          <w:rFonts w:ascii="arial" w:eastAsia="arial" w:hAnsi="arial" w:cs="arial"/>
          <w:i/>
          <w:color w:val="000000"/>
          <w:sz w:val="20"/>
          <w:lang w:val="en-US" w:eastAsia="en-US" w:bidi="ar-SA"/>
        </w:rPr>
        <w:t>Mirisklavos v. Manhas</w:t>
      </w:r>
      <w:r>
        <w:rPr>
          <w:rFonts w:ascii="arial" w:eastAsia="arial" w:hAnsi="arial" w:cs="arial"/>
          <w:color w:val="000000"/>
          <w:sz w:val="20"/>
          <w:lang w:val="en-US" w:eastAsia="en-US" w:bidi="ar-SA"/>
        </w:rPr>
        <w:t xml:space="preserve">, </w:t>
      </w:r>
      <w:hyperlink r:id="rId207" w:history="1">
        <w:r>
          <w:rPr>
            <w:rFonts w:ascii="arial" w:eastAsia="arial" w:hAnsi="arial" w:cs="arial"/>
            <w:i/>
            <w:color w:val="0077CC"/>
            <w:sz w:val="20"/>
            <w:u w:val="single"/>
            <w:shd w:val="clear" w:color="auto" w:fill="FFFFFF"/>
            <w:lang w:val="en-US" w:eastAsia="en-US" w:bidi="ar-SA"/>
          </w:rPr>
          <w:t>[1996] B.C.J. No 2038</w:t>
        </w:r>
      </w:hyperlink>
      <w:r>
        <w:rPr>
          <w:rFonts w:ascii="arial" w:eastAsia="arial" w:hAnsi="arial" w:cs="arial"/>
          <w:color w:val="000000"/>
          <w:sz w:val="20"/>
          <w:lang w:val="en-US" w:eastAsia="en-US" w:bidi="ar-SA"/>
        </w:rPr>
        <w:t xml:space="preserve"> (S.C.) ($85,000 = $120,000 in 2014 dollars); </w:t>
      </w:r>
      <w:r>
        <w:rPr>
          <w:rFonts w:ascii="arial" w:eastAsia="arial" w:hAnsi="arial" w:cs="arial"/>
          <w:i/>
          <w:color w:val="000000"/>
          <w:sz w:val="20"/>
          <w:lang w:val="en-US" w:eastAsia="en-US" w:bidi="ar-SA"/>
        </w:rPr>
        <w:t>Cebula v. Smith</w:t>
      </w:r>
      <w:r>
        <w:rPr>
          <w:rFonts w:ascii="arial" w:eastAsia="arial" w:hAnsi="arial" w:cs="arial"/>
          <w:color w:val="000000"/>
          <w:sz w:val="20"/>
          <w:lang w:val="en-US" w:eastAsia="en-US" w:bidi="ar-SA"/>
        </w:rPr>
        <w:t xml:space="preserve">, </w:t>
      </w:r>
      <w:hyperlink r:id="rId208" w:history="1">
        <w:r>
          <w:rPr>
            <w:rFonts w:ascii="arial" w:eastAsia="arial" w:hAnsi="arial" w:cs="arial"/>
            <w:i/>
            <w:color w:val="0077CC"/>
            <w:sz w:val="20"/>
            <w:u w:val="single"/>
            <w:shd w:val="clear" w:color="auto" w:fill="FFFFFF"/>
            <w:lang w:val="en-US" w:eastAsia="en-US" w:bidi="ar-SA"/>
          </w:rPr>
          <w:t>2013 BCSC 1939</w:t>
        </w:r>
      </w:hyperlink>
      <w:r>
        <w:rPr>
          <w:rFonts w:ascii="arial" w:eastAsia="arial" w:hAnsi="arial" w:cs="arial"/>
          <w:color w:val="000000"/>
          <w:sz w:val="20"/>
          <w:lang w:val="en-US" w:eastAsia="en-US" w:bidi="ar-SA"/>
        </w:rPr>
        <w:t xml:space="preserve"> (S.C.) ($150,000).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xml:space="preserve">  The defendant submits that an appropriate award of non-pecuniary damages would be in the lower end of the range of $25,000 to $72,000. This range is based upon the opinion of Dr. Grypma and the following cases: </w:t>
      </w:r>
      <w:r>
        <w:rPr>
          <w:rFonts w:ascii="arial" w:eastAsia="arial" w:hAnsi="arial" w:cs="arial"/>
          <w:i/>
          <w:color w:val="000000"/>
          <w:sz w:val="20"/>
          <w:lang w:val="en-US" w:eastAsia="en-US" w:bidi="ar-SA"/>
        </w:rPr>
        <w:t>Fancello v. Meketich</w:t>
      </w:r>
      <w:r>
        <w:rPr>
          <w:rFonts w:ascii="arial" w:eastAsia="arial" w:hAnsi="arial" w:cs="arial"/>
          <w:color w:val="000000"/>
          <w:sz w:val="20"/>
          <w:lang w:val="en-US" w:eastAsia="en-US" w:bidi="ar-SA"/>
        </w:rPr>
        <w:t xml:space="preserve">, </w:t>
      </w:r>
      <w:hyperlink r:id="rId209" w:history="1">
        <w:r>
          <w:rPr>
            <w:rFonts w:ascii="arial" w:eastAsia="arial" w:hAnsi="arial" w:cs="arial"/>
            <w:i/>
            <w:color w:val="0077CC"/>
            <w:sz w:val="20"/>
            <w:u w:val="single"/>
            <w:shd w:val="clear" w:color="auto" w:fill="FFFFFF"/>
            <w:lang w:val="en-US" w:eastAsia="en-US" w:bidi="ar-SA"/>
          </w:rPr>
          <w:t>[1996] B.C.J. No. 1451</w:t>
        </w:r>
      </w:hyperlink>
      <w:r>
        <w:rPr>
          <w:rFonts w:ascii="arial" w:eastAsia="arial" w:hAnsi="arial" w:cs="arial"/>
          <w:color w:val="000000"/>
          <w:sz w:val="20"/>
          <w:lang w:val="en-US" w:eastAsia="en-US" w:bidi="ar-SA"/>
        </w:rPr>
        <w:t xml:space="preserve"> (S.C.) ($35,000 = $49,000 in 2014 dollars); </w:t>
      </w:r>
      <w:r>
        <w:rPr>
          <w:rFonts w:ascii="arial" w:eastAsia="arial" w:hAnsi="arial" w:cs="arial"/>
          <w:i/>
          <w:color w:val="000000"/>
          <w:sz w:val="20"/>
          <w:lang w:val="en-US" w:eastAsia="en-US" w:bidi="ar-SA"/>
        </w:rPr>
        <w:t>Harrison v. Ashenhurst</w:t>
      </w:r>
      <w:r>
        <w:rPr>
          <w:rFonts w:ascii="arial" w:eastAsia="arial" w:hAnsi="arial" w:cs="arial"/>
          <w:color w:val="000000"/>
          <w:sz w:val="20"/>
          <w:lang w:val="en-US" w:eastAsia="en-US" w:bidi="ar-SA"/>
        </w:rPr>
        <w:t xml:space="preserve">, </w:t>
      </w:r>
      <w:hyperlink r:id="rId210" w:history="1">
        <w:r>
          <w:rPr>
            <w:rFonts w:ascii="arial" w:eastAsia="arial" w:hAnsi="arial" w:cs="arial"/>
            <w:i/>
            <w:color w:val="0077CC"/>
            <w:sz w:val="20"/>
            <w:u w:val="single"/>
            <w:shd w:val="clear" w:color="auto" w:fill="FFFFFF"/>
            <w:lang w:val="en-US" w:eastAsia="en-US" w:bidi="ar-SA"/>
          </w:rPr>
          <w:t>[1993] B.C.J. 2609</w:t>
        </w:r>
      </w:hyperlink>
      <w:r>
        <w:rPr>
          <w:rFonts w:ascii="arial" w:eastAsia="arial" w:hAnsi="arial" w:cs="arial"/>
          <w:color w:val="000000"/>
          <w:sz w:val="20"/>
          <w:lang w:val="en-US" w:eastAsia="en-US" w:bidi="ar-SA"/>
        </w:rPr>
        <w:t xml:space="preserve"> (S.C.) ($50,000 = $73,000 in 2014 dollars); </w:t>
      </w:r>
      <w:r>
        <w:rPr>
          <w:rFonts w:ascii="arial" w:eastAsia="arial" w:hAnsi="arial" w:cs="arial"/>
          <w:i/>
          <w:color w:val="000000"/>
          <w:sz w:val="20"/>
          <w:lang w:val="en-US" w:eastAsia="en-US" w:bidi="ar-SA"/>
        </w:rPr>
        <w:t>McCulloch v. Isaac</w:t>
      </w:r>
      <w:r>
        <w:rPr>
          <w:rFonts w:ascii="arial" w:eastAsia="arial" w:hAnsi="arial" w:cs="arial"/>
          <w:color w:val="000000"/>
          <w:sz w:val="20"/>
          <w:lang w:val="en-US" w:eastAsia="en-US" w:bidi="ar-SA"/>
        </w:rPr>
        <w:t xml:space="preserve">, </w:t>
      </w:r>
      <w:hyperlink r:id="rId211" w:history="1">
        <w:r>
          <w:rPr>
            <w:rFonts w:ascii="arial" w:eastAsia="arial" w:hAnsi="arial" w:cs="arial"/>
            <w:i/>
            <w:color w:val="0077CC"/>
            <w:sz w:val="20"/>
            <w:u w:val="single"/>
            <w:shd w:val="clear" w:color="auto" w:fill="FFFFFF"/>
            <w:lang w:val="en-US" w:eastAsia="en-US" w:bidi="ar-SA"/>
          </w:rPr>
          <w:t>2013 BCSC 1319</w:t>
        </w:r>
      </w:hyperlink>
      <w:r>
        <w:rPr>
          <w:rFonts w:ascii="arial" w:eastAsia="arial" w:hAnsi="arial" w:cs="arial"/>
          <w:color w:val="000000"/>
          <w:sz w:val="20"/>
          <w:lang w:val="en-US" w:eastAsia="en-US" w:bidi="ar-SA"/>
        </w:rPr>
        <w:t xml:space="preserve"> ($25,000).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I have considered the cases put forward by counsel but see little point in reviewing them in detail in these reasons, given the individual nature of the assessment of non-pecuniary loss. Suffice it to say that the cases cited by the defendant, deal with situations where the degree of pain, suffering and impact on the plaintiff's life were considerably less than in the present case. That is, of course, in line with the opinion of Dr. Grypma, but I have rejected that opinion and preferred the expert evidence tendered by Ms. Worobetz. On the other hand, the cases cited by Ms. Worobetz represent situations of greater impairment and disability.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In all of the circumstances, I conclude that an award of $90,000 would provide fair compensation for Ms. Worobetz under this head of damage.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Past Loss of Earning Capacity</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Rowe v. Bobell Express Ltd.</w:t>
      </w:r>
      <w:r>
        <w:rPr>
          <w:rFonts w:ascii="arial" w:eastAsia="arial" w:hAnsi="arial" w:cs="arial"/>
          <w:color w:val="000000"/>
          <w:sz w:val="20"/>
          <w:lang w:val="en-US" w:eastAsia="en-US" w:bidi="ar-SA"/>
        </w:rPr>
        <w:t xml:space="preserve">, </w:t>
      </w:r>
      <w:hyperlink r:id="rId29" w:history="1">
        <w:r>
          <w:rPr>
            <w:rFonts w:ascii="arial" w:eastAsia="arial" w:hAnsi="arial" w:cs="arial"/>
            <w:i/>
            <w:color w:val="0077CC"/>
            <w:sz w:val="20"/>
            <w:u w:val="single"/>
            <w:shd w:val="clear" w:color="auto" w:fill="FFFFFF"/>
            <w:lang w:val="en-US" w:eastAsia="en-US" w:bidi="ar-SA"/>
          </w:rPr>
          <w:t>2005 BCCA 141</w:t>
        </w:r>
      </w:hyperlink>
      <w:r>
        <w:rPr>
          <w:rFonts w:ascii="arial" w:eastAsia="arial" w:hAnsi="arial" w:cs="arial"/>
          <w:color w:val="000000"/>
          <w:sz w:val="20"/>
          <w:lang w:val="en-US" w:eastAsia="en-US" w:bidi="ar-SA"/>
        </w:rPr>
        <w:t>, Smith J.A. defined past income loss at para. 30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[30] Thus, in my view, a claim for what is often described as "past loss of income" is actually a claim for loss of earning capacity; that is, a claim for the loss of the value of the work that the injured plaintiff would have performed but was unable to perform because of the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Hardychuk v. Johnstone</w:t>
      </w:r>
      <w:r>
        <w:rPr>
          <w:rFonts w:ascii="arial" w:eastAsia="arial" w:hAnsi="arial" w:cs="arial"/>
          <w:color w:val="000000"/>
          <w:sz w:val="20"/>
          <w:lang w:val="en-US" w:eastAsia="en-US" w:bidi="ar-SA"/>
        </w:rPr>
        <w:t xml:space="preserve">, </w:t>
      </w:r>
      <w:hyperlink r:id="rId212" w:history="1">
        <w:r>
          <w:rPr>
            <w:rFonts w:ascii="arial" w:eastAsia="arial" w:hAnsi="arial" w:cs="arial"/>
            <w:i/>
            <w:color w:val="0077CC"/>
            <w:sz w:val="20"/>
            <w:u w:val="single"/>
            <w:shd w:val="clear" w:color="auto" w:fill="FFFFFF"/>
            <w:lang w:val="en-US" w:eastAsia="en-US" w:bidi="ar-SA"/>
          </w:rPr>
          <w:t>2012 BCSC 1359</w:t>
        </w:r>
      </w:hyperlink>
      <w:r>
        <w:rPr>
          <w:rFonts w:ascii="arial" w:eastAsia="arial" w:hAnsi="arial" w:cs="arial"/>
          <w:color w:val="000000"/>
          <w:sz w:val="20"/>
          <w:lang w:val="en-US" w:eastAsia="en-US" w:bidi="ar-SA"/>
        </w:rPr>
        <w:t>, the stated the test for assessing the value of past loss of earning capacity at paras. 175 - 178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[175] An award of damages for loss of earning capacity, whether in the past or the future, represents compensation for a pecuniary loss. The goal is to restore the plaintiff to the position he or she would have occupied but 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Accordingly, compensation for past loss of earning capacity is to be based on what the plaintiff would have, not could have, earned but for the accident-related injuries: </w:t>
      </w:r>
      <w:r>
        <w:rPr>
          <w:rFonts w:ascii="arial" w:eastAsia="arial" w:hAnsi="arial" w:cs="arial"/>
          <w:i/>
          <w:color w:val="000000"/>
          <w:sz w:val="20"/>
          <w:lang w:val="en-US" w:eastAsia="en-US" w:bidi="ar-SA"/>
        </w:rPr>
        <w:t>Rowe v. Bobell Express Ltd.</w:t>
      </w:r>
      <w:r>
        <w:rPr>
          <w:rFonts w:ascii="arial" w:eastAsia="arial" w:hAnsi="arial" w:cs="arial"/>
          <w:color w:val="000000"/>
          <w:sz w:val="20"/>
          <w:lang w:val="en-US" w:eastAsia="en-US" w:bidi="ar-SA"/>
        </w:rPr>
        <w:t xml:space="preserve">, </w:t>
      </w:r>
      <w:hyperlink r:id="rId29" w:history="1">
        <w:r>
          <w:rPr>
            <w:rFonts w:ascii="arial" w:eastAsia="arial" w:hAnsi="arial" w:cs="arial"/>
            <w:i/>
            <w:color w:val="0077CC"/>
            <w:sz w:val="20"/>
            <w:u w:val="single"/>
            <w:shd w:val="clear" w:color="auto" w:fill="FFFFFF"/>
            <w:lang w:val="en-US" w:eastAsia="en-US" w:bidi="ar-SA"/>
          </w:rPr>
          <w:t>2005 BCCA 141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M.B. v. British Columbia</w:t>
      </w:r>
      <w:r>
        <w:rPr>
          <w:rFonts w:ascii="arial" w:eastAsia="arial" w:hAnsi="arial" w:cs="arial"/>
          <w:color w:val="000000"/>
          <w:sz w:val="20"/>
          <w:lang w:val="en-US" w:eastAsia="en-US" w:bidi="ar-SA"/>
        </w:rPr>
        <w:t xml:space="preserve">, </w:t>
      </w:r>
      <w:hyperlink r:id="rId101" w:history="1">
        <w:r>
          <w:rPr>
            <w:rFonts w:ascii="arial" w:eastAsia="arial" w:hAnsi="arial" w:cs="arial"/>
            <w:i/>
            <w:color w:val="0077CC"/>
            <w:sz w:val="20"/>
            <w:u w:val="single"/>
            <w:shd w:val="clear" w:color="auto" w:fill="FFFFFF"/>
            <w:lang w:val="en-US" w:eastAsia="en-US" w:bidi="ar-SA"/>
          </w:rPr>
          <w:t>2003 SCC 53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Gregory v. Insurance Corporation of British Columbia</w:t>
      </w:r>
      <w:r>
        <w:rPr>
          <w:rFonts w:ascii="arial" w:eastAsia="arial" w:hAnsi="arial" w:cs="arial"/>
          <w:color w:val="000000"/>
          <w:sz w:val="20"/>
          <w:lang w:val="en-US" w:eastAsia="en-US" w:bidi="ar-SA"/>
        </w:rPr>
        <w:t xml:space="preserve">, </w:t>
      </w:r>
      <w:hyperlink r:id="rId39" w:history="1">
        <w:r>
          <w:rPr>
            <w:rFonts w:ascii="arial" w:eastAsia="arial" w:hAnsi="arial" w:cs="arial"/>
            <w:i/>
            <w:color w:val="0077CC"/>
            <w:sz w:val="20"/>
            <w:u w:val="single"/>
            <w:shd w:val="clear" w:color="auto" w:fill="FFFFFF"/>
            <w:lang w:val="en-US" w:eastAsia="en-US" w:bidi="ar-SA"/>
          </w:rPr>
          <w:t>2011 BCCA 144</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[177] The burden of proof of actual past events is a balance of probabilities. An assessment of loss of both past and future earning capacity, however, involves consideration of hypothetical, not actual, events. The plaintiff is not required to prove hypothetical events on a balance of probabilities. Rather, the future or hypothetical possibility will be taken into consideration as long as it is a real and substantial possibility and not mere speculation: </w:t>
      </w:r>
      <w:r>
        <w:rPr>
          <w:rFonts w:ascii="arial" w:eastAsia="arial" w:hAnsi="arial" w:cs="arial"/>
          <w:i/>
          <w:color w:val="000000"/>
          <w:sz w:val="20"/>
          <w:lang w:val="en-US" w:eastAsia="en-US" w:bidi="ar-SA"/>
        </w:rPr>
        <w:t xml:space="preserve">Athey, </w:t>
      </w:r>
      <w:hyperlink r:id="rId13"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i/>
          <w:color w:val="000000"/>
          <w:sz w:val="20"/>
          <w:lang w:val="en-US" w:eastAsia="en-US" w:bidi="ar-SA"/>
        </w:rPr>
        <w:t>, ; Falati v. Smith</w:t>
      </w:r>
      <w:r>
        <w:rPr>
          <w:rFonts w:ascii="arial" w:eastAsia="arial" w:hAnsi="arial" w:cs="arial"/>
          <w:color w:val="000000"/>
          <w:sz w:val="20"/>
          <w:lang w:val="en-US" w:eastAsia="en-US" w:bidi="ar-SA"/>
        </w:rPr>
        <w:t xml:space="preserve">, </w:t>
      </w:r>
      <w:hyperlink r:id="rId213" w:history="1">
        <w:r>
          <w:rPr>
            <w:rFonts w:ascii="arial" w:eastAsia="arial" w:hAnsi="arial" w:cs="arial"/>
            <w:i/>
            <w:color w:val="0077CC"/>
            <w:sz w:val="20"/>
            <w:u w:val="single"/>
            <w:shd w:val="clear" w:color="auto" w:fill="FFFFFF"/>
            <w:lang w:val="en-US" w:eastAsia="en-US" w:bidi="ar-SA"/>
          </w:rPr>
          <w:t>2010 BCSC 465</w:t>
        </w:r>
      </w:hyperlink>
      <w:r>
        <w:rPr>
          <w:rFonts w:ascii="arial" w:eastAsia="arial" w:hAnsi="arial" w:cs="arial"/>
          <w:color w:val="000000"/>
          <w:sz w:val="20"/>
          <w:lang w:val="en-US" w:eastAsia="en-US" w:bidi="ar-SA"/>
        </w:rPr>
        <w:t xml:space="preserve">; aff'd </w:t>
      </w:r>
      <w:hyperlink r:id="rId214" w:history="1">
        <w:r>
          <w:rPr>
            <w:rFonts w:ascii="arial" w:eastAsia="arial" w:hAnsi="arial" w:cs="arial"/>
            <w:i/>
            <w:color w:val="0077CC"/>
            <w:sz w:val="20"/>
            <w:u w:val="single"/>
            <w:shd w:val="clear" w:color="auto" w:fill="FFFFFF"/>
            <w:lang w:val="en-US" w:eastAsia="en-US" w:bidi="ar-SA"/>
          </w:rPr>
          <w:t>2011 BCCA 45</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[178] As with the loss of future earning capacity, the court's task is to assess damages for past loss of capacity rather than to calculate them mathematically. Allowances for contingencies should be made and the award must be fair and reasonable taking into account all of the circumstances: </w:t>
      </w:r>
      <w:r>
        <w:rPr>
          <w:rFonts w:ascii="arial" w:eastAsia="arial" w:hAnsi="arial" w:cs="arial"/>
          <w:i/>
          <w:color w:val="000000"/>
          <w:sz w:val="20"/>
          <w:lang w:val="en-US" w:eastAsia="en-US" w:bidi="ar-SA"/>
        </w:rPr>
        <w:t>Falati</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xml:space="preserve">  The plaintiff must, therefore, prove on a balance of probabilities,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or contributed to a loss of opportunity to earn income, but when assessing the quantum of that loss, the plaintiff need only establish that there was a real and substantial possibility of a hypothetical past event occurring but for the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I am satisfied on the evidence that the Accident impaired Ms. Worobetz's ability to earn income as a teacher. The injuries rendered her less capable of working as much at her career as she would have been able to work but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Ms. Worobetz testified that she has not been able to take on as many students as planned because of her symptoms. She finds it particularly difficult working at a computer to do report cards, even though she has an ergonomic desk. She said that she has turned down work as a supervising teacher.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It is clear that the assessment of a loss of capacity is far from an exact science. On the other hand, it has to be based on more than mere arbitrary guesswork. The court must consider all the evidence and, as best as it can, weigh positive and negative contingencies to arrive at a result that is fair to both parties.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Ms. Worobetz's Actual Employment History Prior to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In assessing Ms. Worobetz's past loss of earning capacity, it is relevant to consider her actual employment history before the Accident and up to the date of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Ms. Worobetz graduated from high school in 1987 in a French Immersion program. She went on to study at the University of Victoria, where, in 1991, she obtained her B.A. with a major in French. It was there that she met and married her husband. After graduating, Ms. Worobetz and her husband went to France for a period of time, where Ms. Worobetz taught English in a French high school. Ms. Worobetz obtained her teaching certificate from Simon Fraser University in 1994. She and her husband then spent approximately two years in Japan where Ms. Worobetz taught English.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In 1996, Ms. Worobetz and her husband returned to British Columbia. Their first child was born in October 1996. Ms. Worobetz made the decision not to seek a teaching position, but remained at home to care for their child. She also did some French tutoring. In 1998, Ms. Worobetz gave birth to her second child.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In 2001, Ms. Worobetz began home-schooling when her youngest child was in kindergarten. She continued home schooling until September 2002, when she took time off because of the neuropathy. Her husband took over the home schooling. By September 2003, Ms. Worobetz was home schooling two children and by September 2007, she was home schooling all three of her children. As a home school teacher, Ms. Worobetz worked with a support teacher, who provided reviewed work plans, assessed the performance of the children and wrote report cards to comply with the Ministry of Education requirements.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The situation changed in September 2008 when Ms. Worobetz began to function as both the home school teacher for her three children, as well as a home school support teacher, through Heritage Christian Online School (HCOS). Ms. Worobetz was paid approximately $1,200 per year, per child, for the children she supervised, including her own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Ms. Worobetz's eldest child began attending a conventional high school for the 2010/2011 school year. This left Ms. Worobetz home schooling her two youngest children, as well as being the support teacher for those two children. That was her situation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Ms. Worobetz's middle child was enrolled in a public school in 2011. She took on the role of support teacher for two additional children for the 2011/2012 school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During the 2012/2013 school year, Ms. Worobetz continued to home school her youngest child and acted as the support teacher for three other children, all of whom were the children of her next door neighbour. That situation continued for the 2013/2014 school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Ms. Worobetz's earnings in the seven years prior to trial were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836"/>
        <w:gridCol w:w="1046"/>
        <w:gridCol w:w="857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81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2007:</w:t>
            </w:r>
          </w:p>
        </w:tc>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$1,854</w:t>
            </w:r>
          </w:p>
        </w:tc>
        <w:tc>
          <w:tcPr>
            <w:tcW w:w="8397"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81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2008:</w:t>
            </w:r>
          </w:p>
        </w:tc>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$3,312</w:t>
            </w:r>
          </w:p>
        </w:tc>
        <w:tc>
          <w:tcPr>
            <w:tcW w:w="8397"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81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2009:</w:t>
            </w:r>
          </w:p>
        </w:tc>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$4,753</w:t>
            </w:r>
          </w:p>
        </w:tc>
        <w:tc>
          <w:tcPr>
            <w:tcW w:w="8397"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81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2010:</w:t>
            </w:r>
          </w:p>
        </w:tc>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$4,768</w:t>
            </w:r>
          </w:p>
        </w:tc>
        <w:tc>
          <w:tcPr>
            <w:tcW w:w="8397"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81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2011:</w:t>
            </w:r>
          </w:p>
        </w:tc>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$5,206</w:t>
            </w:r>
          </w:p>
        </w:tc>
        <w:tc>
          <w:tcPr>
            <w:tcW w:w="8397"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81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2012:</w:t>
            </w:r>
          </w:p>
        </w:tc>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$6,368</w:t>
            </w:r>
          </w:p>
        </w:tc>
        <w:tc>
          <w:tcPr>
            <w:tcW w:w="8397"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2013:</w:t>
            </w:r>
          </w:p>
        </w:tc>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$6,694</w:t>
            </w:r>
          </w:p>
        </w:tc>
        <w:tc>
          <w:tcPr>
            <w:tcW w:w="8397"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Ms. Worobetz's Stated Intentions but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Ms. Worobetz testified that her intention had been to take on a greater number of students as support teacher through HCOS, as she ceased home schooling her own children. She testified that her plan was to supervise five in total (including her two youngest children) starting in September 2010, when her eldest moved to a conventional school and 10 in total (including her youngest child) in 2011 when her middle child went to a conventional school. She said that 10 students was an important demarcation line because it enables a supervising teacher at HCOS to receive benefits. Ms. Worobetz testified that in the years 2012/2013 and 2013/2014, it had been her intention to be a supervising teacher for 15 students in total (including her youngest child).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Ms. Worobetz testified that her intention, once the youngest child moved on to middle school in 2015, was to move into the classroom as an elementary school teacher in a French immersion program, where she hoped to work until she was 65 or 67.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Ms. Worobetz provided evidence of her estimated past loss of earning capacity through an economist, Mr. C. Peever, based on the foregoing hypothetical events and the following additional facts and assumptions:</w:t>
      </w:r>
      <w:r>
        <w:rPr>
          <w:rFonts w:ascii="arial" w:eastAsia="arial" w:hAnsi="arial" w:cs="arial"/>
          <w:sz w:val="20"/>
          <w:lang w:val="en-US" w:eastAsia="en-US" w:bidi="ar-SA"/>
        </w:rPr>
        <w:cr/>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Worobetz would have earned income at the following "per student" rates:</w:t>
      </w:r>
    </w:p>
    <w:p>
      <w:pPr>
        <w:numPr>
          <w:numId w:val="4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$1,245 in 2009/2010;</w:t>
      </w:r>
    </w:p>
    <w:p>
      <w:pPr>
        <w:numPr>
          <w:numId w:val="5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$1,245 in 2010/2011;</w:t>
      </w:r>
    </w:p>
    <w:p>
      <w:pPr>
        <w:numPr>
          <w:numId w:val="5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$1,270 in 2011/2012;</w:t>
      </w:r>
    </w:p>
    <w:p>
      <w:pPr>
        <w:numPr>
          <w:numId w:val="5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$1,270 in 2013/2013; and</w:t>
      </w:r>
    </w:p>
    <w:p>
      <w:pPr>
        <w:numPr>
          <w:numId w:val="5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$1,270 in 2013/2014.</w:t>
      </w:r>
    </w:p>
    <w:p>
      <w:pPr>
        <w:numPr>
          <w:numId w:val="5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accordance with her contracts, Ms. Worobetz's pay was reduced by $480 in the 2009/2010 school year for two online courses taken and was reduced by $245 in the 2010/2012 school year for one online course taken. In the 2013/2014 school year, Ms. Worobetz's pay was reduced by $500 for two online courses taken and by $50 for one "Rosetta Stone student".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Using these facts and assumptions, and Ms. Worobetz's actual earnings, Mr. Peever estimated Ms. Worobetz's gross past loss of earning capacity to the date of trial to be approximately $40,321. After accounting for income tax, Mr. Peever estimated the past loss to be $36,246.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In assessing the quantum of the past loss of earning capacity, I must assess the likelihood that Ms. Worobetz would have taken the amount of additional work as a support teacher that is assumed, if she had not been involved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In the years prior to the Accident, there were times that Ms. Worobetz struggled with some health issues and emotionally. In 2007 and 2008, she had a period of neck pain that was apparently associated with her hypothyroidism. In 2007, she had complaints of pain under her breast, which was investigated but not diagnosed. In 2009, she suffered from epigastric pain. There were times that Ms. Worobetz found her role as mother and teacher very demanding and difficult. In an article she authored in December 2009, she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want to fix my kids, and once I fix them I want them to stay fixed.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Don't they realize that life would run so much more smoothly? Our school boxes would get checked according to schedule. We wouldn't have to fight the same battles over and over again about attitude, clothes, friends, treating each other with kindness and respect... Mom would be at peace, maybe even breaking out in smiles a little more often, and not speaking with that strained, stressed voice. Joy would be the reigning emotion in the household.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is our ninth year of homeschooling, and I can honestly say that it has been the most difficult year yet for me. We've had other difficult years, such as the one where I got so sick after my youngest was born that I couldn't walk or use my hands properly for months and my husband had to leave his job to take over my work in the home. This year seems so much harder, though, and maybe it's just because I'm in the midst of it and can't see very far past my own headspace.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I am satisfied that Ms. Worobetz's capacity to work as a teacher was impaired by the Accident and that there is a real and substantial possibility that, if she had not been injured in the Accident, Ms. Worobetz would have taken on more students in a supervisory role as her own children moved into conventional schooling. However, I am doubtful that she would have increased her load to as many as 15 students. I think it far more likely that, once she had 10 students and became entitled to benefits, she would have continued at that number before making a decision whether to return to the classroom or remain as a part-time working mother, enjoying the benefit that comes with part-time work, while also bringing in a secondary income for her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Thus, it is my view that a more reasonable assessment of Ms. Worobetz's past loss of opportunity can be based on the premise that she may well have supervised 10 students in 2012/2013 and 2013/2014.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I would, therefore, reduce the "without accident earnings" for those years by a third. Based on Ms. Worobetz's contract for 2012/2013, I estimate that her monthly salary (over 12 months) would have been approximately $1,048 with 10 students, compared to approximately $1,572 with 15 students, a difference of $524 per month. I would, therefore, reduce Mr. Peever's gross estimate over the period from September 2012 to June 2014 (22 months) by $11,528 to $28,793. If I reduce that amount for income tax in the same proportion as Mr. Peever reduced his estimated loss, the net past loss of earning capacity is estimated at approximately $26,000.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In my opinion, an award of that amount will provide fair compensation for Ms. Worobetz's past loss of income capacity.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Future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Hardychuk</w:t>
      </w:r>
      <w:r>
        <w:rPr>
          <w:rFonts w:ascii="arial" w:eastAsia="arial" w:hAnsi="arial" w:cs="arial"/>
          <w:color w:val="000000"/>
          <w:sz w:val="20"/>
          <w:lang w:val="en-US" w:eastAsia="en-US" w:bidi="ar-SA"/>
        </w:rPr>
        <w:t>, Dickson J. set out the principles to be applied in considering a claim for loss of future earning capacity at paras. 192 - 197: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[192] A claim for loss of future earning capacity raises two key questions: 1) has the plaintiff's earning capacity been impaired by his or her injuries; and, if so 2) what compensation should be awarded for the resulting financial harm that will accrue over time? The assessment of loss must be based on the evidence, and not an application of a purely mathematical calculation. The appropriate means of assessment will vary from case to case: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41"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Pallos v. Insurance Corp. of British Columbia</w:t>
      </w:r>
      <w:r>
        <w:rPr>
          <w:rFonts w:ascii="arial" w:eastAsia="arial" w:hAnsi="arial" w:cs="arial"/>
          <w:color w:val="000000"/>
          <w:sz w:val="20"/>
          <w:lang w:val="en-US" w:eastAsia="en-US" w:bidi="ar-SA"/>
        </w:rPr>
        <w:t xml:space="preserve"> </w:t>
      </w:r>
      <w:hyperlink r:id="rId110" w:history="1">
        <w:r>
          <w:rPr>
            <w:rFonts w:ascii="arial" w:eastAsia="arial" w:hAnsi="arial" w:cs="arial"/>
            <w:i/>
            <w:color w:val="0077CC"/>
            <w:sz w:val="20"/>
            <w:u w:val="single"/>
            <w:shd w:val="clear" w:color="auto" w:fill="FFFFFF"/>
            <w:lang w:val="en-US" w:eastAsia="en-US" w:bidi="ar-SA"/>
          </w:rPr>
          <w:t>(1995), 100 B.C.L.R. (2d) 260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Pett v. Pett</w:t>
      </w:r>
      <w:r>
        <w:rPr>
          <w:rFonts w:ascii="arial" w:eastAsia="arial" w:hAnsi="arial" w:cs="arial"/>
          <w:color w:val="000000"/>
          <w:sz w:val="20"/>
          <w:lang w:val="en-US" w:eastAsia="en-US" w:bidi="ar-SA"/>
        </w:rPr>
        <w:t xml:space="preserve">, </w:t>
      </w:r>
      <w:hyperlink r:id="rId111" w:history="1">
        <w:r>
          <w:rPr>
            <w:rFonts w:ascii="arial" w:eastAsia="arial" w:hAnsi="arial" w:cs="arial"/>
            <w:i/>
            <w:color w:val="0077CC"/>
            <w:sz w:val="20"/>
            <w:u w:val="single"/>
            <w:shd w:val="clear" w:color="auto" w:fill="FFFFFF"/>
            <w:lang w:val="en-US" w:eastAsia="en-US" w:bidi="ar-SA"/>
          </w:rPr>
          <w:t>2009 BCCA 232</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[193] The assessment of damages is a matter of judgment, not calculation: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40"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[194] Insofar as is possible, the plaintiff should be put in the position he or she would have been in, from a work life perspective, but for the injuries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Ongoing symptoms alone do not mandate an award for loss of earning capacity. Rather, the essential task of the Court is to compare the likely future of the plaintiff's working life if the accident had not happened with the plaintiff's likely future working life after its occurrence: </w:t>
      </w:r>
      <w:r>
        <w:rPr>
          <w:rFonts w:ascii="arial" w:eastAsia="arial" w:hAnsi="arial" w:cs="arial"/>
          <w:i/>
          <w:color w:val="000000"/>
          <w:sz w:val="20"/>
          <w:lang w:val="en-US" w:eastAsia="en-US" w:bidi="ar-SA"/>
        </w:rPr>
        <w:t>Lines v. W &amp; D Logging Co. Ltd.</w:t>
      </w:r>
      <w:r>
        <w:rPr>
          <w:rFonts w:ascii="arial" w:eastAsia="arial" w:hAnsi="arial" w:cs="arial"/>
          <w:color w:val="000000"/>
          <w:sz w:val="20"/>
          <w:lang w:val="en-US" w:eastAsia="en-US" w:bidi="ar-SA"/>
        </w:rPr>
        <w:t xml:space="preserve">, </w:t>
      </w:r>
      <w:hyperlink r:id="rId37" w:history="1">
        <w:r>
          <w:rPr>
            <w:rFonts w:ascii="arial" w:eastAsia="arial" w:hAnsi="arial" w:cs="arial"/>
            <w:i/>
            <w:color w:val="0077CC"/>
            <w:sz w:val="20"/>
            <w:u w:val="single"/>
            <w:shd w:val="clear" w:color="auto" w:fill="FFFFFF"/>
            <w:lang w:val="en-US" w:eastAsia="en-US" w:bidi="ar-SA"/>
          </w:rPr>
          <w:t>2009 BCCA 106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Moore v. Cabral et. al.</w:t>
      </w:r>
      <w:r>
        <w:rPr>
          <w:rFonts w:ascii="arial" w:eastAsia="arial" w:hAnsi="arial" w:cs="arial"/>
          <w:color w:val="000000"/>
          <w:sz w:val="20"/>
          <w:lang w:val="en-US" w:eastAsia="en-US" w:bidi="ar-SA"/>
        </w:rPr>
        <w:t xml:space="preserve">, </w:t>
      </w:r>
      <w:hyperlink r:id="rId215" w:history="1">
        <w:r>
          <w:rPr>
            <w:rFonts w:ascii="arial" w:eastAsia="arial" w:hAnsi="arial" w:cs="arial"/>
            <w:i/>
            <w:color w:val="0077CC"/>
            <w:sz w:val="20"/>
            <w:u w:val="single"/>
            <w:shd w:val="clear" w:color="auto" w:fill="FFFFFF"/>
            <w:lang w:val="en-US" w:eastAsia="en-US" w:bidi="ar-SA"/>
          </w:rPr>
          <w:t>2006 BCSC 920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Gregory v. Insurance Corp. of British Columbia</w:t>
      </w:r>
      <w:r>
        <w:rPr>
          <w:rFonts w:ascii="arial" w:eastAsia="arial" w:hAnsi="arial" w:cs="arial"/>
          <w:color w:val="000000"/>
          <w:sz w:val="20"/>
          <w:lang w:val="en-US" w:eastAsia="en-US" w:bidi="ar-SA"/>
        </w:rPr>
        <w:t xml:space="preserve">, </w:t>
      </w:r>
      <w:hyperlink r:id="rId39" w:history="1">
        <w:r>
          <w:rPr>
            <w:rFonts w:ascii="arial" w:eastAsia="arial" w:hAnsi="arial" w:cs="arial"/>
            <w:i/>
            <w:color w:val="0077CC"/>
            <w:sz w:val="20"/>
            <w:u w:val="single"/>
            <w:shd w:val="clear" w:color="auto" w:fill="FFFFFF"/>
            <w:lang w:val="en-US" w:eastAsia="en-US" w:bidi="ar-SA"/>
          </w:rPr>
          <w:t>2011 BCCA 144</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[195] There are two possible approaches to assessment of loss of future earning capacity: the "earnings approach" from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and the "capital asset approach" in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Both approaches are correct and will be more or less appropriate depending on whether the loss in question can be quantified in a measurable way: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34"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[196] The earnings approach involves a form of math-oriented methodology such as i) postulating a minimum annual income loss for the plaintiff's remaining years of work, multiplying the annual projected loss by the number of remaining years and calculating a present value or ii) awarding the plaintiff's entire annual income for a year or two: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Gilbert v. Bottle</w:t>
      </w:r>
      <w:r>
        <w:rPr>
          <w:rFonts w:ascii="arial" w:eastAsia="arial" w:hAnsi="arial" w:cs="arial"/>
          <w:color w:val="000000"/>
          <w:sz w:val="20"/>
          <w:lang w:val="en-US" w:eastAsia="en-US" w:bidi="ar-SA"/>
        </w:rPr>
        <w:t xml:space="preserve">, </w:t>
      </w:r>
      <w:hyperlink r:id="rId85" w:history="1">
        <w:r>
          <w:rPr>
            <w:rFonts w:ascii="arial" w:eastAsia="arial" w:hAnsi="arial" w:cs="arial"/>
            <w:i/>
            <w:color w:val="0077CC"/>
            <w:sz w:val="20"/>
            <w:u w:val="single"/>
            <w:shd w:val="clear" w:color="auto" w:fill="FFFFFF"/>
            <w:lang w:val="en-US" w:eastAsia="en-US" w:bidi="ar-SA"/>
          </w:rPr>
          <w:t>2011 BCSC 1389</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[197] The capital asset approach involves considering factors such as i) whether the plaintiff has been rendered less capable overall of earning income from all types of employment; ii) is less marketable or attractive as a potential employee; iii) has lost the ability to take advantage of all job opportunities that might otherwise have been open; and iv) is less valuable to herself as a person capable of earning income in a competitive labour market: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Gilbert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Ms. Worobetz advances her claim for loss of earning capacity on the following basis, as set out in her written submissions: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Mrs. Worobetz planned to homeschool her children to middle school, at which point her children would attend at either a public or private school. Mrs. Worobetz also planned to take on more students in her role as a support teacher with HCOS. Mrs. Worobetz's youngest child, Johnathan, will enter middle school in the 2015/16 school year. At the time of the Collision, Mrs. Worobetz intended to gradually increase the number of students up to a maximum of 15 students. At HCOS the maximum number of students per support teacher is approximately 40. Once Johnathan entered middle school, Mrs. Worobetz planned to re-enter the classroom environment as a French or French immersion teacher, in either the private or public school system.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Due to her injuries incurred in the Collision, Mrs. Worobetz was unable to attain her employment goals. She currently is a support teacher for 4 children, including Johnathan who she continues to home school. Her injuries make it difficult for her to take on more than four students and it is not anticipated that she will ever be able to return to the role of a classroom teacher.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As I said earlier, I accept that Ms. Worobetz's capacity to work as a teacher was impaired by the Accident. In assessing the loss of the future capacity, however, I do not accept the assumptions that she puts forward.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First, I am of the view that Ms. Worobetz would likely have retired at age 60 rather than working to age 66, even if she had not been involved in the Accident. By that time, her husband likely will have retired, the children will be out of school and I would expect that it is more likely that she will want to spend her senior years with her husband rather than working. She and her husband live a modest lifestyle and it does not appear to me that she will be forced to work beyond age 60.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Second, based on the medical evidence, I am not persuaded that Ms. Worobetz is precluded from supervising 10 students per year. The maximum student load that her employer permits an at-home teacher to supervise is 40 students. Ten students per year clearly is only a part-time workload, which Dr. Watt says Ms. Worobetz is capable of maintaining (up to 15 hours per week). Ms. Taekema, who also works for HCOS, testified that she has 28 students whom she supervises. She testified that she spends approximately 20 to 30 hours per week, or about an hour per week per student, in her role as a teacher supervisor plus additional time each term when report cards are being prepared (three to four hours per student) and at the beginning of each year reviewing student learning plans (two to three hours per student). Ms. Gould, who is also a support teacher, testified that she has 14 students, including three of her own, that she home schools. She testified that there are times that she works five to 10 hours per week, except during report card time when she works approximately 30 hours per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In my view, Ms. Worobetz can likely manage the work load required to supervise 10 students, given that she will be able to space the work out during the day, with breaks.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The third assumption that I do not accept is that Ms. Worobetz's stated intention to become a teacher in either a private or public school is a certainty, although I accept that there is a real and substantial possibility that she would have done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Ms. Karradice, who is the Director of Human Resources with the Chilliwack School District ("District"), testified that French teachers are in demand. She testified that there are approximately nine or 10 French immersion teachers in the District and approximately 10 teachers who teach French as a second language. She testified that French teachers are in high demand and expects to hire approximately two teachers per year, over the next five or six years. For the last two postings, there were approximately eight applicants for each posting. The key criteria for selection for teaching an immersion class in the early grades are: first, experience at the early primary level; and second, French language fluency.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Ms. Karradice also testified that the average retirement age for teachers in British Columbia is 58.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Ms. Worobetz has French fluency and experience as a home-school supervisor, but she has little classroom experience. In seeking a position, she would likely have competed with candidates with more experience.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I have taken these various contingencies into consideration and, using the present values for future loss of income provided by Mr. Peever, made an assessment of Ms. Worobetz's future loss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First, with respect to the "with Accident" earnings, using Mr. Peever's estimates the present value of earnings, based on four students is $2,185 for the balance of 2014, and $49,787 for the period from 2015 to 2030. If Ms. Worobetz has 10 students for the period from 2015 to 2030, and I apply a simple ratio, the present value of the earnings would be $126,652 [(($49,787/4) x 10) + $2,185)]. If I add 10% to that figure for the value of benefits, which is the percentage suggested by Mr. Peever, the total estimated "with Accident" future earnings is approximately $139,318.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With regard to the "without Accident" earnings, Mr. Peever estimates the present value of earnings from 2015 to 2030 to be $565,182 based on a private school position and $588,485 for a public school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Using Mr. Peever's figures, the estimates of the loss of the value of future earning capacity are therefore: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Private school = $565,182 - $139,301= $425,881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Public school = $588,485 - $139,301= $449,184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The foregoing estimates include an allowance of 10% for benefits. Mr. Peever's estimates have also been adjusted for "risk and choice" labour market contingencies based on census data. Thus, they do not take into account the fundamental risk or chance that Ms. Worobetz would not have become an at school teacher, either by her own choice or by lack of success. Neither do the foregoing estimates of loss take into account the chance that Ms. Worobetz will not, in fact, be able to sustain a part-time work load of 10 students per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For example, if one assumes that there is only a two-thirds chance that Ms. Worobetz would have become a full time teacher, but for the Accident, the estimates of the loss, are $239,371 based on the private school scenario and $254,984 based on the public school scenario.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However, there is also a chance that Ms. Worobetz will not, in fact, be able to work with 10 students. If one were to reduce that contingency to two-thirds as well, the estimates of the loss are $285,340 based on the private school scenario and $300,953 based on the public school scenario.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Recognizing that the assessment of loss of future earning capacity is not an exact science, nor a matter of pure mathematical calculation, and that positive and negative contingencies cannot be predicted with certainty, and bearing in mind as well that the award of compensation must be fair to both parties, I would assess Ms. Worobetz's loss of future earning capacity at $275,000.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Ms. Worobetz seeks a variety of future care items identified by Ms. L. Malinowski, a certified occupational therapist. The future care items, some of which are long-term measures, have a total present value of approximately $109,000.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xml:space="preserve">  The test for the award of the cost of future care was stated by Bennett J.A. in </w:t>
      </w:r>
      <w:r>
        <w:rPr>
          <w:rFonts w:ascii="arial" w:eastAsia="arial" w:hAnsi="arial" w:cs="arial"/>
          <w:i/>
          <w:color w:val="000000"/>
          <w:sz w:val="20"/>
          <w:lang w:val="en-US" w:eastAsia="en-US" w:bidi="ar-SA"/>
        </w:rPr>
        <w:t>Gignac v. Insurance Corporation of British Columbia</w:t>
      </w:r>
      <w:r>
        <w:rPr>
          <w:rFonts w:ascii="arial" w:eastAsia="arial" w:hAnsi="arial" w:cs="arial"/>
          <w:color w:val="000000"/>
          <w:sz w:val="20"/>
          <w:lang w:val="en-US" w:eastAsia="en-US" w:bidi="ar-SA"/>
        </w:rPr>
        <w:t xml:space="preserve">, </w:t>
      </w:r>
      <w:hyperlink r:id="rId143" w:history="1">
        <w:r>
          <w:rPr>
            <w:rFonts w:ascii="arial" w:eastAsia="arial" w:hAnsi="arial" w:cs="arial"/>
            <w:i/>
            <w:color w:val="0077CC"/>
            <w:sz w:val="20"/>
            <w:u w:val="single"/>
            <w:shd w:val="clear" w:color="auto" w:fill="FFFFFF"/>
            <w:lang w:val="en-US" w:eastAsia="en-US" w:bidi="ar-SA"/>
          </w:rPr>
          <w:t>2012 BCCA 351</w:t>
        </w:r>
      </w:hyperlink>
      <w:r>
        <w:rPr>
          <w:rFonts w:ascii="arial" w:eastAsia="arial" w:hAnsi="arial" w:cs="arial"/>
          <w:color w:val="000000"/>
          <w:sz w:val="20"/>
          <w:lang w:val="en-US" w:eastAsia="en-US" w:bidi="ar-SA"/>
        </w:rPr>
        <w:t xml:space="preserve"> at paras. 29 - 30: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[29] The purpose of the award for costs of future care is to restore, as best as possible with a monetary award, the injured person to the position he would have been in had the accident not occurred.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[30] The award is "based on what is reasonably necessary on the medical evidence to promote the mental and physical health of the plaintiff" (</w:t>
      </w:r>
      <w:r>
        <w:rPr>
          <w:rFonts w:ascii="arial" w:eastAsia="arial" w:hAnsi="arial" w:cs="arial"/>
          <w:i/>
          <w:color w:val="000000"/>
          <w:sz w:val="20"/>
          <w:lang w:val="en-US" w:eastAsia="en-US" w:bidi="ar-SA"/>
        </w:rPr>
        <w:t>Milna v. Bartsch</w:t>
      </w:r>
      <w:r>
        <w:rPr>
          <w:rFonts w:ascii="arial" w:eastAsia="arial" w:hAnsi="arial" w:cs="arial"/>
          <w:color w:val="000000"/>
          <w:sz w:val="20"/>
          <w:lang w:val="en-US" w:eastAsia="en-US" w:bidi="ar-SA"/>
        </w:rPr>
        <w:t xml:space="preserve"> </w:t>
      </w:r>
      <w:hyperlink r:id="rId108"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(B.C.S.C. and adopted in </w:t>
      </w:r>
      <w:r>
        <w:rPr>
          <w:rFonts w:ascii="arial" w:eastAsia="arial" w:hAnsi="arial" w:cs="arial"/>
          <w:i/>
          <w:color w:val="000000"/>
          <w:sz w:val="20"/>
          <w:lang w:val="en-US" w:eastAsia="en-US" w:bidi="ar-SA"/>
        </w:rPr>
        <w:t>Aberdeen v. Zanatta</w:t>
      </w:r>
      <w:r>
        <w:rPr>
          <w:rFonts w:ascii="arial" w:eastAsia="arial" w:hAnsi="arial" w:cs="arial"/>
          <w:color w:val="000000"/>
          <w:sz w:val="20"/>
          <w:lang w:val="en-US" w:eastAsia="en-US" w:bidi="ar-SA"/>
        </w:rPr>
        <w:t xml:space="preserve">, </w:t>
      </w:r>
      <w:hyperlink r:id="rId192" w:history="1">
        <w:r>
          <w:rPr>
            <w:rFonts w:ascii="arial" w:eastAsia="arial" w:hAnsi="arial" w:cs="arial"/>
            <w:i/>
            <w:color w:val="0077CC"/>
            <w:sz w:val="20"/>
            <w:u w:val="single"/>
            <w:shd w:val="clear" w:color="auto" w:fill="FFFFFF"/>
            <w:lang w:val="en-US" w:eastAsia="en-US" w:bidi="ar-SA"/>
          </w:rPr>
          <w:t>2008 BCCA 420</w:t>
        </w:r>
      </w:hyperlink>
      <w:r>
        <w:rPr>
          <w:rFonts w:ascii="arial" w:eastAsia="arial" w:hAnsi="arial" w:cs="arial"/>
          <w:color w:val="000000"/>
          <w:sz w:val="20"/>
          <w:lang w:val="en-US" w:eastAsia="en-US" w:bidi="ar-SA"/>
        </w:rPr>
        <w:t xml:space="preserve"> at para. 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Thus, there must be a medical justification for the claims of cost of future care and the claims must be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Ms. Malinowski admitted in cross-examination that future care items should help Ms. Worobetz control her symptoms, while allowing her to become more engaged in tasks. They should minimize further deconditioning.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It is of note that Dr. MacInnes stated in his report that it will be important for Ms. Worobetz to maintain functional ability and general physical conditioning. He recommended regular attendance at a fitness facility where she can continue to work on maintenance of physical fitness and conditioning. He also recommended that she have access to a kinesiologist or personal trainer to monitor and guide her exercise and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Dr. Watt reported that when he last saw Ms. Worobetz in January 2014, he was of the opinion that Ms. Worobetz was capable of sitting, standing and walking distances of 500 feet on level ground. She was capable of all limb coordination activities and capable of light physical demands, i.e. lifting, pushing, pulling and carrying up to 10 kilograms, occasionally. Dr. Watt noted that Ms. Worobetz had only recently resumed exercising and was working out on an elliptical trainer for about 15 minutes, four times per week and was doing some stretching for about 10 minutes, four times per week. Dr. Watt testified that this was at the low end of adequate. He noted that deconditioning is a very common perpetuating factor of myofascial pain and recommended increased exercise supervised by a fitness trainer.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The defendant submits that a number of the care aids suggested by Ms. Malinowski are not medically justified and would tend to contribute to further deconditioning, rather than promoting greater fitness. I agree with that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Homecare and Personal Assistance Items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In particular, I am not satisfied, based on the medical evidence, that the following items and their costs are medically justified or reasonable, even though individually many of them cost only a rather trivial amount:</w:t>
      </w:r>
      <w:r>
        <w:rPr>
          <w:rFonts w:ascii="arial" w:eastAsia="arial" w:hAnsi="arial" w:cs="arial"/>
          <w:sz w:val="20"/>
          <w:lang w:val="en-US" w:eastAsia="en-US" w:bidi="ar-SA"/>
        </w:rPr>
        <w:cr/>
      </w:r>
    </w:p>
    <w:p>
      <w:pPr>
        <w:numPr>
          <w:numId w:val="5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Long-handled scrubbers for shower, bath tubs and toilet bowl - I am not satisfied that with reasonable assistance from her family for their fair share of maintaining the cleanliness of the home, the use of spray or automatic dispensing cleansers that persons commonly use on a daily basis on these household fixtures and some provision for occasional heavy-duty cleaning, which I agree is reasonable, that Ms. Worobetz has a need for these items.</w:t>
      </w:r>
    </w:p>
    <w:p>
      <w:pPr>
        <w:numPr>
          <w:numId w:val="5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Long-handled duster - This would only be needed on an occasional basis to dust things such as light fixtures, overhead fans, etc. which can be done by the house cleaner.</w:t>
      </w:r>
    </w:p>
    <w:p>
      <w:pPr>
        <w:numPr>
          <w:numId w:val="5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Light-weight portable mop - Ms. Worobetz would need a mop, in any event. I am not satisfied that it is necessary to go to a specialty rehabilitation store to find one that is light enough for normal use.</w:t>
      </w:r>
    </w:p>
    <w:p>
      <w:pPr>
        <w:numPr>
          <w:numId w:val="5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Upright, light-weight vacuum cleaner - Ms. Worobetz has a built-in vacuum system. In my view, for occasional "pick-ups" that may be necessary outside of regular cleaning, a broom and dust-pan or "Dustbuster" would be adequate.</w:t>
      </w:r>
    </w:p>
    <w:p>
      <w:pPr>
        <w:numPr>
          <w:numId w:val="5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Long-handled reacher - The evidence does not establish why this device is required. In any event, Ms. Worobetz is not disabled from stretching and reaching. It is prolonged reaching that is difficult.</w:t>
      </w:r>
    </w:p>
    <w:p>
      <w:pPr>
        <w:numPr>
          <w:numId w:val="6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Long-handled sponge for showering and long-handled razor - I am not satisfied on the medical evidence that Ms. Worobetz has difficulty with her personal care without these items.</w:t>
      </w:r>
    </w:p>
    <w:p>
      <w:pPr>
        <w:numPr>
          <w:numId w:val="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Gliding shelves - I am not satisfied that these are necessary by any current or expected restrictions on her mobility, particularly with the assistance that can reasonably be expected from her husband and children, and by moving items that she frequently uses to higher shelves that are more accessible.</w:t>
      </w:r>
    </w:p>
    <w:p>
      <w:pPr>
        <w:numPr>
          <w:numId w:val="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Plant pot elevators - These would simply raise the plants for easier watering and weeding. Ms. Worobetz, apparently, has only a few plants and I am not satisfied that her ability to water and weed a few plants on an occasional basis is sufficiently compromised to justify this item.</w:t>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Heat and cold pads - I cannot find justification in the medical evidence for these kinds of benign treatments.</w:t>
      </w:r>
    </w:p>
    <w:p>
      <w:pPr>
        <w:numPr>
          <w:numId w:val="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Airplane pillow - Ms. Worobetz does not travel much by plane. In any event, a collar-like pillow is something that many travellers use and I am not satisfied that its use is made any more necessary by this Accident.</w:t>
      </w:r>
    </w:p>
    <w:p>
      <w:pPr>
        <w:numPr>
          <w:numId w:val="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Reclining chair - I cannot find justification in the medical evidence for this item. Ms. Worobetz does not need immobility in a reclining chair. She is better served by frequent posture shifts.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I would allow the claim for the following items, which I believe are justified and would better enable Ms. Worobetz to deal with her symptoms and increase her productivity:</w:t>
      </w:r>
      <w:r>
        <w:rPr>
          <w:rFonts w:ascii="arial" w:eastAsia="arial" w:hAnsi="arial" w:cs="arial"/>
          <w:sz w:val="20"/>
          <w:lang w:val="en-US" w:eastAsia="en-US" w:bidi="ar-SA"/>
        </w:rPr>
        <w:cr/>
      </w:r>
    </w:p>
    <w:p>
      <w:pPr>
        <w:numPr>
          <w:numId w:val="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Postural pillow for sleep - $100 (difference in cost from regular pillow) every three years;</w:t>
      </w:r>
    </w:p>
    <w:p>
      <w:pPr>
        <w:numPr>
          <w:numId w:val="6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Postural pillow for driving - $50 every three years;</w:t>
      </w:r>
    </w:p>
    <w:p>
      <w:pPr>
        <w:numPr>
          <w:numId w:val="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Wheeled cart for going up and down stairs with groceries, books, computer, etc. - $35 every five years;</w:t>
      </w:r>
    </w:p>
    <w:p>
      <w:pPr>
        <w:numPr>
          <w:numId w:val="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Anti-fatigue mat for kitchen - $50 every five years; and</w:t>
      </w:r>
    </w:p>
    <w:p>
      <w:pPr>
        <w:numPr>
          <w:numId w:val="7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Ergonomic chair - $100 and (difference in cost from regular chair) every five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Housecleaning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I agree that the claim for some periodic housecleaning for the "heavy housework" is reasonable and is supported by the medical evidence, at least for so long as Ms. Worobetz is expected to be working part-time. Ms. Malinowski recommends two to four hours every two to three weeks, at a cost of approximately $22 to $26 per hour. I believe an award based on two hours every two weeks, at a cost of $25 per hour until age 60, is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Rehabilitation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Ms. Worobetz claims $756 for the cost of consultation with an occupational therapist with regard to the selection and/or use of the various care aids that Ms. Malinowski recommended. I have not allowed many of these aids. For those devices that I have allowed, I am of the view that Ms. Worobetz can get appropriate advice from the vendor regarding which type is best for her. I do not allow this item.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Ms. Worobetz claims the cost of 12 to 20 psychotherapy sessions at a cost of between $180 and $200 per session. Psychotherapy and/or counselling have been recommended to Ms. Worobetz by her physicians in the past, but she has resisted undertaking such treatment. In my view, it is likely that she would not engage in psychotherapy in the future. Further, it is my view that while conditioning and exercise will probably not restore her health completely, that is the area that will do the most good and the area where Ms. Worobetz should focus. I, therefore, propose to make an award for those items.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Even though Ms. Worobetz has already undertaken an exercise program supervised by a kinesiologist, I am of the view that she requires the assistance of a personal trainer to get her back into a regular program of exercise and to monitor her progress for a period of time. I am going to allow the cost of a personal trainer for two one-hour sessions per week, for a period of 12 weeks, at a cost of $25 per session and the cost of a gym pass until age 60, at a cost of $460 per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Medications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Ms. Malinowski has suggested that the following medications will be required by Ms. Worobetz in the future based on the medical evidence:</w:t>
      </w:r>
      <w:r>
        <w:rPr>
          <w:rFonts w:ascii="arial" w:eastAsia="arial" w:hAnsi="arial" w:cs="arial"/>
          <w:sz w:val="20"/>
          <w:lang w:val="en-US" w:eastAsia="en-US" w:bidi="ar-SA"/>
        </w:rPr>
        <w:cr/>
      </w:r>
    </w:p>
    <w:p>
      <w:pPr>
        <w:numPr>
          <w:numId w:val="7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Extra strength Tylenol - 4 per day (1,456 per year) at a cost of $12.50 for a 100 pill bottle: This over-the-counter medication is for pain relief.</w:t>
      </w:r>
    </w:p>
    <w:p>
      <w:pPr>
        <w:numPr>
          <w:numId w:val="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Ibuprofen - 9 per week (468 per year) at a cost of $28 for a 250 pill bottle: This over-the-counter medication is for pain relief.</w:t>
      </w:r>
    </w:p>
    <w:p>
      <w:pPr>
        <w:numPr>
          <w:numId w:val="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Tylenol 3 - one per week (52 per year). This is prescription medication for pain. The cost is said to be $15.36 per prescription, but the number of tablets per prescription is not set out. It would not make sense that this is a monthly prescription.</w:t>
      </w:r>
    </w:p>
    <w:p>
      <w:pPr>
        <w:numPr>
          <w:numId w:val="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Cyclobenzaprine - one per week (52 per year). This is prescription muscle relaxant medication. The cost is said to be $14.50, but the number of tablets per prescription is not set out.</w:t>
      </w:r>
    </w:p>
    <w:p>
      <w:pPr>
        <w:numPr>
          <w:numId w:val="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Clonazepam - one-half to one per night six nights per week (156-312 per year). This prescription medication is used to treat seizures and anxiety attacks, but is also used as a sleep aid. The cost is said to be $15.40, but the number of tablets per prescription is not set out.</w:t>
      </w:r>
    </w:p>
    <w:p>
      <w:pPr>
        <w:numPr>
          <w:numId w:val="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HTP - one per night, five nights per week (260) per year at a cost of $29.99 per bottle.</w:t>
      </w:r>
    </w:p>
    <w:p>
      <w:pPr>
        <w:numPr>
          <w:numId w:val="7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Mag Sense - one container per month at a cost of $46.49 per container.</w:t>
      </w:r>
    </w:p>
    <w:p>
      <w:pPr>
        <w:numPr>
          <w:numId w:val="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Therapain - one bottle every six weeks at a cost of $15.00 per bottle.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Ms. Worobetz claims a total of $43,509 for the cost of these drugs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None of HTP, Mag Sense or Therapain is prescribed by Ms. Worobetz's physicians and I would not allow the future cost of those items.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As for the other medications, Dr. Viljoen did not say what use was recommended. His report merely said that Ms. Worobetz was using Tylenol and anti-inflammatories on a daily basis and sometimes using Tylenol 3 and Cyclobenzaprine. Dr. MacInnes set out the medications that Ms. Worobetz told him she was taking. He does not make a specific recommendation as to medications or dosage. He did suggest that Ms. Worobetz might try Nortriptyline, which she apparently did use for a time, although it is not included in the drugs claimed under the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Dr. Sudol recommended that Ms. Worobetz try "mood medications", but otherwise made no specific recommendation as to medications that she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In his first report, Dr. Watt suggested that Ms. Worobetz take psychoactive medication, but noted her reluctance to do so. He did not comment specifically in either report on whether her use of pain medication was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I am prepared to accept that it is reasonable for Ms. Worobetz to use the pain medication and sleep aid medication, however I have two comments. First, I have no doubt that Ms. Worobetz would have used pain relief on occasion, but for the Accident, for aches and pains that everyone usually has from time to time. Second, the cost of the over-the-counter medication can be reduced significantly by buying in larger quantities, such as from a retailer like Costco or Walmart.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Doing the best I can with the evidence, I estimate that an allowance of $250 per year would be reasonable for the annual cost for these medications.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Summary of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Applying the present value multipliers provided by Mr. Peever at Table 2 of his report to the foregoing amounts, I have determined the present cost of the items of future care, which I would allow as approximately $28,200.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Ms. Worobetz claims special damages of $6,621.44. The defendant does not challenge the specific amounts of the special damages claimed, but submits that no special damages should be allowed after October 2010, by which time, in the opinion of Dr. Grypma, Ms. Worobetz was, or should have been, fully recovered. Having rejected Dr. Grypma's opinion in that regard, I allow the special damages as claimed.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In summary, I allow Ms. Worobetz damages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286"/>
        <w:gridCol w:w="1778"/>
        <w:gridCol w:w="439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19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Non-pecuniary damages:</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$90,000.00</w:t>
            </w:r>
          </w:p>
        </w:tc>
        <w:tc>
          <w:tcPr>
            <w:tcW w:w="4301"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19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Past loss of earning capacity:</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$26,000.00</w:t>
            </w:r>
          </w:p>
        </w:tc>
        <w:tc>
          <w:tcPr>
            <w:tcW w:w="4301"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19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Future loss of earning capacity:</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$275,000.00</w:t>
            </w:r>
          </w:p>
        </w:tc>
        <w:tc>
          <w:tcPr>
            <w:tcW w:w="4301"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19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Cost of future care:</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$28,200.00</w:t>
            </w:r>
          </w:p>
        </w:tc>
        <w:tc>
          <w:tcPr>
            <w:tcW w:w="4301"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19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Special damages:</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$6,621.44</w:t>
            </w:r>
          </w:p>
        </w:tc>
        <w:tc>
          <w:tcPr>
            <w:tcW w:w="4301"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19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Total damages:</w:t>
            </w:r>
          </w:p>
        </w:tc>
        <w:tc>
          <w:tcPr>
            <w:tcW w:w="174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$425,821.44</w:t>
            </w:r>
          </w:p>
        </w:tc>
        <w:tc>
          <w:tcPr>
            <w:tcW w:w="4301"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B.M. JOYCE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50" style="position:absolute;z-index:25181593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16"/>
          <w:headerReference w:type="default" r:id="rId217"/>
          <w:footerReference w:type="even" r:id="rId218"/>
          <w:footerReference w:type="default" r:id="rId219"/>
          <w:headerReference w:type="first" r:id="rId220"/>
          <w:footerReference w:type="first" r:id="rId22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22" w:history="1">
        <w:r>
          <w:rPr>
            <w:rFonts w:ascii="arial" w:eastAsia="arial" w:hAnsi="arial" w:cs="arial"/>
            <w:b/>
            <w:bCs/>
            <w:i/>
            <w:color w:val="0077CC"/>
            <w:kern w:val="32"/>
            <w:sz w:val="28"/>
            <w:szCs w:val="32"/>
            <w:u w:val="single"/>
            <w:shd w:val="clear" w:color="auto" w:fill="FFFFFF"/>
            <w:lang w:val="en-US" w:eastAsia="en-US" w:bidi="ar-SA"/>
          </w:rPr>
          <w:t>Ashabi v. Lemaire, [2002] B.C.J. No. 1396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Sinclair Prowse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8 - 12,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20,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Nos. B973105, B972114</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[2002] B.C.J. No. 1396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2002 BCSC 914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114 A.C.W.S. (3d) 575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Fariborz Ashabi, plaintiff, and Richard Lionel Lemaire, defendant (Vancouver Registry No. B973105) And between Sohrab Mehrkhodavandi, plaintiff, and Richard Lionel Lemaire, Asyabi Fariborz and North Shore Taxi (1996) Ltd., defendants (Vancouver Registry No. B972114)</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(149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51" style="position:absolute;z-index:2516633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2" w:name="Keywords_4"/>
      <w:bookmarkEnd w:id="32"/>
      <w:r>
        <w:rPr>
          <w:rFonts w:ascii="arial" w:eastAsia="arial" w:hAnsi="arial" w:cs="arial"/>
          <w:b/>
          <w:color w:val="000000"/>
          <w:sz w:val="20"/>
          <w:lang w:val="en-US" w:eastAsia="en-US" w:bidi="ar-SA"/>
        </w:rPr>
        <w:t xml:space="preserve">Torts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Standard of care, particular persons and relationships — Heavy duty mechanic and motor vehicle operator — Motor vehicle, equipment and lights — Tires and wheels.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3" w:name="Case Summary_4"/>
            <w:bookmarkEnd w:id="3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Ashabi against Lemaire, for injuries suffered as a result of Lemaire's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Lemaire was in the process of completing the pre-apprenticeship portion to become a heavy-duty mechanic. He was employed with a company that serviced and repaired commercial trucks and trailers. Lemaire was driving his truck when the front wheel on the driver's side came off, bounced across the median and hit the roof and upper windshield of Ashabi's vehicle. One week prior to the incident, Lemaire had installed new wheels on his truck using a cross wrench. Unlike a torque wrench, it was not possible with a cross wrench to objectively test whether the wheel nuts were tightened to specification. On the night of the incident, Lemaire and his girlfriend were visiting a friend. Lemaire left his car in the driveway. The girlfriend allegedly heard a rustling in the hedges on the driver's side of the truck. She did not tell anyone of the noise that she heard until after the incident occurred. According to Lemaire, he tightened the nuts properly, but an unknown third party had loosened them shortly before the accident without his knowledge or consent.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4" w:name="Holdings of Court_4"/>
            <w:bookmarkEnd w:id="34"/>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Ashabi established a prima facie case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Lemaire was the sole owner and operator of the truck and was exclusively responsible for its maintenance. The cause of the wheel coming off was the fact that the nuts had loosened and fallen off. If the nuts were tightened to specification, they would not have loosened or come off. If Lemaire had taken proper care of installing the wheels, the accident would not have occurred. The fact that Lemaire failed to tighten the wheel nuts to specification constituted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Taking into account the innocuous nature of the girlfriend's observations, it was unlikely that a third party would have come along and loosened the nuts either as an act of vandalism or attempted theft.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5" w:name="Counsel_4"/>
      <w:bookmarkEnd w:id="3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52" style="position:absolute;z-index:2517145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W.T. Morley, for the plaintiff, Fariborz Ashabi.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J.D. Whyte, for the plaintiff, Sohrab Mehrkhodavandi.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 Wilhelm-Morden and C. Hope, for the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6" w:name="Judgment_4"/>
      <w:bookmarkEnd w:id="36"/>
      <w:r>
        <w:pict>
          <v:line id="_x0000_s1053" style="position:absolute;z-index:25176576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4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7" w:name="SINCLAIR PROWSE J."/>
            <w:bookmarkEnd w:id="37"/>
            <w:r>
              <w:rPr>
                <w:rFonts w:ascii="arial" w:eastAsia="arial" w:hAnsi="arial" w:cs="arial"/>
                <w:b/>
                <w:color w:val="000000"/>
                <w:sz w:val="30"/>
                <w:lang w:val="en-US" w:eastAsia="en-US" w:bidi="ar-SA"/>
              </w:rPr>
              <w:t>SINCLAIR PROWSE J.</w:t>
            </w:r>
          </w:p>
        </w:tc>
      </w:tr>
    </w:tbl>
    <w:p>
      <w:pPr>
        <w:numPr>
          <w:numId w:val="10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THE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the early morning hours of October 12, 1996, as the Defendant, Richard Lemaire, was driving his 1977 Chevrolet pick-up truck westbound on Highway #1 in Burnaby, British Columbia, the front wheel on the driver's side came off, bounced across the median, and hit the roof and upper windshield of a vehicle travelling in the eastbound lane closest to the median.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Fariborz Ashabi, was the driver of this eastbound vehicle, and the Plaintiff, Sohrab Mehrkhodavandi, was a passenger in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their actions, the Plaintiffs claim damages arising from the injuries that they allege that they suffered in this accident.</w:t>
      </w:r>
      <w:r>
        <w:rPr>
          <w:rFonts w:ascii="arial" w:eastAsia="arial" w:hAnsi="arial" w:cs="arial"/>
          <w:sz w:val="20"/>
          <w:lang w:val="en-US" w:eastAsia="en-US" w:bidi="ar-SA"/>
        </w:rPr>
        <w:cr/>
      </w:r>
    </w:p>
    <w:p>
      <w:pPr>
        <w:numPr>
          <w:numId w:val="2"/>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Liability was the only issue in this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There was never a dispute as to the ultimate cause of the accident. That is, the wheel came off of the Defendant's truck because the nuts holding it to the wheel hub assembly had loosened (or been loosened) and fallen off. Once the nuts had fallen off, there was nothing fastening the wheel to the truck so it came off. If the nuts holding the wheel to the wheel hub assembly had been tightened to the proper torque, they would not have loosened and come 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Defendant conceded that it was negligent if, in the circumstances of this case, the Plaintiffs proved, on the balance of probabilities, that the nuts had loosened because he had not torqued them properly when he installed the wheel a week or so before the accident. The issue therefore was whether the Plaintiffs had proven that that was the probable cause of the nuts coming 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However, the Defendant contended that the evidence did not prove this. Rather, he submitted that he had tightened the nuts properly but that an unknown third party or parties (without his knowledge or consent) had loosened them shortly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In cases such as this one where the evidence is primarily circumstantial, an inference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may be drawn if upon weighing the circumstantial and direct (if any) evidence the trial judge is satisfied that the plaintiff has established, on the balance of probabilities, a prima facie case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defendant and, if so, that the evidence presented by the defendant does not negate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See Fontaine v. British Columbia (Official Administrator), </w:t>
      </w:r>
      <w:hyperlink r:id="rId223" w:history="1">
        <w:r>
          <w:rPr>
            <w:rFonts w:ascii="arial" w:eastAsia="arial" w:hAnsi="arial" w:cs="arial"/>
            <w:i/>
            <w:color w:val="0077CC"/>
            <w:sz w:val="20"/>
            <w:u w:val="single"/>
            <w:shd w:val="clear" w:color="auto" w:fill="FFFFFF"/>
            <w:lang w:val="en-US" w:eastAsia="en-US" w:bidi="ar-SA"/>
          </w:rPr>
          <w:t>[1998] 1 S.C.R. 424</w:t>
        </w:r>
      </w:hyperlink>
      <w:r>
        <w:rPr>
          <w:rFonts w:ascii="arial" w:eastAsia="arial" w:hAnsi="arial" w:cs="arial"/>
          <w:color w:val="000000"/>
          <w:sz w:val="20"/>
          <w:lang w:val="en-US" w:eastAsia="en-US" w:bidi="ar-SA"/>
        </w:rPr>
        <w:t xml:space="preserve"> and Marchuk v. Swede Creek Contracting Ltd. </w:t>
      </w:r>
      <w:hyperlink r:id="rId224" w:history="1">
        <w:r>
          <w:rPr>
            <w:rFonts w:ascii="arial" w:eastAsia="arial" w:hAnsi="arial" w:cs="arial"/>
            <w:i/>
            <w:color w:val="0077CC"/>
            <w:sz w:val="20"/>
            <w:u w:val="single"/>
            <w:shd w:val="clear" w:color="auto" w:fill="FFFFFF"/>
            <w:lang w:val="en-US" w:eastAsia="en-US" w:bidi="ar-SA"/>
          </w:rPr>
          <w:t>(1998), 116 B.C.A.C. 318</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Therefore, the specific questions to be addressed in this case were:</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Have the Plaintiffs established, on the balance of probabilities, a prima facie case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Defendant?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so, has the Defendant presented evidence negating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numPr>
          <w:numId w:val="4"/>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BACKGROUND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At the time of the accident the Defendant was 20 years old and training to be a heavy-duty mechanic. He had completed the pre-apprenticeship portion of that program and was in the first year of the three year apprenticeship portion. Specifically, he was working at Mainland Trucking, a business which services and repairs commercial trucks and trailers.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At the time of the trial, the Defendant had completed this program and was working as a certified transportation mechanic.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As became apparent from the testimony of the Defendant, and of the witnesses who knew him, he is a person who is fascinated with vehicles and auto mechanics. In his evidence, the Defendant described the mechanical operation and features of his truck with the same passion and detail that an avid sports fan uses in recounting a game in which a favourite team has played.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Although the Defendant had purchased his truck about a year before the accident happened, he had only purchased the wheels that were on it one and one half to two weeks before the accident. These new wheels were four TSL Superswampers bias ply tires. He had purchased them from his neighbour, Robert Nisbet. (Superswamper wheels are wider than the customary wheels that are used on the type of truck that the Defendant had. The Defendant purchased these wider wheels because they are well suited to back roads driving which he enjoys.)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 week to a week and half before the accident, the Defendant (with the assistance of Mr. Nisbet) put these new wheels on the Defendant's truck. The Defendant installed the wheel that came 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To say the least in this case, it was essential to understand the manner in which wheels are fastened to a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wheel of a vehicle consists of a tire and a wheel rim. In this case, the wheel rims were made of aluminium. In the middle of the wheel rim there is a large hole. Around that large hole are six to eight smaller holes. (The wheel rims in this case had eight smaller holes.)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wheel hub assembly is attached to the vehicle and has six to eight metal studs on it. (In this case, the wheel hub assembly of the truck had eight studs.) The wheel hub assembly studs are mounted on the wheel plate.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wheel is fastened to the vehicle by threading the studs on the wheel hub assembly through the stud holes on the wheel rim. Nuts are then screwed onto the end of the studs, thereby holding the wheel onto the wheel hub assembly.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wheel rim stud holes are tapered in shape. The ends of the nuts are also tapered. If the nut is tightened properly, not only will the tapered portion of the nut fit snugly into the tapered portion of the wheel rim, but it will also separate the wheel rim from the stud. That is, it is the tapered portion of the nut that is sitting on the stud, not the wheel rim stud hole.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Every wheel has a specific torque to which the wheel nuts must be tightened. If the wheel nuts are tightened to that specific torque, the wheel will not loosen and come off. Information as to the torque required for the nuts of every wheel is provided by the manufacturer.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the present case, the Defendant and Mr. Nisbet installed the wheels on his truck using a cross wrench. Unlike a torque wrench, it is not possible with a cross wrench to objectively test whether the wheel nuts have been tightened to specification.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Defendant explained in his evidence that he did not have a specific torque figure in mind as he was tightening the nuts. He also conceded that he did not research the proper torque or consult the wheel manual to ascertain the manufacturer's recommendation as to the proper torque.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During his testimony, the Defendant agreed that although it is possible to tighten a wheel nut to specification using it, it is not possible to objectively test whether it has been tightened to that degree. Rather, to objectively test whether a wheel nut is tightened to specification requires a torque wrench, a torque stick, or an impact gun properly set and calibrated. With a cross wrench, the best that can be done is to estimate (give it your best guess) as to whether it is tightened to the degree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Defendant checked the tires for tightness two to three days after he and Mr. Nisbet had installed them. Approximately three to four nuts on each of the wheels had loosened. He tightened each of the loosened nuts a 1/16 of a turn. As he explained in his evidence, the reason that the Defendant checked the wheel nuts for tightness was because the wheel rims were aluminium and he thought that with the softness of that metal, the aluminium seating for the nut might soften and therefore the nut might need to be tightened.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After installing these wheels on his truck, the Defendant drove his truck back and forth to work (a round trip of 40 km). At that time, he was working five and occasionally six days a week. As the Defendant testified that he had installed the wheels one to one and a half weeks before the accident, at the most he travelled 360 km.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On the day of the incident, the Defendant was working the late shift which meant that he finished work around 11:00 p.m.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Kristina Gerloff (the Defendant's girlfriend at the time, and now his common law wife) was with him at work that day throughout his shift. (Apparently this was not unusual as Ms. Gerloff did not have a very happy home situation so she preferred to stay away from it as much as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Defendant and Ms. Gerloff testified that after he completed his shift, they drove to a co-worker's home in Abbotsford to look at a computer which this co-worker was selling and which the Defendant was considering purchasing. They left work to go to the co-worker's home at about midnight. (The Defendant attested that this co-worker was working that night also and that some time during their shift, they arranged to see this computer after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Although there was an issue as to the reliability of the evidence of the Defendant and Ms. Gerloff regarding this excursion to the Defendant's co-worker's home, for reasons which are set out later in this Judgment I found that I did not have to resolve that issue because I concluded that this evidence, assuming it to be true, did not assist the Defendant in any event. (The reliability of this evidence was questioned by the Plaintiffs because initially when questioned the Defendant maintained that he was coming for work. It was not until his examination for discovery that he contended that he had been at a co-worker's home regarding the possible purchase of a computer. During the trial the Defendant explained that he had been dishonest initially because his co-worker had requested him to do so as he had a grow operation at his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Accepting the evidence of Ms. Gerloff and the Defendant as to their activities just prior to the accident, they drove to the co-worker's home which was located in the Abbotsford area. It took about an hour to get there - it was about 50-60 kms away from their place of work. The co-worker's house was about 1 1/2 km off of Highway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Once there, the Defendant parked his truck in the driveway which ran beside the house. The entrance to the driveway is from the street in front of the house. Because there was another vehicle in the carport and the co-worker parked his vehicle behind it, the Defendant parked his truck at the end of the driveway next to the street. The back of the truck was about four to six feet from the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Defendant described the area in which his co-worker lived as being very dark. The only light was from a light in the carport.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When in the house, as both the Defendant and Ms. Gerloff explained, they were in the living room which is located at the front of the house with a window facing the street. The living room was on the side of the house furthest away from the driveway. It was about 25-30' from the driveway.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As she testified, Ms. Gerloff was seated on the couch in front of the window in the living room. She further testified that there were no curtains on this window. At some point while they were there, she remembers hearing a rustling in the hedges on the far side (driver's side) of the truck. Because it did not concern her, it did not occur to her to tell anyone about it at the time. Shortly after the accident however, when she and the Defendant were trying to figure out when someone must have loosened the wheel nuts, she recalled the incident and told the Defendant about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After visiting for about an hour, the Defendant had completed his discussion with his co-worker about the purchase of the computer and he and Ms. Gerloff left. (The Defendant did not purchase the computer that night as the Defendant wanted to think about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At the time of the accident, the Defendant lived in East Vancouver, a distance of approximately about 80 km from his co-worker's home. Prior to the accident, the defendant described the trip home as more or less uneventful. Ms. Gerloff fell asleep soon after the trip began.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 little less than an hour after he left his co-worker's home, the Defendant heard a ping-like sound as if a rock had been thrown up just after the Port Mann Bridge. A few minutes later, as he was approaching the Brunette Highway overpass he heard a second ping-like sound. (Originally the Defendant had reported that he had heard these ping-like sounds at Kensington and Cariboo which is further west and closer to the accident site than the Port Mann bridge and the Brunette Highway overpass. He explained that he changed the location because the more he thought about it the more he thought that it had occurred at the second location. However, I concluded that it was of very little, if any, significance as to whether these ping-like sounds occurred at Kensington and Cariboo or just after the Port Mann and just before the Brunette Highway overpass.) The defendant thought that these ping-like sounds were caused by small stones being thrown up against the wheels.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About 10km after hearing these sounds (3-4 km from the Defendant's home), the wheel came off of the Defendant's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It was about 3:00 a.m. and the Defendant had driven 75 km after leaving his co-worker's home, travelling along Highway 1. His speed was about 100 kph, which was the speed limit. At or near the First Avenue exit, the Defendant felt the truck dip down and saw a shower of sparks. He hit the brakes really hard and pulled off to the shoulder on the left, which was the centre median separating the east and west lanes. (The Defendant had been travelling in the fast lane - that is, the lane closest to the centre median.)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After pulling over, the Defendant put on his hazard lights. The noise of the truck grinding against the pavement woke Ms. Gerloff. After the Defendant got out of his truck, he discovered what had happened and that the loose wheel had struck an oncoming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Prior to the truck dipping down, the Defendant had not noted any difference in its handling, nor had he or Ms. Gerloff noted any unusual or loud banging noises coming from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Shortly, after the accident, Cst. Dunn attended the scene and spoke to the Defendant. As he explained in his evidence, as the Defendant's truck appeared to be in good condition and to be well-maintained, as he had checked the wheel nuts on the three remaining wheels and had found them to be tight, and as he was satisfied that the Defendant was not under the influence of alcohol or drugs, he allowed the Defendant to go home and to have his truck towed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When he got home (the Defendant and Ms. Gerloff came home in the tow truck), after his truck had been disconnected from the tow truck the Defendant checked the tightness of the nuts on the three remaining wheels with a cross wrench. He found all of them to be tight.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next day, in company with his friend Mr. Nisbet, the Defendant returned to the accident scene and eventually found the wheel that had come off of his vehicle. The eight nuts that had fastened this wheel to the wheel hub assembly were never located.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Although the wheel hub assembly of the wheel that had come off was damaged in this accident (namely, one portion of the circumference of the wheel plate was ground flat and one of the studs was bent as a result of their contact with the pavement), it was still operable. Within days of the accident, the Defendant had removed the damaged stud and installed the wheel again. Since then, he has driven his truck with that wheel without experiencing any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Fourteen days after the accident (namely, on October 26, 1996), at the request of the Insurance Corporation of British Columbia, Mr. Brown (whom I accepted in this trial as an expert in accident reconstruction and vehicle failure analysis) inspected the wheel that had come off and its wheel hub assembly. He also tested the tightness of the three remaining tires. He used a cross wrench.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Mr. Brown concluded that the metal build-up on the outer edge of the taper of the wheel rim stud holes and the scoring on the inside of the wheel rim stud holes showed that the wheel nuts had been tightened to specification. Moreover, he opined that the lack of uneven tire tread on the wheel that came off and the absence of any abrasions on its wheel plate established that this wheel did not loosen gradually over time which would have been the situation if the wheel came off because the wheel nuts had not been tightened to specification when the wheel was installed.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All of these facts, Mr. Brown opined, show that the Defendant had tightened the wheel nuts to specification upon installation and that they (the wheel nuts) had been loosened hours before the accident. As the Defendant had not loosened them, it had to have been someone, unknown to the Defendant, that had done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Although Mr. Brown also noted that the wheel rim stud holes in the wheel that came off were no longer circular in shape, but rather were elongated or elliptical. Mr. Brown concluded that this change in shape was caused by taking the wheels on and off of the truck and therefore were of no relevance to whether the wheel nuts had or had not been tightened to specification.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Four years later, at the request of the Plaintiffs, Mr. Bailey (whom I also accepted as an expert in accident reconstruction and vehicle failure analysis) examined the wheel that had come of the truck and its wheel assembly as well as the remaining three wheels and wheel assemblies. In addition, he examined the photographs that Mr. Brown had taken of the wheel and its wheel hub assembly.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Mr. Bailey confirmed Mr. Brown's observations of the wheel that had come off the truck and of its wheel hub assembly. In addition, Mr. Bailey noted that the outside edge of the taper on the wheel stud holes of the three other wheels also had metal build-up to varying degrees. He also noted that none of the wheel rim stud holes on these wheel rims were elongated.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Mr. Bailey then conducted a number of experiments using a truck and a right front wheel similar to the Superswamper wheels on the Defendant's truck. This exemplar wheel also had an aluminium wheel rim. Mr. Bailey did experiments putting this wheel on and off of the truck and loosening the wheel nuts to varying degrees. He then noted the effect of these procedures on the wheel rim stud holes and the wheel plate.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As a consequence of the information that he gathered in these experiments, and drawing on his expertise in this area, Mr. Bailey concluded that the condition of the wheel rim stud holes, the tire tread and the wheel plate were not inconsistent with the wheel nuts not being tightened to specification and loosening gradually over time. It was his opinion that this wheel had come off because the wheel nuts had not been tightened to specification. Because of their inadequate tightness they gradually loosened and came off. As there was then nothing holding the wheel to the wheel hub assembly, the wheel came off.</w:t>
      </w:r>
      <w:r>
        <w:rPr>
          <w:rFonts w:ascii="arial" w:eastAsia="arial" w:hAnsi="arial" w:cs="arial"/>
          <w:sz w:val="20"/>
          <w:lang w:val="en-US" w:eastAsia="en-US" w:bidi="ar-SA"/>
        </w:rPr>
        <w:cr/>
      </w:r>
    </w:p>
    <w:p>
      <w:pPr>
        <w:numPr>
          <w:numId w:val="5"/>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As was set out earlier in this Judgment, the questions to be addressed in this case were:</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Have the Plaintiffs established, on the balance of probabilities, a prima facie case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Defendant?</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so, has the Defendant presented evidence negating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For reasons which follow, I was satisfied that the Plaintiffs had established a prima facie case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Defendant and further I was satisfied that the evidence presented by the Defendant did not negate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Have the Plaintiffs Established, On The Balance Of Probabilities, A Prima Facie Case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As was set out in United Motors Service Inc. v. Hutson et al, </w:t>
      </w:r>
      <w:hyperlink r:id="rId225" w:history="1">
        <w:r>
          <w:rPr>
            <w:rFonts w:ascii="arial" w:eastAsia="arial" w:hAnsi="arial" w:cs="arial"/>
            <w:i/>
            <w:color w:val="0077CC"/>
            <w:sz w:val="20"/>
            <w:u w:val="single"/>
            <w:shd w:val="clear" w:color="auto" w:fill="FFFFFF"/>
            <w:lang w:val="en-US" w:eastAsia="en-US" w:bidi="ar-SA"/>
          </w:rPr>
          <w:t>[1937] S.C.R. 294</w:t>
        </w:r>
      </w:hyperlink>
      <w:r>
        <w:rPr>
          <w:rFonts w:ascii="arial" w:eastAsia="arial" w:hAnsi="arial" w:cs="arial"/>
          <w:color w:val="000000"/>
          <w:sz w:val="20"/>
          <w:lang w:val="en-US" w:eastAsia="en-US" w:bidi="ar-SA"/>
        </w:rPr>
        <w:t xml:space="preserve">, the fact that an operation is under the control of the defendant coupled with the fact that the accident is such that in the ordinary course of things it would not happen if those having the management use proper care, is sufficient to establish a prima facie case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With respect to whether the evidence proved that the truck was under the control of the Defendant, the evidence established that he was not only the sole owner and operator of the truck, but he was also exclusively responsible for its maintenance. That is, all of the maintenance for the truck, including the installation of the wheels was done by him or under his supervision. This is sufficient to establish that the truck was under his control.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The present situation can be distinguished from the situation in Doyle v. Wragg (1857), 1 F&amp;F7 601. In Doyle, the wheel came off a carriage because the axle-tree broke. The Court found that there had not been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defendant's part (he was the driver of the carriage) as he was neither the owner of the carriage nor the person responsible for examining the axle-tree before starting each day. (When the defendant drove the carriage, he believed that that examination had been done that morning.)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As far as whether the evidence established that the accident would probably not have happened if proper care had been taken, both of the experts agreed that this accident happened because the nuts that fastened the wheel to the wheel hub assembly were loose and came off as the Defendant drove along the highway on October 12, 1996. When they came off, there was nothing fastening the wheel to the truck and it therefore also came off. Both experts agreed that if nuts are tightened to specification, they do not loosen or come 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As there is no dispute that this wheel came off because the nuts were loose and fell off, and that if the nuts had been tightened to specification they would not have loosened and fallen off, it follows that in the course of things, if proper care had been taken (namely, if the nuts had been tightened to specification as the Defendant drove along the highway on October 12, 1996) this accident would not have happened.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The present case can be distinguished from the situation in Bhatti v. Insurance Corporation of British Columbia, </w:t>
      </w:r>
      <w:hyperlink r:id="rId226" w:history="1">
        <w:r>
          <w:rPr>
            <w:rFonts w:ascii="arial" w:eastAsia="arial" w:hAnsi="arial" w:cs="arial"/>
            <w:i/>
            <w:color w:val="0077CC"/>
            <w:sz w:val="20"/>
            <w:u w:val="single"/>
            <w:shd w:val="clear" w:color="auto" w:fill="FFFFFF"/>
            <w:lang w:val="en-US" w:eastAsia="en-US" w:bidi="ar-SA"/>
          </w:rPr>
          <w:t>[1994] B.C.J. No. 2568</w:t>
        </w:r>
      </w:hyperlink>
      <w:r>
        <w:rPr>
          <w:rFonts w:ascii="arial" w:eastAsia="arial" w:hAnsi="arial" w:cs="arial"/>
          <w:color w:val="000000"/>
          <w:sz w:val="20"/>
          <w:lang w:val="en-US" w:eastAsia="en-US" w:bidi="ar-SA"/>
        </w:rPr>
        <w:t xml:space="preserve"> (C.A.). In Bhatti, the accident arose as the result of a large piece of tire lying on the road. The Plaintiff relied on that fact alone to prove a want of proper care. The owner of the vehicle from which this piece of tire came was never located and the reason that the piece of tire came off was never ascertained.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The Court in Bhatti concluded that this evidence was insufficient to found an inference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In particular, the evidence did not indicate that this piece of tire would never have come off but for a want of proper care by the vehicle owner.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The situation in Clifton v. Anderson, </w:t>
      </w:r>
      <w:hyperlink r:id="rId227" w:history="1">
        <w:r>
          <w:rPr>
            <w:rFonts w:ascii="arial" w:eastAsia="arial" w:hAnsi="arial" w:cs="arial"/>
            <w:i/>
            <w:color w:val="0077CC"/>
            <w:sz w:val="20"/>
            <w:u w:val="single"/>
            <w:shd w:val="clear" w:color="auto" w:fill="FFFFFF"/>
            <w:lang w:val="en-US" w:eastAsia="en-US" w:bidi="ar-SA"/>
          </w:rPr>
          <w:t>[1986] B.C.J. No. 1743</w:t>
        </w:r>
      </w:hyperlink>
      <w:r>
        <w:rPr>
          <w:rFonts w:ascii="arial" w:eastAsia="arial" w:hAnsi="arial" w:cs="arial"/>
          <w:color w:val="000000"/>
          <w:sz w:val="20"/>
          <w:lang w:val="en-US" w:eastAsia="en-US" w:bidi="ar-SA"/>
        </w:rPr>
        <w:t xml:space="preserve"> (S.C.) was similar to the situation in Bhatti. That is, in Clifton, although the accident was caused by the fact that a wheel had come off the defendant's car, and although the defendant had recently removed that wheel in order to do some repairs, the reason that the wheel had come off was never ascertained as the vehicle had been destroyed shortly after the accident. As the wheel may have come off for reasons other than a want of care on the part of the defendant (it could have come off because the axle snapped - a situation over which he had no control), the Court held that the evidence was insufficient to support an inference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The present case is more akin to the situation in Lee v. I.C.B.C. </w:t>
      </w:r>
      <w:hyperlink r:id="rId228" w:history="1">
        <w:r>
          <w:rPr>
            <w:rFonts w:ascii="arial" w:eastAsia="arial" w:hAnsi="arial" w:cs="arial"/>
            <w:i/>
            <w:color w:val="0077CC"/>
            <w:sz w:val="20"/>
            <w:u w:val="single"/>
            <w:shd w:val="clear" w:color="auto" w:fill="FFFFFF"/>
            <w:lang w:val="en-US" w:eastAsia="en-US" w:bidi="ar-SA"/>
          </w:rPr>
          <w:t>(1986), 2 B.C.L.R. (2d) 293</w:t>
        </w:r>
      </w:hyperlink>
      <w:r>
        <w:rPr>
          <w:rFonts w:ascii="arial" w:eastAsia="arial" w:hAnsi="arial" w:cs="arial"/>
          <w:color w:val="000000"/>
          <w:sz w:val="20"/>
          <w:lang w:val="en-US" w:eastAsia="en-US" w:bidi="ar-SA"/>
        </w:rPr>
        <w:t xml:space="preserve"> (C.A.). In Lee, the evidence proved that the accident occurred because a trailer hitch had dropped from a vehicle, had become caught in the dual wheels of the eastbound semi-trailer truck, and had been vaulted into the path of the vehicle driven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Moreover, the evidence established that if properly attached, the trailer hitch would not fall off of a vehicle. This evidence was sufficient on which to found an inference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Specifically, the Court held that "in the absence of an explanation, the fact of its falling off the vehicle and onto the roadway is sufficient to justify the conclusion that most probably the driver was negligent." (p. 296).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In the present case, as the cause of the wheel coming off was ascertained (namely, that the nuts that fastened it to the wheel hub assembly had loosened and fallen off), as the nuts would not have loosened had they been tightened to specification, and as the Defendant had installed this wheel within days of the accident, there was sufficient evidence on which to base an inference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So, Has Mr. Lemaire Presented Evidence Negating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Even though the evidence may be sufficient to found an inference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"if the defenders can show a way in which the accident may have occurred without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cogency of the fact of the accident by itself disappears and the pursuer is left as he began, namely that he has to show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See Ballard v. North Br. R. Co. (1923), 60 Sc.L.R. 441 quoted with approval in Gauthier &amp; Co. v. The King, </w:t>
      </w:r>
      <w:hyperlink r:id="rId229" w:history="1">
        <w:r>
          <w:rPr>
            <w:rFonts w:ascii="arial" w:eastAsia="arial" w:hAnsi="arial" w:cs="arial"/>
            <w:i/>
            <w:color w:val="0077CC"/>
            <w:sz w:val="20"/>
            <w:u w:val="single"/>
            <w:shd w:val="clear" w:color="auto" w:fill="FFFFFF"/>
            <w:lang w:val="en-US" w:eastAsia="en-US" w:bidi="ar-SA"/>
          </w:rPr>
          <w:t>[1945] 2 D.L.R. 48</w:t>
        </w:r>
      </w:hyperlink>
      <w:r>
        <w:rPr>
          <w:rFonts w:ascii="arial" w:eastAsia="arial" w:hAnsi="arial" w:cs="arial"/>
          <w:color w:val="000000"/>
          <w:sz w:val="20"/>
          <w:lang w:val="en-US" w:eastAsia="en-US" w:bidi="ar-SA"/>
        </w:rPr>
        <w:t xml:space="preserve"> (S.C.C.); Fontaine v. British Columbia (Official Administrator), supra, and Lee (Committee of) v. Chan </w:t>
      </w:r>
      <w:hyperlink r:id="rId230" w:history="1">
        <w:r>
          <w:rPr>
            <w:rFonts w:ascii="arial" w:eastAsia="arial" w:hAnsi="arial" w:cs="arial"/>
            <w:i/>
            <w:color w:val="0077CC"/>
            <w:sz w:val="20"/>
            <w:u w:val="single"/>
            <w:shd w:val="clear" w:color="auto" w:fill="FFFFFF"/>
            <w:lang w:val="en-US" w:eastAsia="en-US" w:bidi="ar-SA"/>
          </w:rPr>
          <w:t>(1997), 29 B.C.L.R. (3d) 27</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There was no dispute that the alternative explanation must be based on evidence, not imagination, Walker v. Coates, </w:t>
      </w:r>
      <w:hyperlink r:id="rId231" w:history="1">
        <w:r>
          <w:rPr>
            <w:rFonts w:ascii="arial" w:eastAsia="arial" w:hAnsi="arial" w:cs="arial"/>
            <w:i/>
            <w:color w:val="0077CC"/>
            <w:sz w:val="20"/>
            <w:u w:val="single"/>
            <w:shd w:val="clear" w:color="auto" w:fill="FFFFFF"/>
            <w:lang w:val="en-US" w:eastAsia="en-US" w:bidi="ar-SA"/>
          </w:rPr>
          <w:t>[1968] S.C.R. 599</w:t>
        </w:r>
      </w:hyperlink>
      <w:r>
        <w:rPr>
          <w:rFonts w:ascii="arial" w:eastAsia="arial" w:hAnsi="arial" w:cs="arial"/>
          <w:color w:val="000000"/>
          <w:sz w:val="20"/>
          <w:lang w:val="en-US" w:eastAsia="en-US" w:bidi="ar-SA"/>
        </w:rPr>
        <w:t xml:space="preserve">. Evidence that shows that the situation that caused the accident was a situation that the defendant could neither have reasonably foreseen nor over which he/she had any control constitutes the type of evidence that would negate an inference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See Schroeder v. Alberta Grocers Wholesale Ltd. </w:t>
      </w:r>
      <w:hyperlink r:id="rId232" w:history="1">
        <w:r>
          <w:rPr>
            <w:rFonts w:ascii="arial" w:eastAsia="arial" w:hAnsi="arial" w:cs="arial"/>
            <w:i/>
            <w:color w:val="0077CC"/>
            <w:sz w:val="20"/>
            <w:u w:val="single"/>
            <w:shd w:val="clear" w:color="auto" w:fill="FFFFFF"/>
            <w:lang w:val="en-US" w:eastAsia="en-US" w:bidi="ar-SA"/>
          </w:rPr>
          <w:t>(1984), 61 A.R. 250</w:t>
        </w:r>
      </w:hyperlink>
      <w:r>
        <w:rPr>
          <w:rFonts w:ascii="arial" w:eastAsia="arial" w:hAnsi="arial" w:cs="arial"/>
          <w:color w:val="000000"/>
          <w:sz w:val="20"/>
          <w:lang w:val="en-US" w:eastAsia="en-US" w:bidi="ar-SA"/>
        </w:rPr>
        <w:t xml:space="preserve"> (C.A.). For example, in the Schroeder case the defendant led evidence that the probable reason that the wheel had come off his vehicle was because of metal fatigue which resulted in the nut breaking off. The Court accepted that evidence and concluded that as this was a situation that the defendant could not have reasonably foreseen, the inference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negated and the claim was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In the present case, the Defendant's alternative explanation was that he had fastened the nuts to specification, and that as nuts that are tightened to specification do not loosen on their own, an unknown person had to have loosened them. As this person had loosened them without his knowledge or consent, the Defendant contended that this was a situation that he could neither reasonably foresee nor over which he had any control.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To establish this alternative explanation, the Defendant led evidence that he contended established that he had probably tightened the nuts to specification and that there were occasions, after he had tightened them to specification, when an unknown person or persons may have loosened the nuts without his knowledge or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For reasons which follow, I was not satisfied that the evidence supported this alternative explanation.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With respect to his contention that he had tightened the nuts to specification, the Defendant relied on the opinion of Mr. Brown that the condition of the wheel studs and the wheel rim stud holes showed that he had tightened them to specification. In addition, he relied on the evidence of his own careful and precise personality and of his skill and experience in successfully tightening nuts to specification using a cross wrench to prove that he had probably tightened these nuts properly when he installed this wheel.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As far as the evidence of examples of occasions on which an unknown person may have loosened the nuts, the Defendant relied primarily on the evidence of Ms. Gerloff.</w:t>
      </w:r>
      <w:r>
        <w:rPr>
          <w:rFonts w:ascii="arial" w:eastAsia="arial" w:hAnsi="arial" w:cs="arial"/>
          <w:sz w:val="20"/>
          <w:lang w:val="en-US" w:eastAsia="en-US" w:bidi="ar-SA"/>
        </w:rPr>
        <w:cr/>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Evidence Of Mr. Brown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With respect to Mr. Brown's opinion, he opined that the metal build-up on the outer edge of the taper of the wheel rim stud holes proved that the nuts were tightened to specification as that build-up only occurred when the nuts were tightened to specification.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Further, he opined that the lack of uneven wear on the tire of the wheel that came off the truck, and the absence of any abrasions on the face of its wheel plate, showed that the nuts did not loosen gradually over time after installation as submitted by the Plaintiffs. Rather, Mr. Brown contended that these facts supported the conclusion that the nuts had been loosened shortly before the wheel came 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 did not accept these opinions of Mr. Brown, nor did I find his evidence reliable generally.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As far as the metal build-up is concerned, Mr. Brown attested that as the nut was tightened to specification it would sink down into the aluminium of the wheel rim stud hole (similar to the displacement that occurs when one sits on a pillow). This displaced aluminium is the metal build-up that occurs on the outer edge of the taper hole.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evidence did not support this opinion. Firstly, the nut does not sink into the aluminium of the wheel rim stud hole. Rather, if the nut is tightened properly it fits between the stud and the wheel rim. As there is no compression, there is no aluminium to be displaced.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Further, the metal build-up was on the outside edge of the taper of the wheel rim stud hole. It was not on the inside edge where the nut is screwed in. As the evidence demonstrated, if the nuts are tightened to specification, or even just snugly tightened, they do not come into contact with the outside rim of the tapered edge of the wheel rim stud holes. Therefore, the metal build-up could not be caused by the fact that the nuts are tightened to specification.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Rather, as Mr. Bailey explained in his evidence the metal build-up occurs when the nuts have become sufficiently loose that a portion of them comes into contact with the outside edge of the taper of the wheel rim stud hole as the wheel revolves.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This conclusion was supported by the experiments that Mr. Bailey conducted. Specifically, he found that tightening the nut to specification did not cause metal build-up around the outside edge of the taper of the wheel rim stud hole. To the contrary, he discovered that it occurred when the wheel nut had been tightened, (but not to specification as it started to loosen), then loosened about one quarter of a turn (that is, loosened sufficiently to permit the end to come into contact with the outer edge of the rim of the taper of the wheel rim stud hole).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In other words, Mr. Bailey opined that the evidence of the metal build-up on the outside edge of the taper of the wheel rim stud holes was consistent with the nuts not being tightened to specification.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fact that as of October 2000 all of the wheel rims had this metal build-up was also consistent with Mr. Bailey's conclusion as to its cause. As the Defendant set out in his evidence, he has taken the wheels off of his truck on average once a month. Although he now uses a torque wrench to install them, he did not for a few years after the accident. It is probable that all of the nuts on all of the wheels at one time or another have been sufficiently loose that metal build up has occurred on the outside edge of the taper of the wheel rim stud hole.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As far as the lack of uneven wear on the tire is concerned, it was Mr. Brown's opinion that if the nuts had not been tightened to specification, as the nuts loosened the wheel will not align properly with the wheel hub assembly, thereby causing uneven wear on the tire. Given this situation, Mr. Brown attested that as there was no signs of uneven wear on the tire of the wheel that came off of the truck, it could not have loosened over time as submitted by the Plaintiffs. Rather, Mr. Brown submitted that the condition of the tire supported his opinion that the nuts were tightened to specification until shortly before the accident. As the Defendant did not loosen them, they must have been loosened by some unknown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Pivotal to the reliability of this opinion is whether the evidence supported Mr. Brown's opinion that the nuts loosening gradually over time would change the alignment of the wheel thereby causing uneven wear on the tire.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evidence did not support this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Specifically, there was no dispute that as a wheel was out of alignment it would result in changes in the handling of the vehicle. In all probability it would pull to one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However, at time when the wheel was obviously loose (that is, when the Defendant was driving along the Highway before the accident), he did not notice any change in the handling of his vehicle. This experience was consistent with the experiment done by Mr. Bailey. That is, Mr. Bailey loosened the nuts on the front driver's wheel of a vehicle and then drove it. Although the wheel became very loose, Mr. Bailey did not notice any changes in the handling of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In addition to the evidence falling short of proving that a gradually loosening wheel would result in uneven wear on the tire of that wheel, the evidence fell short of proving that uneven wear would have occurred given the maximum distances that the Defendant would have travelled in the one and a half week period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That is, the evidence disclosed that a vehicle must travel at least 5,000-10,000 km of travel on the unevenly balanced tire before the rubber on that tire will be worn down sufficiently to exhibit uneven patterns of wear.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Assuming that the Defendant had driven with this wheel gradually loosening for as long as two weeks prior to the accident, he would not have driven nearly far enough to cause uneven wear on the tire. That is, at the most he would have driven 360 km going back and forth to work and 120 km to and from his co-worker's home hours before the accident. Although the Defendant did not disclose how much leisure driving he did during that period, it is highly improbable that he would have travelled anywhere close to the distance required to cause uneven wear on the tire.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For all of these reasons, I was not satisfied that the lack of uneven wear on the tread of the tire supported the conclusion that the nuts had to have been tightened to specification until shortly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Mr. Brown also opined that the lack of damage to the face of the wheel plate on the wheel hub assembly showed that the nuts (and thereby the wheel) did not loosen gradually. That is, Mr. Brown opined that if some of the nuts had been loose, the wheel rim would have moved back and forth against the stud and against the wheel plate. This contact would have left some evidence of wear on the face of the wheel plate.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This opinion is based on the proposition that as the nuts loosened, the wheel would have moved from side to side along the studs. Although as Mr. Bailey testified that certainly could happen, there was no evidence that it would happen.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As was explained in the evidence, if the wheel was moving from side to side along the studs, it is probable that this situation would affect the handling of the vehicle. However, as was set out in the preceding portion of this Judgment, a loose tire does not necessarily result in a change in the handling of the vehicle. Neither Mr. Bailey in his experiments, nor the Defendant at the time of this accident, experienced any change in the handling of their vehicles as they drove with a loose wheel.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Given this evidence, I was not satisfied that the lack of abrasions on the face of the wheel plate showed that the nuts had not loosened gradually.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As was mentioned earlier, I concluded that Mr. Brown's evidence generally was not reliable. For that reason, where his evidence conflicted on a material matter with the evidence of Mr. Bailey, I relied on Mr. Bailey's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For example, Mr. Brown opined that the elongation of the stud holes on the wheel rim of the wheel that came off the truck was caused by taking the tires on and off the truck. This opinion was not supported by the evidence. Specifically, none of the other stud holes in the other three wheel rims were elongated, although they were taken on and off the truck with the same frequency as the wheel with the elongated holes.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Further, the deformation of the stud holes was to elongate their shape - that is, to cause them to be elliptical rather than circular. This shape is not consistent with being worn down by the process of taking the wheel rims on and off the truck. That is, when the rims are taken off and then put back on, the same stud does go through the same wheel rim stud hole each time. Given this situation, if this process caused changes in the shape of the stud hole, the change should have been a circular rather than an elliptical shape.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The evidence was more consistent with the opinion of Mr. Bailey as to the cause of the elongation.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As Mr. Bailey explained in his evidence, when a wheel comes off because the nuts were not tightened to specification, it goes through a two-stage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 first stage is the gradual loosening of the wheel nut. As both Mr. Brown and Mr. Bailey testified, it is impossible to know how long this stage will last. It can take days or it can take months. It is at this stage that the metal lip on the outer edge of the taper of the wheel rim stud hole occurs.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The second stage begins when the nuts are loose enough that they are no longer keeping the stud centred in the wheel rim hole. In other words, the nut is no longer snugly tightened between the stud and the wheel rim. This is the stage at which the wheel rim comes into direct contact with the stud. It is not long after this happens that the wheel comes off. It is because the nuts on the other wheels never loosened to the extent that the wheel rim came in contact with the studs that none of the other wheel rim stud holes become elongated. As Mr. Bailey explained elongation is never a good sign.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In particular, Mr. Bailey opined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Elongation of the stud holes occurs when the studs make contact with the holes. This occurs when the nut for that hole is loose enough that it no longer contacts the taper. The elongation is worse where the hammering is worse. The worst hammering occurs in a hole where the nut is still tight. This is because the tight nut acts as a hinge point and the maximum movement of the wheel occurs opposite this hinge point. ... Elongation is present in all of the holes in the wheel that separated from the Lemaire [the Defendant's] vehicle, but the elongation is not equal in all holes. This results from some nuts loosening completely before others; the nuts that completely loosened first had the most time to hammer the stud hole before the wheel separated.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This was Mr. Bailey's opinion with respect to the cause of the elongation in this case. That is, it happened in the second and last stage before the wheel came off when the wheel rim stud holes came into direct contact with the stud. Because the other three wheels had never loosened to this degree, none of the wheel rim stud holes on them were elongated.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Further, I concluded the manner in which Mr. Brown tested the tightness of the nuts of the other three wheels at the time of his inspection on October 26, 1996, called the overall reliability of his evidence into question as he demonstrated that he was more of an advocate than an independent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When Mr. Brown inspected the truck and the three remaining wheels, he knew that the primary issue was whether the nuts on the wheel had come off because they had not been tightened to specification. However, when testing the tightness of the nuts on the remaining wheels, Mr. Brown did not use any of the objective methods of testing their tightness (namely, a torque wrench, a torque stick, or an impact gun properly set and calibrated). Rather, he used a cross wrench by which he could only ascertain that the nuts were tight but not, objectively, whether they were tightened to specification. This failure to use instruments that could have objectively provided the information demonstrates a lack of impartiality.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Although in his report and in his direct evidence, Mr. Brown also opined that the scoring on the inside of the wheel rim stud holes occurred only when the nuts were tightened to specification, during cross-examination he conceded that it could happen even if the nut is not tightened to that degree. As Mr. Bailey explained in his evidence, because the nuts are steel, and therefore much harder than the aluminium of the wheel rim, the action of the turning of the nut in the wheel rim stud hole as it is being tightened will score the inside of this stud hole, regardless of whether that tightness reaches specification or not. This opinion was supported by the experiments done by Mr. Bailey. Ultimately Mr. Brown agreed with Mr. Bailey.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Both of the experts agreed that the aluminium deposits on the threads of the studs of the wheel hub assembly of the wheel that came off is not significant as far as providing an explanation as to the reason that this wheel came off of the truck. Rather, both agreed that these deposits were just from putting the wheel on and off of the wheel hub assembly. This evidence also was confirmed by Mr. Bailey's experiments.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For all of the reasons set out above, I did not find Mr. Brown's opinions to be reliable as the evidence did not support them. Rather, I concluded that the metal build-up on the outer edge of the taper of wheel rim stud hole, the lack of uneven wear on the tire treads of the wheel that came off, and the absence of abrasions on the wheel plate were not inconsistent with the Defendant failing to tighten the nuts to specification, and as a consequence the nuts gradually loosening over time and coming off.</w:t>
      </w:r>
      <w:r>
        <w:rPr>
          <w:rFonts w:ascii="arial" w:eastAsia="arial" w:hAnsi="arial" w:cs="arial"/>
          <w:sz w:val="20"/>
          <w:lang w:val="en-US" w:eastAsia="en-US" w:bidi="ar-SA"/>
        </w:rPr>
        <w:cr/>
      </w:r>
    </w:p>
    <w:p>
      <w:pPr>
        <w:numPr>
          <w:numId w:val="1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Evidence As To The Defendant's Careful and Meticulous Personality and Of His Skill and Experience in Installing Wheels Using a Cross Wrench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To say the least, prior to the installation of the wheel on his truck, the Defendant had had a lot of experience with installing wheels using a cross wrench alone. As he testified, he had developed some skill at determining, by feel, whether he had tightened the nuts to specification.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Moreover, it was clear from the evidence that the Defendant was by nature a careful and meticulous person, particularly in regard to his work on automobiles. Both Mr. Nisbet, the Defendant's neighbour and friend, and Mr. Pagowski, the Defendant's employer at the time of the accident, described him in this manner. This description was certainly in keeping with the Defendant's demeanour while he was testifying.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However, regardless of his experience and his careful and meticulous nature, as the Defendant testified, there is no objective way to measure whether a nut has been tightened to the specified torque when using a cross wrench. Rather, when using a cross wrench the best that can be done is to estimate (a best guess) that the proper torque has been reached.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As the Defendant explained in his testimony, and as has been referred to earlier in this Judgment, the only objective means of testing whether a nut has been torqued to specification is with a torque wrench, a torque stick, or an impact gun properly set and calibrated.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To support his position that the use of a cross wrench is an acceptable method of tightening wheel nuts to specification, the Defendant led evidence that the mechanics employed by BCAA use cross wrenches when installing wheels on vehicles as part of their emergency roadside service and that they do not objectively test whether they have tightened the wheel nuts to specification by using a torque wrench, torque stick, or an impact gun properly set and calibrated.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As the evidence disclosed, when the BCAA mechanics install wheels as part of their emergency roadside service, they are usually installing the spare wheel provided with the automobile. These spare wheels are generally, if not exclusively, smaller wheels. The purpose of this smaller wheel is to enable the automobile owner to travel from the emergency site to their automobile mechanic to have a proper wheel installed. It may be that the BCAA anticipates that as the vehicle will not be travelling far before it is taken into a garage for the installation of a proper wheel, even if the nuts are not tightened to specification as long as they are somewhat tight the wheel should stay on long enough to be driven to the garage.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In any event, as the evidence in this trial disclosed, anyone using a cross wrench to install a wheel is taking a risk that the wheel nuts will not be tightened to specification as the cross wrench does not provide an objective means of testing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The fact that BCAA mechanics use a cross wrench to tend to roadside emergencies does not change the fact that they are taking a risk as to whether the wheel is properly fastened to the vehicle - that is, as to whether the wheel nuts are tightened to specifications.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Therefore the fact that BCAA mechanics use cross wrenches does not alter the limitations of that tool.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To summarize, even though the Defendant was skilled and experienced in installing wheels using a cross wrench, even though by nature he is a meticulous and careful person, and even though the BCAA mechanics use that type of wrench to install wheels when providing their emergency roadside service, the fact remains that an inherent limitation of a cross wrench is that it is impossible to objectively measure whether nuts have been tightened to specification. Given this fact, the Defendant may have failed to tighten the nuts on the wheel that came off to the specification necessary.</w:t>
      </w:r>
      <w:r>
        <w:rPr>
          <w:rFonts w:ascii="arial" w:eastAsia="arial" w:hAnsi="arial" w:cs="arial"/>
          <w:sz w:val="20"/>
          <w:lang w:val="en-US" w:eastAsia="en-US" w:bidi="ar-SA"/>
        </w:rPr>
        <w:cr/>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Evidence Of Occasions In Which An Unknown Person or Persons May Have Loosened The Nuts On The Wheel That Came 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The evidence pertaining to this aspect of the Defendant's alternative explanation was provided primarily by Ms. Gerloff.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In particular, she testified that just hours before the accident, there was an occasion which, upon reflection, she appreciated may have been the time when someone loosened the nuts on the wheel that came off. That is, Ms. Gerloff testified that while she and the Defendant were at his co-worker's home she observed some rustling in the hedge located on the far side (driver's side) of the truck. As she clarified in her evidence, she did not hear any other sounds such as clinking.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Of some significance is the fact that at the time that she made this observation, Ms. Gerloff did not think that some one was trying to vandalize the Defendant's truck. She knew at the time that the Defendant's truck meant a good deal to him and given the closeness of their relationship no doubt would have advised him immediately if she thought something was wrong.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However when she made this observation, it did not cause her any concern and as a consequence she did not mention it to the Defendant until after the accident when they were trying to ascertain when someone may have loosened the wheel nuts.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In addition to the innocuous nature of her observations, I found it unlikely, that in all of the circumstances someone would have come along and loosened the nuts whether as an act of vandalism or attempted theft. (The Defendant testified that the wheels were valuable being worth about $1000.00.)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Specifically, if the wheel nuts were tightened to specification as alleged by the Defendant, they could not have been loosened except with a wrench of some kind. That is, a person could not loosen them just using their fingers.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As the Defendant's attendance at his co-worker's home had only been arranged during their shift earlier that day, there was no advanced notice that the truck would be at that house that evening. Further, they attended this home outside conventional visiting times. That is, they were there between 1:00 and 2:00 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Both Ms. Gerloff and the Defendant described the location of the co-worker's house as being in the Abbotsford area and very dark. In other words, his co-worker's home was located on a street in the Abbotsford area that was not a busy thoroughfare with traffic coming and going at all times.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Neither the Defendant, nor Ms. Gerloff, could remember if there were street lights on the street on which his co-worker lived. Rather, the only lights that they did remember were the light in the co-worker's carport and the light in his living room.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The Defendant's truck was parked at the end of the driveway (four to six feet from the street). There was an unobstructed view of it from the living room window. (Ms. Gerloff was sitting in front of this window when she observed the rustling in the bushes by the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In addition, to steal this wheel the truck had to be jacked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Lastly, if the nuts were loosened in the co-worker's driveway they were only loosened a quarter to a half turn. As was demonstrated by Mr. Bailey's experiments, given that the Defendant drove for 75 km after he left his co-worker's house before the wheel came off, the wheel nuts could only have been loosened to that degree.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To have the wheel nuts loosened at this residence, as proposed by the Defendant, would mean that a person came along by chance at 1:00 - 2:00 a.m. in this less busy area of Abbotsford, equipped with a wrench, and then proceeded to attempt to steal a wheel by turning the nut a quarter to a half turn from a truck parked in front of a house in which the living room light was on and in which a person was sitting in front of the living room window which had an unobstructed view of the driveway. (Ms. Gerloff confirmed that there were no curtains on the living room window.)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Given all of these circumstances, I found that Ms. Gerloff's evidence was too speculative and that the likelihood of this occurring as proposed by the Defendant was too improbable.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The Defendant submitted further that if the wheel nuts were not loosened at his co-worker's home they may have been loosened by an unknown person on other occasions - such as at his work or at his home. This submission is mere speculation and is not supported by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xml:space="preserve">  For all of these reasons, the Defendant failed to establish an alternative explanation negating the inference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12"/>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To conclude, given that the wheel came off of the Defendant's truck because the nuts fastening it to the wheel hub assembly loosened and fell off, that if the nuts had been tightened to specification they would not have loosened and fallen off, that the Defendant was the sole owner and operator of the truck, and that he alone maintained the truck, including the installation of the wheel, I was satisfied that the Plaintiffs had established a prima facie case against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xml:space="preserve">  The Defendant did not present evidence which I accepted negating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Specifically, the evidence of Mr. Brown did not establish that the condition of the wheel rim taper holes, the tire tread and the face of the wheel plate were inconsistent with the gradual loosening of the wheel nuts because they were not tightened to specification. Moreover even though the Defendant is by nature a careful and meticulous person, and even though he is skilled and experienced in the use of a cross wrench, the fact remains that even a person with these qualities and qualifications can fail to tighten the wheel nuts to specification because there is no objective mechanism for determining if that specification has been reached when using this tool. Lastly, the evidence presented with respect to the opportunities for an unknown person to loosen the wheel nuts was insufficient to negate the inference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xml:space="preserve">  In any event, as was acknowledged by counsel for the Defendant during the trial, if I was satisfied that the Defendant had failed to tighten the wheel nuts to specification, that that conduct constituted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That is, as disclosed in his evidence, the Defendant appreciated at the time that he installed the wheel that if he did not tighten the nuts to specification the nuts would gradually loosen and the wheel would come off. He also appreciated the danger that that would present to other motorists.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Although he did not have the necessary tools to objectively test whether the wheel nuts were tightened to specification, nevertheless the Defendant decided to take the risk and install the wheels himself.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I am satisfied that the evidence proves, on the balance of probabilities, that the Defendant failed to tighten the wheel nuts to specification and that as a consequence they loosened and eventually the wheel came off and struck the Plaintiffs'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The Defendant's failure, in the circumstances, to tighten the wheel nuts to specification caused or materially contributed to this accident and was a breach of his duty of care to other motorists such as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The Plaintiffs are granted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In Mr. Mehrkhodavandi's action, in addition to the Defendant he also sued Mr. Ashabi (also referred to as Asyabi Fariborz) as the driver of the vehicle in which he was a passenger and North Shore Taxi as the owner of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These claims were not pursued at trial. In any event, the evidence fell short of proving that either of these Defendants were negligent or contributorily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Therefore, the claims against these Defendants in the Mehrkhodavandi action are dismissed.</w:t>
      </w:r>
      <w:r>
        <w:rPr>
          <w:rFonts w:ascii="arial" w:eastAsia="arial" w:hAnsi="arial" w:cs="arial"/>
          <w:sz w:val="20"/>
          <w:lang w:val="en-US" w:eastAsia="en-US" w:bidi="ar-SA"/>
        </w:rPr>
        <w:cr/>
      </w:r>
    </w:p>
    <w:p>
      <w:pPr>
        <w:numPr>
          <w:numId w:val="1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Costs were not addressed during the trial. If counsel wish to make submissions, they are to notify the Registry within 30 days of the filing of this Judgment of that intention. (The application does not have to be made within that time, but notice that the application is going to happen must take place within that period.) The application is then to be set down at the earliest mutually convenient date. If it is estimated by counsel to take less than an hour, it is to be set down at 9:00 a.m. on any Tuesday through Thursday that I am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If none of the parties wish to make an application, as the successful parties, the Plaintiffs are awarded costs, those costs to be calculated at Scale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SINCLAIR PROWSE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54" style="position:absolute;z-index:25181696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33"/>
          <w:headerReference w:type="default" r:id="rId234"/>
          <w:footerReference w:type="even" r:id="rId235"/>
          <w:footerReference w:type="default" r:id="rId236"/>
          <w:headerReference w:type="first" r:id="rId237"/>
          <w:footerReference w:type="first" r:id="rId23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39" w:history="1">
        <w:r>
          <w:rPr>
            <w:rFonts w:ascii="arial" w:eastAsia="arial" w:hAnsi="arial" w:cs="arial"/>
            <w:b/>
            <w:bCs/>
            <w:i/>
            <w:color w:val="0077CC"/>
            <w:kern w:val="32"/>
            <w:sz w:val="28"/>
            <w:szCs w:val="32"/>
            <w:u w:val="single"/>
            <w:shd w:val="clear" w:color="auto" w:fill="FFFFFF"/>
            <w:lang w:val="en-US" w:eastAsia="en-US" w:bidi="ar-SA"/>
          </w:rPr>
          <w:t>Bingo City Games Inc. v. British Columbia Lottery Corp., [2003] B.C.J. No. 2895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Prince George,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Rogers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December 8 - 11,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18,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Prince George Registry No. 16861/02</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[2003] B.C.J. No. 2895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2003 BCSC 1899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128 A.C.W.S. (3d) 462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Bingo City Games Inc. and Frank Valentini, plaintiffs, and British Columbia Lottery Corporation, Her Majesty the Queen in Right of the Province of British Columbia and The Minister of Public Safety and Solicitor General for the Province of British Columbia,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55" style="position:absolute;z-index:2516643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8" w:name="Keywords_5"/>
      <w:bookmarkEnd w:id="38"/>
      <w:r>
        <w:rPr>
          <w:rFonts w:ascii="arial" w:eastAsia="arial" w:hAnsi="arial" w:cs="arial"/>
          <w:b/>
          <w:color w:val="000000"/>
          <w:sz w:val="20"/>
          <w:lang w:val="en-US" w:eastAsia="en-US" w:bidi="ar-SA"/>
        </w:rPr>
        <w:t>Practice — Pleadings — Striking out pleadings — Grounds, prolix pleadings — Grounds, failure to plead material facts — Grounds, false, frivolous vexatious or scandalous — Grounds, unnecessary, irrelevant, immaterial or redundant.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9" w:name="Case Summary_5"/>
            <w:bookmarkEnd w:id="3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Province of BC to strike Bingo City's statement of claim. Bingo City commenced an action against BC for damages for loss of profit, interference with its economic interests, invalid expropriation,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connection with a contract for lease with BC. BC sought to strike Bingo City's pleading that BC's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unrelieved by legislation, as that was a defence, and inappropriate for Bingo City to raise. It sought to strike a pleading that BC lacked authority for its actions, as that was a conclusion of law. It sought to strike pleadings that Bingo City relied on the contract with BC, that BC acted in a high-handed manner, and a verbose recitation of damages, on the ground that they were irrelevant to the contract issues. It also argued that an allegation that BC made negligent misrepresentations after the contract was signed was irrelevant. It argued that the pleading that BC was vicariously liable made the case subject to the Judicial Review Procedure Act's regime for review of decisions by administrative bodies. BC argued that 18 paragraphs of clumsily worded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were vexatious and prolix. It argued that the pleading that BC's governmental policy hurt Bingo City economically disclosed no action known to law. It argued that the allegation that BC acted on unlawful enactments and failed to follow government policy directives was too vague.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40" w:name="Holdings of Court_5"/>
            <w:bookmarkEnd w:id="40"/>
            <w:r>
              <w:rPr>
                <w:rFonts w:ascii="arial" w:eastAsia="arial" w:hAnsi="arial" w:cs="arial"/>
                <w:color w:val="000000"/>
                <w:sz w:val="20"/>
                <w:lang w:val="en-US" w:eastAsia="en-US" w:bidi="ar-SA"/>
              </w:rPr>
              <w:t>HELD: Application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pleading that BC's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unrelieved by legislation was struck, as it was a defence. The pleading that BC lacked authority for its actions was not struck, as it was potentially relevant to Bingo City's allegations of BC's interference with its economic interests. The pleadings concerning Bingo City's reliance and BC's having acted in a high-handed manner, as well as the verbose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the allegations of post-contractual misrepresentations, were struck on the ground of irrelevancy. The pleading concerning the theory of vicarious liability was not struck, as it was potentially relevant to Bingo City's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The 18 paragraphs of clumsily worded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were not struck since, although clumsy, they were relevant to Bingo City's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The pleading of government policy hurting Bingo City economically was struck as disclosing no cause of action known to law. The pleading that BC acted on unlawful enactments and failed to follow government policy directives was struck, as it was too vague.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41" w:name="Legislation Cited_2"/>
      <w:bookmarkEnd w:id="4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56" style="position:absolute;z-index:2517155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Rules 18A, 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Judicial Review Procedure Act, </w:t>
      </w:r>
      <w:r>
        <w:rPr>
          <w:rFonts w:ascii="arial" w:eastAsia="arial" w:hAnsi="arial" w:cs="arial"/>
          <w:i/>
          <w:color w:val="000000"/>
          <w:sz w:val="20"/>
          <w:lang w:val="en-US" w:eastAsia="en-US" w:bidi="ar-SA"/>
        </w:rPr>
        <w:t>R.S.B.C. 1996, c. 323</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42" w:name="Counsel_5"/>
      <w:bookmarkEnd w:id="4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57" style="position:absolute;z-index:2517667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R.J. Stewart, Q.C., for the plaintiffs. L.R. Backman, Q.C. and D.E. McCabe, for the defendant, British Columbia Lottery Corporation. J.L.G. Maxwell, for the defendants, Her Majesty the Queen in Right of the Province of British Columbia, and the Minister of Public Safety and Solicitor General for the Province of British Columbia.</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43" w:name="Judgment_5"/>
      <w:bookmarkEnd w:id="43"/>
      <w:r>
        <w:pict>
          <v:line id="_x0000_s1058" style="position:absolute;z-index:25181798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44" w:name="ROGERS J."/>
            <w:bookmarkEnd w:id="44"/>
            <w:r>
              <w:rPr>
                <w:rFonts w:ascii="arial" w:eastAsia="arial" w:hAnsi="arial" w:cs="arial"/>
                <w:b/>
                <w:color w:val="000000"/>
                <w:sz w:val="30"/>
                <w:lang w:val="en-US" w:eastAsia="en-US" w:bidi="ar-SA"/>
              </w:rPr>
              <w:t>ROGERS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defendants Lottery Corporation and the Crown have applied for orders:</w:t>
      </w:r>
      <w:r>
        <w:rPr>
          <w:rFonts w:ascii="arial" w:eastAsia="arial" w:hAnsi="arial" w:cs="arial"/>
          <w:sz w:val="20"/>
          <w:lang w:val="en-US" w:eastAsia="en-US" w:bidi="ar-SA"/>
        </w:rPr>
        <w:cr/>
      </w:r>
    </w:p>
    <w:p>
      <w:pPr>
        <w:numPr>
          <w:numId w:val="10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striking certain portions of the plaintiff's amended statement of claim; and</w:t>
      </w:r>
    </w:p>
    <w:p>
      <w:pPr>
        <w:numPr>
          <w:numId w:val="10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requiring the plaintiff to provide particulars with respect to certain of their allegations.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plaintiffs oppose the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plaintiffs have applied in a related action for leave to amend their statement of defence and third party notices.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All five applications have to do with Rule 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plaintiffs are a corporation and its principal; for the purposes of this application their interests are one. I will refer to the plaintiffs in the singular.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A brief history of events leading to this litigation may be found in my reasons for judgment at </w:t>
      </w:r>
      <w:hyperlink r:id="rId240" w:history="1">
        <w:r>
          <w:rPr>
            <w:rFonts w:ascii="arial" w:eastAsia="arial" w:hAnsi="arial" w:cs="arial"/>
            <w:i/>
            <w:color w:val="0077CC"/>
            <w:sz w:val="20"/>
            <w:u w:val="single"/>
            <w:shd w:val="clear" w:color="auto" w:fill="FFFFFF"/>
            <w:lang w:val="en-US" w:eastAsia="en-US" w:bidi="ar-SA"/>
          </w:rPr>
          <w:t>[2003] B.C.J. No. 985</w:t>
        </w:r>
      </w:hyperlink>
      <w:r>
        <w:rPr>
          <w:rFonts w:ascii="arial" w:eastAsia="arial" w:hAnsi="arial" w:cs="arial"/>
          <w:color w:val="000000"/>
          <w:sz w:val="20"/>
          <w:lang w:val="en-US" w:eastAsia="en-US" w:bidi="ar-SA"/>
        </w:rPr>
        <w:t xml:space="preserve">, </w:t>
      </w:r>
      <w:hyperlink r:id="rId240" w:history="1">
        <w:r>
          <w:rPr>
            <w:rFonts w:ascii="arial" w:eastAsia="arial" w:hAnsi="arial" w:cs="arial"/>
            <w:i/>
            <w:color w:val="0077CC"/>
            <w:sz w:val="20"/>
            <w:u w:val="single"/>
            <w:shd w:val="clear" w:color="auto" w:fill="FFFFFF"/>
            <w:lang w:val="en-US" w:eastAsia="en-US" w:bidi="ar-SA"/>
          </w:rPr>
          <w:t>2003 BCSC 637</w:t>
        </w:r>
      </w:hyperlink>
      <w:r>
        <w:rPr>
          <w:rFonts w:ascii="arial" w:eastAsia="arial" w:hAnsi="arial" w:cs="arial"/>
          <w:color w:val="000000"/>
          <w:sz w:val="20"/>
          <w:lang w:val="en-US" w:eastAsia="en-US" w:bidi="ar-SA"/>
        </w:rPr>
        <w:t>. Those earlier reasons determined a contest between the parties as to the plaintiff's original statement of claim. That contest was decided in the defendants' favour: the original statement of claim was struck with liberty to file an amended pleading.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filed an amended statement of claim. The defendants are not satisfied with that pleading, and have brought applications to strike portions of it. In the alternative, the defendants seek an order that the plaintiff provide particulars.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defendants' applications affect the pleadings in 411056 B.C. Ltd. v. Bingo City Games Inc. et al. In that action the plaintiff is the landlord of the premises leased by Bingo City Games Inc. (BCG) The landlord's claim is for breach of the lease and damages arising out of BCG's failure to pay rent as required. BCG has filed a defence in the landlord's action and issued third party notices to Her Majesty the Queen (HMTQ) and British Columbia Lottery Corporation (BCLC). The third party notices are in substantially the same defective form as the BCG's original statement of claim. As such, the third party notices ought to suffer the same fate as the original statement of claim. Presently BCG seeks leave to amend its third party notices to bring them into conformity with the amended statement of claim. Then the third party notices will stand or fall with the amended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For the sake of clarity, the reader should understand that the acronym GTBA stands for the Good Time Bingo Association. The GTBA was a conglomerate of charities that before January 2002 had a license to operate bingo gaming. The GTBA contracted with the plaintiff to supply bingo services and facilities. The GTBA's authority to perform that contract is much discussed below. Loss of profit from that contract is the subject of the plaintiff's claims against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PLAINTIFF'S APPLICATION IN THE LANDLORD'S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 will decline the plaintiff's request to amend its pleadings in the landlord's action. Allowing that application would simply add a layer to a set of pleadings already too large. BCG's statement of defence and third party notices in the landlord's action run afoul of my earlier reasons for judgment on the original statement of claim. For that reason they must be struck with leave to BCG to amend those pleadings in accord with the earlier judgment and these reasons. I direct that a copy of these reasons be placed by praecipe in the landlord's action, and an order be filed in that action to the effect that BCG's present statement of defence and third party notice are struck in their entirety with leave to amend, and with concomitant leave for HMTQ and BCLC to amend their pleadings in response.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STRIKE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defendants' applications to strike parts of the amended statement of claim are pursuant to Rule 19 of the Rules of Court. The defendants say that various paragraphs of the amended statement of claim are prolix, embarrassing, vexatious, an abuse of process, or disclose no cause of action known to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GENERAL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portions of Rule 19 relevant to these applications are:</w:t>
      </w:r>
      <w:r>
        <w:rPr>
          <w:rFonts w:ascii="arial" w:eastAsia="arial" w:hAnsi="arial" w:cs="arial"/>
          <w:sz w:val="20"/>
          <w:lang w:val="en-US" w:eastAsia="en-US" w:bidi="ar-SA"/>
        </w:rPr>
        <w:cr/>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pleading shall be as brief as the nature of the case will permit and must contain a statement in summary form of the material facts on which the party relies, but not the evidence by which the facts are to be proved.</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pleading shall be divided into paragraphs numbered consecutively, each allegation being contained in a separate paragraph.</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party shall not plead an allegation of fact or a new ground or claim inconsistent with the party's previous pleading.</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Conclusions of law may be pleaded only if the material facts supporting them are pleaded.</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party pleading relies on misrepresentation, fraud, breach of trust, wilful default or undue influence, or where particulars may be necessary, full particulars, with dates and items if applicable, shall be stated in the pleading. If the particulars of debt, expenses or damages are lengthy, the party may refer to this fact and instead of pleading the particulars shall deliver the particulars in a separate document either before or with the pleading.</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may order a party to deliver further and better particulars of a matter stated in a pleading.</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Before applying to the court for particulars, a party shall demand them in writing from the other party.</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w:t>
      </w:r>
      <w:r>
        <w:rPr>
          <w:rFonts w:ascii="arial" w:eastAsia="arial" w:hAnsi="arial" w:cs="arial"/>
          <w:sz w:val="20"/>
          <w:lang w:val="en-US" w:eastAsia="en-US" w:bidi="ar-SA"/>
        </w:rPr>
        <w:cr/>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any stage of a proceeding the court may order to be struck out or amended the whole or any part of an endorsement, pleading, petition or other document on the ground that</w:t>
      </w:r>
    </w:p>
    <w:p>
      <w:pPr>
        <w:numPr>
          <w:numId w:val="1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 discloses no reasonable claim or defence as the case may be,</w:t>
      </w:r>
    </w:p>
    <w:p>
      <w:pPr>
        <w:numPr>
          <w:numId w:val="1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unnecessary, scandalous, frivolous or vexatious,</w:t>
      </w:r>
    </w:p>
    <w:p>
      <w:pPr>
        <w:numPr>
          <w:numId w:val="1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 may prejudice, embarrass or delay the fair trial or hearing or the proceeding, or</w:t>
      </w:r>
    </w:p>
    <w:p>
      <w:pPr>
        <w:numPr>
          <w:numId w:val="1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otherwise an abuse of the process of the court,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and the court may grant judgment or order the proceeding to be stayed or dismissed and may order the costs of the application to be paid as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 general principles of pleading are conveniently summarized by Smith J. in Homalco Indian Band v. British Columbia, </w:t>
      </w:r>
      <w:hyperlink r:id="rId241" w:history="1">
        <w:r>
          <w:rPr>
            <w:rFonts w:ascii="arial" w:eastAsia="arial" w:hAnsi="arial" w:cs="arial"/>
            <w:i/>
            <w:color w:val="0077CC"/>
            <w:sz w:val="20"/>
            <w:u w:val="single"/>
            <w:shd w:val="clear" w:color="auto" w:fill="FFFFFF"/>
            <w:lang w:val="en-US" w:eastAsia="en-US" w:bidi="ar-SA"/>
          </w:rPr>
          <w:t>[1998] B.C.J. No. 2703</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ultimate function of pleadings is to clearly define the issues of fact and law to be determined by the court. The issues must be defined for each cause of action relied upon by the plaintiff. That process is begun by the plaintiff stating, for each cause, the material facts, that is, those facts necessary for the purpose of formulating a complete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 discuss the paragraphs under attack below, and rule upon each in turn. Where the pleading is material but flawed I note that amendments may be made. Absent that leave, where a pleading is not material or does not advance a cause of action known to law, I strike it and the reader should understand that there is no leave to amend.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IMPUGNED PARAGRAPHS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Definitions subparagraphs (i), (p), &amp; (q)</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defendant's complaint about these paragraphs is that they are unnecessary because the terms defined there are defined elsewhere in the amended statement of claim. The argument goes that if subpara. (i) defines "Improvements" there is no need for para. 93 to do the same; if subpara. (p) defines "Policy" then para. 155 need not define it again; and because subpara. (q) defines "Profit Policy" there is no need for para. 164 to perform the same task.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 acknowledges redundancy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 find that the definitions subparagraphs are unnecessary and that they should be struck from the statement of claim. They add nothing to the reader's understanding of the pleading. Paragraphs 93, 155, and 164 adequately define the terms "Improvements", "Policy", and "Profit Policy" respectively. These paragraphs should remain because removing them would break what logical flow the amended statement of claim possesses. Less violence will be done to the pleading if the superfluous subparagraphs are taken away than if the substantive paragraphs are deleted.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 note parenthetically that definition subpara. (s) must be struck from the amended statement of claim as well. That is because it, too, is redundant, the drafter of the pleading having decided to define the subject of (s) again at para. 202. The same result pertains to definition subpara. (t), the subject of which shows up again in para. 37; and to definition subpara. (f) which is made redundant by para. 70.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Paragraph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Paragraph 8, according to the defendants, pleads a conclusion of law without pleading the material facts, and is not in any event material to the plaintiff's claims. The plaintiff maintains that one of its claims is that the B.C. Gaming Commission acted negligently and that the retroactive legislation referenced by para. 8 does not relieve the Commission of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 agree with the defendants on para. 8. The plaintiff's claim can stand quite nicely without inclusion of para. 8. The retroactive legislation noted there might become relevant if the defendants allege absolution by virtue of that legislation. In that case the plaintiff might wish to put para. 8 in a Reply. Until then para. 8 is not material and has no place in the amended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Paragraphs 14 and 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Paragraphs 14 and 15, the defendants say, plead conclusions of law about the government's lack of authority to take certain actions relevant to the plaintiff's complaints. Additionally, they say that these paragraphs are not connected to any particular cause of action advanced by the plaintiff. The plaintiff maintains that this pleading is simply an allegation that the government acted without authority; and that if true, that makes out the element of unlawfulness necessary to its claim that the defendants unlawfully interfered with the plaintiff's economic relations.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my opinion, the amended statement of claim would read better if paras. 14 and 15 were placed closer to the bulk of the paragraphs having to do with interference with economic relations. The critical reader would no doubt prefer that were the case. But the amended statement of claim need not be perfect, it need only be understandable with a modicum of mental effort. Paragraphs 14 and 15 are awkward, but not fatally so. They need not be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Paragraph 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Paragraph 20 is neither material nor relevant to the plaintiff's claim and should be struck, so say the defendants. The plaintiff replies that para. 20 supplies factual background to its claim for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Paragraph 20 alleges that after November 8, 2001 the GTBA relied on the contract it had made with the plaintiff. I do not understand how that fact is relevant to the plaintiff's claims. The GTBA's reliance on the contract matters not. Whether the GTBA performed the contract might be relevant, but the association's mental state vis-Ó-vis the contract or whether the contract was important to the GTBA cannot be material to this suit. Paragraph 20 must be struck from the amended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Paragraphs 25 - 32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Paragraphs 25 - 32 are, according to the defendants, not material because they are not connected to any particular cause of action alleged by the plaintiff. The plaintiff argues that these paragraphs reference a program under the pre-2002 bingo gaming regime whereby the government assured the GTBA that it would always have a certain level of revenue. This was called the "top-up" program. The plaintiff says that these paragraphs are necessary to its claim because it looked on the government's guarantee of revenue to the GTBA as an assurance that the GTBA would always be able to pay the plaintiff under the bingo services and facilities contract. The plaintiff submits that this program removed or reduced one element of risk in the original services contract, and when it was effectively taken away post-2001 that comprised at least one element of the defendants' actionable interference with the plaintiff's economic relations.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 am sympathetic to the defendants on this point. Paragraphs 25 - 32 go into unnecessary detail about the top-up program. How can it be remotely relevant to the plaintiff's claim that a predecessor to the top-up program was declared ultra vires in 1998, as alleged by para. 27? In fact, the whole of paras. 25 - 32 comprise an unnecessary excess of verbiage. Nowhere in the amended statement of claim does the plaintiff actually allege that it relied on the top-up program when it made its contract with the GTBA. Nowhere in the amended statement of claim does the plaintiff simply say that the top-up fund was part of the economic relations with which the defendants interfered. These paragraphs are so far removed from the part of the amended statement of claim dealing with interference with economic interests and they are so obliquely worded that there is no reason for the reader to necessarily connect the two. With the benefit of counsel's advice and some mental gymnastics, that connection might be made. But the pleadings must stand as they are, and these paragraphs are, in my view, too obscure to survive. They are embarrassing and contrary to Rule 19(24)(c). They must be struck because their location and construction is so flawed as to confuse and misdirect the reader. The plaintiff has leave to amend these paragraphs as necessary to correct their flaws.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Paragraph 44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Paragraph 44 is, according to the defendants, flawed because it relates to the business of the GTBA and is not material to the plaintiff's claims. The plaintiff maintains that the economic well-being of the GTBA provided the reasonable basis on which it decided to make a long-term contract with the GTBA.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 would be inclined to agree with the plaintiff if the tort of interference with economic interests required the plaintiff prove that its relations were reasonably made. But it does not. The essential elements of the tort of interference with economic interests are that the defendant deliberately used unlawful means with the object and effect of causing damage to the plaintiff's economic interests (Powder Mountain Resorts Ltd. v. British Columbia, </w:t>
      </w:r>
      <w:hyperlink r:id="rId242" w:history="1">
        <w:r>
          <w:rPr>
            <w:rFonts w:ascii="arial" w:eastAsia="arial" w:hAnsi="arial" w:cs="arial"/>
            <w:i/>
            <w:color w:val="0077CC"/>
            <w:sz w:val="20"/>
            <w:u w:val="single"/>
            <w:shd w:val="clear" w:color="auto" w:fill="FFFFFF"/>
            <w:lang w:val="en-US" w:eastAsia="en-US" w:bidi="ar-SA"/>
          </w:rPr>
          <w:t>(1999) 47 C.L.R. (2d) 32</w:t>
        </w:r>
      </w:hyperlink>
      <w:r>
        <w:rPr>
          <w:rFonts w:ascii="arial" w:eastAsia="arial" w:hAnsi="arial" w:cs="arial"/>
          <w:color w:val="000000"/>
          <w:sz w:val="20"/>
          <w:lang w:val="en-US" w:eastAsia="en-US" w:bidi="ar-SA"/>
        </w:rPr>
        <w:t xml:space="preserve">; No. 1 Collision Repair &amp; Painting (1982) Ltd. v. Insurance Corporation of British Columbia, </w:t>
      </w:r>
      <w:hyperlink r:id="rId243" w:history="1">
        <w:r>
          <w:rPr>
            <w:rFonts w:ascii="arial" w:eastAsia="arial" w:hAnsi="arial" w:cs="arial"/>
            <w:i/>
            <w:color w:val="0077CC"/>
            <w:sz w:val="20"/>
            <w:u w:val="single"/>
            <w:shd w:val="clear" w:color="auto" w:fill="FFFFFF"/>
            <w:lang w:val="en-US" w:eastAsia="en-US" w:bidi="ar-SA"/>
          </w:rPr>
          <w:t>[2000] B.C.J. No. 1634</w:t>
        </w:r>
      </w:hyperlink>
      <w:r>
        <w:rPr>
          <w:rFonts w:ascii="arial" w:eastAsia="arial" w:hAnsi="arial" w:cs="arial"/>
          <w:color w:val="000000"/>
          <w:sz w:val="20"/>
          <w:lang w:val="en-US" w:eastAsia="en-US" w:bidi="ar-SA"/>
        </w:rPr>
        <w:t xml:space="preserve">, </w:t>
      </w:r>
      <w:hyperlink r:id="rId243" w:history="1">
        <w:r>
          <w:rPr>
            <w:rFonts w:ascii="arial" w:eastAsia="arial" w:hAnsi="arial" w:cs="arial"/>
            <w:i/>
            <w:color w:val="0077CC"/>
            <w:sz w:val="20"/>
            <w:u w:val="single"/>
            <w:shd w:val="clear" w:color="auto" w:fill="FFFFFF"/>
            <w:lang w:val="en-US" w:eastAsia="en-US" w:bidi="ar-SA"/>
          </w:rPr>
          <w:t>2000 BCCA 463</w:t>
        </w:r>
      </w:hyperlink>
      <w:r>
        <w:rPr>
          <w:rFonts w:ascii="arial" w:eastAsia="arial" w:hAnsi="arial" w:cs="arial"/>
          <w:color w:val="000000"/>
          <w:sz w:val="20"/>
          <w:lang w:val="en-US" w:eastAsia="en-US" w:bidi="ar-SA"/>
        </w:rPr>
        <w:t xml:space="preserve"> per Lambert JA para. 110).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Whether the plaintiff's trade comprised a set of reasonable commercial arrangements is not material. All the plaintiff need show to establish element (a) is that it had a trade or business and that the defendant interfered with that enterprise.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By the same token, reasonably made business arrangements are not an element of the plaintiff's claims for expropriation or failure to warn. Neither does the reasonableness of those arrangements play any part in the plaintiff's claims concerning the relocation of its competitor.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my opinion para. 44 is completely unnecessary to the plaintiff's claims and must be struck from the amended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Paragraphs 53 and 54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Paragraphs 53 and 54 are wrong because, according to the defendants, they are not material to the plaintiff's claims. The plaintiff says that they are material to the claim for punitive damages. The plaintiff says the defendants acted in a high-handed and arrogant manner. The plaintiff says further that these paragraphs show that the defendants were on notice of the risk that their plans posed to the plaintiff. The defendants' action in the face of that knowledge also establishes the intentional element of the tort of interference with economic relations, so says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These paragraphs reference a query by the GTBA to the government about the GTBA's liability arising out of the post-2001 bingo gaming regime. That inquiry had nothing to do with the plaintiff's claim that the defendants interfered with its economic interests. The fact that the inquiry was made does not make the plaintiff's case better or worse. The inquiry described in these paragraphs was not couched in terms of "what you the government is about to do is illegal and will wreak havoc with third party economic relations". The fact that it was not answered does not improve the plaintiff's claim in either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intentional tort. The GTBA may have been unsettled by the government's silence, but the plaintiff's suit is not to recover damages for upset to its contracting partner.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Paragraphs 53 and 54 are not material to the plaintiff's claims in either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intentional tort. If true those allegations might ground a claim for punitive damages by the GTBA but not by the plaintiff. Paragraphs 53 and 54 must be struck from the amended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Paragraphs 58 and 63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Paragraphs 58 and 63 are by HMTQ's estimation inconsistent with one another. Paragraph 58 says that in March 2002 the plaintiff received notice that the GTBA would no longer operate. Paragraph 63 says that in January 2003 - about nine months later - the plaintiff ceased to do business at the bingo premises. These pleadings are not necessarily inconsistent. Perhaps the plaintiff did some business other than bingo at the premises between March and December's end. Perhaps despite giving shut-down notice the GTBA actually stumbled on until sometime after March 2001. This is speculation, of course, but we are dealing here with whether these paragraphs of the amended statement of claim are defective on their face so that they must necessarily be removed. I cannot say that these paragraphs are mutually exclusive.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Paragraphs 74 and 84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Paragraphs 74 and 84 are also inconsistent with each other, according to HMTQ. The inconsistency is in the dates cited - para. 58 says that the bingo premises were purchased in June 2001, para. 63 says that the premises purchase was triggered by events that happened in July 2001. The plaintiff acknowledges that para. 58 is incorrect and that it ought to cite a purchase date in late July.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Neither paragraph need be struck, but para. 58 may be amended to correct the purchase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Paragraphs 91-95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Paragraphs 91 - 95 must be removed because they are not, according to the defendants, necessary to a cause of action advanced by the plaintiff. The plaintiff says that these allegations go to its claim for damages. They describe the plaintiff's financial obligations and assets that were affected by the defendants'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intentional tortuous behaviour.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plaintiff does claim damages consequent to the defendants' behaviour. While paras. 91 - 95 are verbose and supply more detail than is strictly necessary, the allegations contained in them are not completely foreign to the suit. These allegations flesh out some particulars of the damages the plaintiff claims. One might legitimately criticize these paragraphs for not being nearer the end of the amended statement of claim. That is where drafters of pleadings conventionally place consequence and damage allegations. But again, the goal here is not to require the plaintiff to produce a perfect amended statement of claim. Paragraphs 91 - 95 are oddly placed and contain too many words, but those words are meaningful and with a bit of flexibility the reader may understand their place in the pleading. They need not be struck from the amended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Paragraphs 112 - 118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The defendants attack paras. 112 - 118 on the ground that they describe a subject for review under the Judicial Review Procedure Act, and as such belong in a proceeding brought by petition not writ. The defendants say that these paragraphs do not describe a cause of action known to law and are irrelevant to the proceeding. The plaintiff's response is that when viewed from a certain angle these allegations could found an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so they belong in the amended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order to deal with this issue, I find I must go a little further back into the amended statement of claim. Paragraphs 96 - 118 have to do with the BC Gaming Commission's decision to process a relocation application by a competitor to the GTBA. The essence of the plaintiff's complaint is set out in paras. 113 and 116:</w:t>
      </w:r>
      <w:r>
        <w:rPr>
          <w:rFonts w:ascii="arial" w:eastAsia="arial" w:hAnsi="arial" w:cs="arial"/>
          <w:sz w:val="20"/>
          <w:lang w:val="en-US" w:eastAsia="en-US" w:bidi="ar-SA"/>
        </w:rPr>
        <w:cr/>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Government, through the BC Gaming Commission, exercised a discretion under a statutory power when it determined the BCA relocation application met the requirements of the revised Relocation Guidelines and was not prohibited from being considered as a result of the Freeze.</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w:t>
      </w:r>
      <w:r>
        <w:rPr>
          <w:rFonts w:ascii="arial" w:eastAsia="arial" w:hAnsi="arial" w:cs="arial"/>
          <w:sz w:val="20"/>
          <w:lang w:val="en-US" w:eastAsia="en-US" w:bidi="ar-SA"/>
        </w:rPr>
        <w:cr/>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Government acted negligently when the BCA Relocation application was formally accepted and processed through to approval notwithstanding the Freeze which had prohibited the Government, through the BC Gaming Commission, from accepting and acting upon such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The plaintiff maintains that this discretion was operational in nature, so that it might be the subject of a suit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(Kamloops v. Nielsen, </w:t>
      </w:r>
      <w:hyperlink r:id="rId244" w:history="1">
        <w:r>
          <w:rPr>
            <w:rFonts w:ascii="arial" w:eastAsia="arial" w:hAnsi="arial" w:cs="arial"/>
            <w:i/>
            <w:color w:val="0077CC"/>
            <w:sz w:val="20"/>
            <w:u w:val="single"/>
            <w:shd w:val="clear" w:color="auto" w:fill="FFFFFF"/>
            <w:lang w:val="en-US" w:eastAsia="en-US" w:bidi="ar-SA"/>
          </w:rPr>
          <w:t>[1984] 2 S.C.R 2</w:t>
        </w:r>
      </w:hyperlink>
      <w:r>
        <w:rPr>
          <w:rFonts w:ascii="arial" w:eastAsia="arial" w:hAnsi="arial" w:cs="arial"/>
          <w:color w:val="000000"/>
          <w:sz w:val="20"/>
          <w:lang w:val="en-US" w:eastAsia="en-US" w:bidi="ar-SA"/>
        </w:rPr>
        <w:t xml:space="preserve"> (S.C.C)).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Plaintiff's counsel advised in submissions that the plaintiff's theory runs something like this: The BC Gaming Commission was a creature of statute and could do no other than the bidding of its master the government. The government decreed that the Commission should not consider any relocation applications made after July 6, 2001. The Commission was bound to follow that order. The government decree included a direction to the Commission that if before the deadline it received an expression of relocation interest sufficient to constitute an application, then it would be alright for the Commission to deem that expression of interest as an application. So the government gave the Commission a discretion to promote an expression of interest to an application and thus save it from the deadline. The plaintiff says that this discretion was operational in nature and was not the exercise of a statutory power of decision. If the discretion was operational and was exercised negligently then the party harmed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has a right to sue in tort for recovery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 have difficulty reconciling the pleading with the plaintiff's submissions. The plaintiff's pleading is not aimed at the Commission. The pleading targets the government. See the lead words to para. 113: "The Defendant Government, through the BC Gaming Commission, exercised a discretion. . . ". And see the beginning of paragraph 116: "The Defendant Government acted negligently. . . ". The plaintiff is clearly attacking the government's exercise of discretion, not the Commission's. Nowhere does the plaintiff say that the government is vicariously liable for the Commission's actions. Instead, the plaintiff's amended statement of claim treats the decision to process the competitor's relocation application as a decision made by the government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It is possible, I suppose, that the Commission was not a legal entity and was simply the government working under a different name. If so, then the question of vicarious liability would not arise. That, I conclude, must be the plaintiff's theory and the reason it prepared its pleadings the way it did. At the risk of making a gratuitous comment, I note that in paras. 64 - 83 the plaintiff quite happily describes the BC Gaming Commission as the decision maker in the GTBA's own earlier relocation; a position rather at odds with the plaintiff's view in paras. 99 - 118 that the government was the decision maker when its competitor's relocation application was made and processed.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It is possible as well that the Commission's decision to process the relocation application was not an adjunct of its statutory power to make judicial and quasi-judicial decisions. If that is so, then the decision might not have to be the subject of judicial review under the Judicial Review Procedure Act, but could instead be the subject of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I must, therefore, conclude that the plaintiff's argument is not necessarily bound to fail. Paragraphs 112 - 118 need not be struck from the amended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Paragraphs 119 - 127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Paragraphs 119 - 127 are also under attack from the defendants. They say that these paragraphs describe troubles that are not relevant to the plaintiff's claims. The plaintiff says they are relevant because they detail the process by which the defendants orchestrated the plaintiff's economic demise.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Paragraph 119 simply alleges the GTBA suffered reduced gaming revenues after January 2002. As such it might have some relevance to the plaintiff's claim that the defendants interfered with the plaintiff's economic interests. The plaintiff's argument is that the defendants knew that the GTBA was the plaintiff's only customer. The plaintiff says that the defendants acted in such a way as to reduce the GTBA's financial health and that would necessarily affect the plaintiff as well. That contributes to its case for interference with its economic interests. Like some earlier paragraphs these allegations are oddly placed in the amended statement of claim. They seem to belong in closer proximity to the heading "Unlawful Interference with Economic Relations".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Paragraphs 119 - 127 are relevant to a cause of action and are not, in my view, doomed to failure. The reader can do a mental cut-and-paste to put them where they belong in the amended statement of claim. They need not be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Paragraphs 120 - 124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Paragraphs 120 - 124 allege that at certain times the GTBA was eligible for top-up payments. These are the same top-up funds referenced earlier in the amended statement of claim paras. 25 - 32, but here they are articulated in somewhat closer proximity to the claims relating to interference with economic interests (these are only 57 paras. instead of 152 paras. removed from that subject).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question remains whether the top-up fund is relevant to the plaintiff's claims. I think it may be relevant because the economic well being of the GTBA has some bearing on the plaintiff's financial survival. The placement of these paragraphs in the amended statement of claim is problematic. I do not understand how they belong in a section of the amended statement of claim headed "Duty of Care in the Exercise of Discretion". That said, I am minded that the plaintiff is not obliged to produce a perfect amended statement of claim. The allegations in paras. 120 - 124 may turn out to be relevant to the claim, and while they should have been more logically placed, their present place does not make them unintelligible or excessively confusing. They need not be struck from the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Paragraph 130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defendants say that para. 130 must be struck from the amended statement of claim because it does not describe a material fact. Paragraph 130 alleges that the GTBA complied with the government's requirements concerning the contract between the plaintiff and the GTBA. That allegation is not critical to the plaintiff's claim in the sense that it could be non-suited if it did not prove the allegation at trial. The allegation does, however, provide some potentially useful detail concerning the relationship between the GTBA and the government. The paragraph need not be struck from the amended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Paragraph 133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HMTQ's complaint about para. 133 and its ilk elsewhere in the amended statement of claim (paras. 138, 144, 145, 147, and 148) is that it pleads a conclusion of law without setting out the material facts supporting that conclusion, and that is contrary to Rule 19(9.1).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Paragraph 133 simply alleges that there was no enactment to authorize the government to change the bingo regime in September 2001. This pleading is not, in my view, a conclusion of law. It is an allegation of absence of law - an issue that can presumably be determined by reference to the legislative record. My view might be different if para. 133 alleged that there was legislative authority but that authority was unconstitutional. Asserting unconstitutionality is a conclusion of law; asserting that there was no legislation at all is simply a statement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Paragraph 133 need not be struck from the amended statement of claim because it offends Rule 19(9.1).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Paragraphs 139 - 143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Paragraphs 139 - 143 must go, according to the BCLC, because they do not have to do with a claim advanced by the plaintiff. The plaintiff says that these paragraphs describe the standard of care to which the BCLC had to adhere when it implemented the government's gaming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It is fine for the plaintiff to argue that this is what the paragraphs are meant to say, but do they, in fact, say it? Paragraph 139 says:</w:t>
      </w:r>
      <w:r>
        <w:rPr>
          <w:rFonts w:ascii="arial" w:eastAsia="arial" w:hAnsi="arial" w:cs="arial"/>
          <w:sz w:val="20"/>
          <w:lang w:val="en-US" w:eastAsia="en-US" w:bidi="ar-SA"/>
        </w:rPr>
        <w:cr/>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November 20, 2001 the Defendant Government announced to charity associations, charity organizations and bingo service providers, including the Plaintiff BCG that the Defendant BCLC would assume responsibility for the conduct and management of commercial bingo halls on January 15, 2002. In its announcement, the Government represented that:</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BCLC "will contract with service providers to provide operational services";</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BCLC "will purchase and own all gaming equipment";</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"fair commission will be provided to service providers";</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BCLC "will establish new one-year interim service provider contracts for each hall. Subsequently, halls will move to a longer-term contracts";</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BCLC "will also establish the terms and conditions for service provider operations, including the commission rates authorized by Government";</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"existing contractual relationships will be honoured by" BCLC. "A contractual relationship is one based upon a written or verbal agreement . . . [BCLC] will deal with the individual circumstances of each contract at the time of transition"; and</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"final determination of a hall's viability will be assessed after one year of operation".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Note that para. 139 characterizes the government's communication as a representation. A representation might be relevant to an action for negligent misrepresentation, but this representation came after the plaintiff entered into the original contract, so it cannot be relevant to that transaction or this suit in that context.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Such a representation might be relevant in a contract claim if the representation amounted to a warranty or was incorporated into a contract. This representation was not, according to the plaintiff's own pleadings, relied on or incorporated into the contract the plaintiff made under protest with the BCLC in January 2002, so it could not be relevant to that transaction either.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There is nothing in para. 139 to suggest that it describes a standard of care. Neither is there anything in para. 139 to suggest that the plaintiff intended it to describe a set of parameters from which the government and the BCLC could not subsequently vary.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Once again, I am driven to consider this pleading on its own. Paragraph 139 might have some relevance to the claim for punitive damages if the evidence shows that the government said one thing but did another. Having found that it has some marginal relevance on the punitive damages claim, I will not order that paras. 139 - 143 be struck. It follows that the defendants need not be concerned to treat the allegations in those paragraphs in any context other than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Apparently, para. 139 does not say what the plaintiff wanted it to say. The question arises whether the plaintiff should be permitted to amend it. The defendants' applications to strike were couched in terms of striking with leave to amend where appropriate. I take the defendants' position to be that absent an order to strike no amendment should be permitted. For its part the plaintiff has not applied to amend paras. 139 - 143. I do not know what position the defendants would take were the plaintiff to actually apply to amend. They might oppose. Accordingly, I will not jump the gun by authorizing here an amendment no one has yet sought.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Paragraphs 147 &amp; 148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defendants note that para. 148 simply repeats a portion of para. 147. I agree. Paragraph 148 is entirely redundant and should be struck because it is unnecessary.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Paragraph 149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plaintiff acknowledges that para. 149 belongs in the expropriation section - its presence in this part of the amended statement of claim is anomalous. The plaintiff has leave to amend so as to move (but not change the content of) para. 149 accordingly.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Paragraph 150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Both defendants argue that para. 150 is not connected to a cause of action and that it is not, therefore, material to the claim. The plaintiff's response is that para. 150 describes the nature and scope of the plaintiff's loss due to the defendants'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 agree with the plaintiff here. Paragraph 150 provides some particulars of the loss the plaintiff's alleged loss. Although those particulars are repeated elsewhere in the amended statement of claim, their presence in para. 150 does not offend Rule 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Paragraphs 155 - 163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BCLC's position on paras. 155 - 163 is that they are prolix and convoluted. It says that the complaint the plaintiff is making in these paragraphs is straight forward: that the BCLC's duty of care vis-a-vis the plaintiff was to be mindful of the plaintiff's economic well being, and that its standard of care was to not contract with the plaintiff on terms contrary to the plaintiff's economic well being. The BCLC argues that complaint could be articulated in two or three clearly worded paragraphs, not the 18 paragraphs we see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From a purely stylistic point of view, I agree with the BCLC on these paragraphs. I do not think, however, that this pleading must be struck because it is clumsy. It is possible to winnow out of paras. 155 - 163 the propositions the plaintiff needs to prove to make its case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BCLC. These paragraphs need not be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Paragraphs 164 - 176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Again, BCLC leads the argument on these paragraphs. It says that paras. 164 - 176 front an attack on the government's policy to increase public revenue from gaming by reducing the share of gaming revenue going to service providers such as the plaintiff. BCLC says that no government policy concerning generation or allocation of revenue can be the subject of a civil suit. BCLC is, of course, quite right about that principle.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In my view paras. 164 - 176 are no less convoluted than their immediate predecessor's paras. 155 - 163. I do not read in them an attack on the government's policy to increase revenues. I think that these paragraphs describe a tort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that could, if the facts alleged were proven, result in an award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Moving on, BCLC says that if the plaintiff means by paras. 167 - 176 that the BCLC was negligent in implementing a policy to increase public revenues, then that claim is no different than the claim made by paras. 155 - 163.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 think that there may be a subtle difference between the two claims so that paras. 164 - 176 are not wholly redundant. The subtle difference is that the first claim has to do with changing with whom the plaintiff could contract (BCLC instead of GTBA), while the second claim has to do with changing the goal of the contract to increase one party's revenue at the expense of the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Paragraphs 164 - 176 could be a better read, but they are not so hopelessly made as to require their excision from the amended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Paragraphs 177 - 180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Paragraphs 177 - 180 are improper according to the Crown because they confuse tortuous economic interference language with language appropriate to unjust enrichment or expropriation. I can see nothing in particular wrong with paras. 177, 178, and 180.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Paragraph 179 is a different story. It reads:</w:t>
      </w:r>
      <w:r>
        <w:rPr>
          <w:rFonts w:ascii="arial" w:eastAsia="arial" w:hAnsi="arial" w:cs="arial"/>
          <w:sz w:val="20"/>
          <w:lang w:val="en-US" w:eastAsia="en-US" w:bidi="ar-SA"/>
        </w:rPr>
        <w:cr/>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alternative, such interference was unlawful since, if the Direction was a valid exercise of authority by the Defendant Government to delegate and authorize the Defendant BCLC to control and manage bingo gaming and to substitute itself as the party with whom the Plaintiff, BCG had to contract in order to continue as a management services provider or a facility provider, which is not admitted but is specifically denied, the fact is that the enactments relied upon by the Government in the exercise of authority and the issue of the Direction did not authorize without compensation the termination of BCG's contractual rights with the GTBA.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With the greatest of respect to the drafter, I cannot make out what para. 179 is getting at. Possibly the plaintiff was trying to say something like the government's failure to provide for compensation in its enactments rendered those enactments unlawful, and that the government's use of those enactments to injure the plaintiff's economic relations was therefore unlawful.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If that is what the paragraph is on about, it should clearly say so. Paragraph 179 is so oblique as to be unintelligible. It must be struck from the statement of claim, with leave to amend. Should the plaintiff choose to amend, I make a cautionary note: It is not enough to simply say that an enactment is "unlawful". If the pleading is intended to convey the proposition I postulate above, the pleading must state in the clearest of terms why a failure to provide for compensation renders the enactment null and void, or ultra vires, or unenforceable due to a Charter violation, or ineffective on the basis of a particular principle of statutory interpretation, and etc.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Paragraphs 200 - 205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defendants attack paras. 200 - 205 on the ground that the language used there is appropriate to a claim for unjust enrichment and not to a claim for expropriation without compensation. The defendants complain that these paragraphs do not give them adequate notice of what the plaintiff says was taken from it. The plaintiff maintains that on the whole these paragraphs adequately identify the government's action as a taking of its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Paragraph 200 alleges that the government's actions deprived it of its business and business goodwill. On a plain reading of the paragraph that is what the plaintiff says the government took from it. It is not my task here to analyse the relevant legislation to determine whether under its provisions there was such a taking. It is sufficient for the purposes of this application to find that the allegation, if true, could found a claim for expropriation. It does and the pleading need not be struck on the ground that it does not allege a cause of action known to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defendants are adamant that if there was a taking it was a taking of the GTBA's ability to contract for the purchase by it of bingo services and facilities, and if any party has a complaint about expropriation it would be the GTBA alone. They say that there was no taking of anything from the plaintiff. They seek to strike paras. 200 - 205 because on the face of the pleadings the plaintiff has not described a situation in which its property was taken by the government.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That argument should perhaps be the subject of a Rule 18A application at some point in the future, but the defendants cannot prevail on it in the present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That is not to say that the defendants shall have no success in their argument. Paragraph 200 says that taking was effected by the "Direction and all enactments designed to implement the government's policy". Paragraphs 201 and 203 repeat this allegation. In my view, this is far too vague an assertion to survive criticism under Rule 19(24). The government has hundreds if not thousands of documents in its legislative record. In any expropriation proceeding the plaintiff must specify by name precisely what legislative effort resulted in the taking. For that reason paras. 200, 201, and 203 must be struck from the amended statement of claim with leave to the plaintiff to amend by identifying precisely what "all enactments" it says effected the taking about which it complains. This comment applies equally to para. 179. The plaintiff must identify the enactment under attack in that paragraph by name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PARTICULARS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defendants' applications for particulars are adjourned generally pending such amendments as the plaintiff may choose to make pursuant to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Success on these applications was divided. Costs shall be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ROGERS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59" style="position:absolute;z-index:25186406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45"/>
          <w:headerReference w:type="default" r:id="rId246"/>
          <w:footerReference w:type="even" r:id="rId247"/>
          <w:footerReference w:type="default" r:id="rId248"/>
          <w:headerReference w:type="first" r:id="rId249"/>
          <w:footerReference w:type="first" r:id="rId25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51" w:history="1">
        <w:r>
          <w:rPr>
            <w:rFonts w:ascii="arial" w:eastAsia="arial" w:hAnsi="arial" w:cs="arial"/>
            <w:b/>
            <w:bCs/>
            <w:i/>
            <w:color w:val="0077CC"/>
            <w:kern w:val="32"/>
            <w:sz w:val="28"/>
            <w:szCs w:val="32"/>
            <w:u w:val="single"/>
            <w:shd w:val="clear" w:color="auto" w:fill="FFFFFF"/>
            <w:lang w:val="en-US" w:eastAsia="en-US" w:bidi="ar-SA"/>
          </w:rPr>
          <w:t>Chouinard v. O'Connor, [2011] B.C.J. No. 1397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A.H. Silverman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7 and 8,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February 8,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S067885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[2011] B.C.J. No. 1397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BCSC 902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CarswellBC 1909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204 A.C.W.S. (3d) 518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Joseph Esprit Chouinard, Plaintiff, and Thomas O'Connor, Rory McDade, Ray Guze, Chris Bryde, Scott MacDonald, Brent Wynn, the Surrey Stickmen Junior "A" Lacrosse Club, the British Columbia Lacrosse Association, the British Columbia Junior "A" Lacrosse League, Al Lang, John Does 2 and John Doe Company 1 and 2, Defendants, and Aviva Insurance Company of Canada, Third Party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60" style="position:absolute;z-index:2516654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45" w:name="Keywords_6"/>
      <w:bookmarkEnd w:id="45"/>
      <w:r>
        <w:rPr>
          <w:rFonts w:ascii="arial" w:eastAsia="arial" w:hAnsi="arial" w:cs="arial"/>
          <w:b/>
          <w:color w:val="000000"/>
          <w:sz w:val="20"/>
          <w:lang w:val="en-US" w:eastAsia="en-US" w:bidi="ar-SA"/>
        </w:rPr>
        <w:t xml:space="preserve">Civil litigation — Civil procedure — Pleadings — Amendment of — Statement of claim — Adding new cause of action — After expiry of limitation period — Prejudice — Motion by plaintiff to amend pleadings dismissed — Plaintiff suffered brain injury from assault committed during lacrosse game — Plaintiff commenced action against referees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and numerous other parties for battery, but did not realize until summary judgment motion in 2010 that pleadings did not allege or have factual foundation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claim against parties other than referees — Delay of more than three years beyond expiry of limitation period was due to counsel error of which plaintiff was aware — Delay caused prejudice to defendants due to unavailable witnesses, destruction of documents and focus on defence to torts pleaded.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46" w:name="Case Summary_6"/>
            <w:bookmarkEnd w:id="4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Motion by the plaintiff to amend his pleadings to incorporate a new cause of action and to incorporate the factual foundation for the new cause of action. In 2005, the plaintiff suffered a brain injury as a result of an assault committed on him during the course of a supervised lacrosse match. He commenced a claim against the two referees alleging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the factual foundation for it. In addition, he made allegations of the intentional tort of battery against the player who committed the assault, three coaches from that player's team and the team itself, the lacrosse association and league and the president and the commissioner of the league. After the hearing of a summary trial application in 2010, at which the judge determined that the pleadings did not disclose a sufficient factual basis to found the issue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player, his team and their coaches, and the lacrosse association, league and its president and commissioner, the plaintiff sought to amend his claim to plead and allege the tort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the factual foundation for it against those parties. Both the defendants and the third party, an insurer, opposed the proposed amendment.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47" w:name="Holdings of Court_6"/>
            <w:bookmarkEnd w:id="47"/>
            <w:r>
              <w:rPr>
                <w:rFonts w:ascii="arial" w:eastAsia="arial" w:hAnsi="arial" w:cs="arial"/>
                <w:color w:val="000000"/>
                <w:sz w:val="20"/>
                <w:lang w:val="en-US" w:eastAsia="en-US" w:bidi="ar-SA"/>
              </w:rPr>
              <w:t>HELD: Motion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delay of more than three years beyond the expiry of the limitation period was due to an error of counsel which was brought to the plaintiff's attention at least a year ago. The delay caused prejudice to the defendants, which outweighed any prejudice to the plaintiff in not allowing the amendments, as witnesses were out of the jurisdiction, documents had been destroyed and they had focused their defence on the torts which were present in the pleadings.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48" w:name="Legislation Cited_3"/>
      <w:bookmarkEnd w:id="4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61" style="position:absolute;z-index:2517166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Limitation Act, RSBC 1996, CHAPTER 266, s. 4(4)</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49" w:name="Counsel_6"/>
      <w:bookmarkEnd w:id="4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62" style="position:absolute;z-index:2517678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on the application to amend claim: M. Thomas.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Appearing for the Plaintiff on the appeal from Master Scarth: D.T. Brown &amp; E. Au.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McDade: R.B. McNeney.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MacDonald, Wynn, the Lacrosse Club, Association and League: A. Eged.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Lang: D.W. Darychuk.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Ray Guze: Appeared on his own behalf.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K. Bryde: Appeared on behalf of Chris Bryde.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Third Party: K.L. Prockiw.</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50" w:name="Judgment_6"/>
      <w:bookmarkEnd w:id="50"/>
      <w:r>
        <w:pict>
          <v:line id="_x0000_s1063" style="position:absolute;z-index:25181900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41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51" w:name="A.H. SILVERMAN J. (orally)"/>
            <w:bookmarkEnd w:id="51"/>
            <w:r>
              <w:rPr>
                <w:rFonts w:ascii="arial" w:eastAsia="arial" w:hAnsi="arial" w:cs="arial"/>
                <w:b/>
                <w:color w:val="000000"/>
                <w:sz w:val="30"/>
                <w:lang w:val="en-US" w:eastAsia="en-US" w:bidi="ar-SA"/>
              </w:rPr>
              <w:t>A.H. SILVERMAN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These are oral reasons. If the transcript is ordered, I reserve the right to edit. That process will not involve a change in the decision or a change in the reasoning.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applies to amend his pleadings to incorporate a new cause of action and to incorporate the factual foundation for the new cause of action. The defendants oppose, as does the third party. The battleground for this argument will be the legal concepts and principles that are traditionally considered where amendment applications are made. There is no dispute about what those principles are, only about how they should be applied in the circumstances of this case. There have been previous applications of various sorts in these proceedings where findings have been made which it is common ground bind me to a certain extent and in particular with respect to several findings that I will refer to during the course of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existing statement of claim alleges that the plaintiff was injured as the result of an assault committed on him during the course of a supervised lacrosse match. The named defendants, who I will refer to by category rather than name, include:</w:t>
      </w:r>
      <w:r>
        <w:rPr>
          <w:rFonts w:ascii="arial" w:eastAsia="arial" w:hAnsi="arial" w:cs="arial"/>
          <w:sz w:val="20"/>
          <w:lang w:val="en-US" w:eastAsia="en-US" w:bidi="ar-SA"/>
        </w:rPr>
        <w:cr/>
      </w:r>
    </w:p>
    <w:p>
      <w:pPr>
        <w:numPr>
          <w:numId w:val="10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player on the other team who allegedly committed the assault;</w:t>
      </w:r>
    </w:p>
    <w:p>
      <w:pPr>
        <w:numPr>
          <w:numId w:val="10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three coaches from the other team;</w:t>
      </w:r>
    </w:p>
    <w:p>
      <w:pPr>
        <w:numPr>
          <w:numId w:val="10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two referees;</w:t>
      </w:r>
    </w:p>
    <w:p>
      <w:pPr>
        <w:numPr>
          <w:numId w:val="10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other team itself;</w:t>
      </w:r>
    </w:p>
    <w:p>
      <w:pPr>
        <w:numPr>
          <w:numId w:val="10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allegedly relevant Lacrosse Association;</w:t>
      </w:r>
    </w:p>
    <w:p>
      <w:pPr>
        <w:numPr>
          <w:numId w:val="10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allegedly relevant Lacrosse League; and</w:t>
      </w:r>
    </w:p>
    <w:p>
      <w:pPr>
        <w:numPr>
          <w:numId w:val="10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president and commissioner of that League.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There is also a third party which is an insurance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Against the two referees, the tort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alleged as is the factual foundation for it. Against all of the other defendants, neither the tort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nor the factual foundation for it is alleged; what is alleged against them is the intentional tort of battery.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plaintiff now applies to amend the statement of claim to plead and allege against those other defendants the tort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the factual foundation for it. The two referees, who are not impacted by the application, take no position. The proposed amendments themselves are long and detailed. Argument by all parties proceeded on the basis that I did not have to consider the proposals on a line-by-line basis, and I have not done so. Rather, this application will stand or fall on the more general question of whether amendments will be allowed with respect to the tort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A partial chronology is necessary. The incident occurred June the 5th of 2005. On June the 5th of 2006, the Association was advised that the plaintiff intended to commence an action against the Association, the officials, the coaches and the person on the other team. In a time period around that date, there was correspondence to various parties from counsel for the plaintiff where there was no mention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any factual basis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July the 18th of 2006, an insurance company wrote to counsel for the plaintiff denying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plaintiff did not respond to that. On December the 6th of 2006, the writ and statement of claim were filed. On January the 15th of 2007, an appearance for certain defendants was entered. On June 1st of 2007, the pleadings were amended to substitute various of the personal defendants who are now included in the style of cause. In March of 2008, several of the defendants filed statements of defence. Several of the defendants were not served before the writ expired.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In January of 2010, at the latest, plaintiff's counsel became aware that the defendants were taking the position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not before the court by virtue of the stated pleadings. That awareness, being no later than January of 2010, is described in a subsequent finding of fact by one of my sister judges, which I will refer to later. On April the 9th of 2010, the writ which had not been served on all of the parties was renewed. I was the judge who sat on that application and made that order. There was six months within which to serve it. In May of 2010, one of the other defendants filed a statement of defence. In October of 2010, a third party notice with respect to the insurance company was filed. By November the 12th of 2010, there had been a trial date set. That date was set for March the 7th of 2011, that is, one month from now. On November the 12th of 2010, the plaintiff applied to adjourn that trial date before my sister Holmes. The defendants opposed that. The application to adjourn was denied. On November the 29th of 2010, plaintiff's counsel wrote to one of the defendants advising that there were allegations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that he should seek insurance coverage. There was an application to have pleadings struck brought by one of the defendants in December of 2010 which was dismissed by Master Scarth on the basis of her finding that there was a reasonable cause of action with respect to the intentional tort which was pled. As a result, she considered that it was not necessary for her to address the question of whether or not the pleadings disclosed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On December the 16th of 2010, Master Taylor ordered that various summary trial applications which the defendants intended to bring would go ahead on January the 13th and 14th of 2011. On December 23rd of 2010, there was another defence filed.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On January the 5th of 2011, particulars of general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form of a letter were provided by plaintiff's counsel to the defendants. On January the 13th and 14th, the dates which had been set for the summary trial applications, there were two applications made on two different bases before my sister Judge Fenlon to adjourn those summary trial applications. They took, I am told, as much as two days for those applications to adjourn to be heard.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In the course of determining that question, Judge Fenlon found it necessary to decide whether or not the pleadings disclosed a sufficient factual basis to found the issue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at trial and at summary trial applications, and she concluded that it did not. I consider myself bound by that finding of fact. Her reasons are regrettably not available yet; however, counsel are not in disagreement that she made that finding. As I referred to earlier, she also found a few days later that plaintiff's counsel had known for at least a year prior to January of 2011 that the defendants were taking the view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not in issue as a result of the state of the pleadings. On January the 17th, plaintiff's counsel, recognizing that there was a problem, self-reported to the Lawyers Insurance Fund. This application to amend was brought shortly thereafter. There is no suggestion of any sort of a delay in that regard, and it was brought on the advice of and argued by independent counsel. The March 7th trial date remains intact.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I turn to the law. The parties agree that this case is one where the proposed amendments plead a new cause of action. The defendants agree that that circumstance is not automatically fatal to the application to amend. This is because of s. 4(4)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and various cases which have considered it and related sections. In such cases, I am satisfied that the law indicates that prejudice to the defendants will be presumed; however, that presumption of prejudice is not conclusive to a determination of the application to amend and that all relevant factors must be considered in light of what is ultimately just and convenient: </w:t>
      </w:r>
      <w:r>
        <w:rPr>
          <w:rFonts w:ascii="arial" w:eastAsia="arial" w:hAnsi="arial" w:cs="arial"/>
          <w:i/>
          <w:color w:val="000000"/>
          <w:sz w:val="20"/>
          <w:lang w:val="en-US" w:eastAsia="en-US" w:bidi="ar-SA"/>
        </w:rPr>
        <w:t>G.A.D. v. British Columbia Children's Hospital</w:t>
      </w:r>
      <w:r>
        <w:rPr>
          <w:rFonts w:ascii="arial" w:eastAsia="arial" w:hAnsi="arial" w:cs="arial"/>
          <w:color w:val="000000"/>
          <w:sz w:val="20"/>
          <w:lang w:val="en-US" w:eastAsia="en-US" w:bidi="ar-SA"/>
        </w:rPr>
        <w:t xml:space="preserve">, </w:t>
      </w:r>
      <w:hyperlink r:id="rId252" w:history="1">
        <w:r>
          <w:rPr>
            <w:rFonts w:ascii="arial" w:eastAsia="arial" w:hAnsi="arial" w:cs="arial"/>
            <w:i/>
            <w:color w:val="0077CC"/>
            <w:sz w:val="20"/>
            <w:u w:val="single"/>
            <w:shd w:val="clear" w:color="auto" w:fill="FFFFFF"/>
            <w:lang w:val="en-US" w:eastAsia="en-US" w:bidi="ar-SA"/>
          </w:rPr>
          <w:t>2003 BCSC 443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factors to be considered in all amendment applications are applicable in this case as well. General principles are these:</w:t>
      </w:r>
      <w:r>
        <w:rPr>
          <w:rFonts w:ascii="arial" w:eastAsia="arial" w:hAnsi="arial" w:cs="arial"/>
          <w:sz w:val="20"/>
          <w:lang w:val="en-US" w:eastAsia="en-US" w:bidi="ar-SA"/>
        </w:rPr>
        <w:cr/>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amendments should be permitted as necessary to determine the real question and issues between the parties;</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party is not required to deduce evidence in support of a pleading before trial;</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an application to amend, the facts alleged are taken as established; and</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discretion is to be exercised judicially in accordance with the evidence adduced and the guidelines of the authorities.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It is clear that the discretion is not an unfettered one and must be exercised in accordance with the following guidelines, to which I am required to have regard:</w:t>
      </w:r>
      <w:r>
        <w:rPr>
          <w:rFonts w:ascii="arial" w:eastAsia="arial" w:hAnsi="arial" w:cs="arial"/>
          <w:sz w:val="20"/>
          <w:lang w:val="en-US" w:eastAsia="en-US" w:bidi="ar-SA"/>
        </w:rPr>
        <w:cr/>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of delay;</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reasons for the delay;</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degree of prejudice caused by the delay; and</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of the connection if any between the existing claims and the proposed new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I turn to a consideration of those various factors. First, the extent of the delay. The plaintiff argues as follows, that with the event occurring on June the 5th, 2005, and the writ being issued on December the 6th of 2006, the delay begins at the earliest at the time that the limitation period expires, which would be June the 5th of 2007. Add to that an additional year, the time within which a writ can be served, and at the earliest, the delay begins June the 5th of 2008, the plaintiff argues. </w:t>
      </w:r>
      <w:r>
        <w:rPr>
          <w:rFonts w:ascii="arial" w:eastAsia="arial" w:hAnsi="arial" w:cs="arial"/>
          <w:i/>
          <w:color w:val="000000"/>
          <w:sz w:val="20"/>
          <w:lang w:val="en-US" w:eastAsia="en-US" w:bidi="ar-SA"/>
        </w:rPr>
        <w:t>Amezcua v. Taylor</w:t>
      </w:r>
      <w:r>
        <w:rPr>
          <w:rFonts w:ascii="arial" w:eastAsia="arial" w:hAnsi="arial" w:cs="arial"/>
          <w:color w:val="000000"/>
          <w:sz w:val="20"/>
          <w:lang w:val="en-US" w:eastAsia="en-US" w:bidi="ar-SA"/>
        </w:rPr>
        <w:t xml:space="preserve">, </w:t>
      </w:r>
      <w:hyperlink r:id="rId253" w:history="1">
        <w:r>
          <w:rPr>
            <w:rFonts w:ascii="arial" w:eastAsia="arial" w:hAnsi="arial" w:cs="arial"/>
            <w:i/>
            <w:color w:val="0077CC"/>
            <w:sz w:val="20"/>
            <w:u w:val="single"/>
            <w:shd w:val="clear" w:color="auto" w:fill="FFFFFF"/>
            <w:lang w:val="en-US" w:eastAsia="en-US" w:bidi="ar-SA"/>
          </w:rPr>
          <w:t>2010 BCCA 128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 goes on to argue, however, that in this case the delay begins even later because, while counsel is unaware of any case which has considered the issue where a writ has expired or it has been renewed, the principles extended logically, the plaintiff argues, should extend the time period before which the delay begins to after what in this case is the six-month period, after that writ was renewed. Since it was renewed in April of 2010, the delay would begin six months after that, in other words, October the 9th, 2010, just a few months ago.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Having said that, the plaintiff concedes that even if it is the earlier period which must be considered (three years), that delay, while present, is nevertheless tempered by a number of factors which I have to take into account. Those include that there were, early on, full investigations conducted by the Lacrosse Association and by an independent adjustor on behalf of the Association, by the president and commissioner and by the RCMP. There is actually a video of the game, which means that in the plaintiff's view, memories of the witnesses become less important. There are numerous statements which the defendants have from numerous witnesses about the events. There is a large amount of material existing that the defendants have access to. In any event the move by the plaintiff to bring this application upon learning of Judge Fenlon's decision about the absence of a proper claim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virtually without delay and brought almost immediately after that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 argues that there is no prejudice from any documents which may have been destroyed. Any such destruction likely occurred prior to the expiration of the original three-year period. There is no evidence to suggest that they were destroyed at any time after that. The plaintiffs argue that the apparent death of a particular witness cannot be considered as prejudice because that person died apparently, again, before the limitation period expired. In addition, there is no evidence suggesting that that person might even have given any evidence which might have been helpful to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Finally, there are currently two witnesses who are out of the jurisdiction, and, again, the plaintiff argues that the evidence suggesting they are out of the jurisdiction is deficient in its form and that it is not at all clear that they would have any evidence to give which would help the defendants. Further, the evidence does not indicate that they are unable to return to assist any of the parties with respect to this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I turn to the second factor of the reasons for the delay, and it is simply this, that this is the lawyer's fault, not the plaintiff's fault. Counsel for the plaintiff believed that the pleadings properly set out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an issue. There is an affidavit to that effect from counsel, that he did not realize his error until Judge Fenlon's decision just a few weeks ago, and he relies on the principle that a party should not be blamed for counsel's mistakes. In </w:t>
      </w:r>
      <w:r>
        <w:rPr>
          <w:rFonts w:ascii="arial" w:eastAsia="arial" w:hAnsi="arial" w:cs="arial"/>
          <w:i/>
          <w:color w:val="000000"/>
          <w:sz w:val="20"/>
          <w:lang w:val="en-US" w:eastAsia="en-US" w:bidi="ar-SA"/>
        </w:rPr>
        <w:t>G.E.D.</w:t>
      </w:r>
      <w:r>
        <w:rPr>
          <w:rFonts w:ascii="arial" w:eastAsia="arial" w:hAnsi="arial" w:cs="arial"/>
          <w:color w:val="000000"/>
          <w:sz w:val="20"/>
          <w:lang w:val="en-US" w:eastAsia="en-US" w:bidi="ar-SA"/>
        </w:rPr>
        <w:t>, para. 44, I quote from the middle of the paragraph: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counsel's view that the claim as originally drafted encompassed this cause of action is incorrect, in my view. However, an honest error on the part of the solicitor has been accepted as a reasonable explanation for delay in seeking to amend to allege a new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And </w:t>
      </w:r>
      <w:r>
        <w:rPr>
          <w:rFonts w:ascii="arial" w:eastAsia="arial" w:hAnsi="arial" w:cs="arial"/>
          <w:i/>
          <w:color w:val="000000"/>
          <w:sz w:val="20"/>
          <w:lang w:val="en-US" w:eastAsia="en-US" w:bidi="ar-SA"/>
        </w:rPr>
        <w:t>Moldovan v. ICBC</w:t>
      </w:r>
      <w:r>
        <w:rPr>
          <w:rFonts w:ascii="arial" w:eastAsia="arial" w:hAnsi="arial" w:cs="arial"/>
          <w:color w:val="000000"/>
          <w:sz w:val="20"/>
          <w:lang w:val="en-US" w:eastAsia="en-US" w:bidi="ar-SA"/>
        </w:rPr>
        <w:t xml:space="preserve">, </w:t>
      </w:r>
      <w:hyperlink r:id="rId254" w:history="1">
        <w:r>
          <w:rPr>
            <w:rFonts w:ascii="arial" w:eastAsia="arial" w:hAnsi="arial" w:cs="arial"/>
            <w:i/>
            <w:color w:val="0077CC"/>
            <w:sz w:val="20"/>
            <w:u w:val="single"/>
            <w:shd w:val="clear" w:color="auto" w:fill="FFFFFF"/>
            <w:lang w:val="en-US" w:eastAsia="en-US" w:bidi="ar-SA"/>
          </w:rPr>
          <w:t>2009 BCSC 1551</w:t>
        </w:r>
      </w:hyperlink>
      <w:r>
        <w:rPr>
          <w:rFonts w:ascii="arial" w:eastAsia="arial" w:hAnsi="arial" w:cs="arial"/>
          <w:color w:val="000000"/>
          <w:sz w:val="20"/>
          <w:lang w:val="en-US" w:eastAsia="en-US" w:bidi="ar-SA"/>
        </w:rPr>
        <w:t>, at para. 21: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Inadvertence on the part of the lawyer has been accepted as a reasonable explanation for delay.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Case given and citation given, para. 22: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 honest error in judgment has also been accepted as a reasonable explanation for delay.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Case and citation given. And one more, </w:t>
      </w:r>
      <w:r>
        <w:rPr>
          <w:rFonts w:ascii="arial" w:eastAsia="arial" w:hAnsi="arial" w:cs="arial"/>
          <w:i/>
          <w:color w:val="000000"/>
          <w:sz w:val="20"/>
          <w:lang w:val="en-US" w:eastAsia="en-US" w:bidi="ar-SA"/>
        </w:rPr>
        <w:t>Weinlich v. Campbell</w:t>
      </w:r>
      <w:r>
        <w:rPr>
          <w:rFonts w:ascii="arial" w:eastAsia="arial" w:hAnsi="arial" w:cs="arial"/>
          <w:color w:val="000000"/>
          <w:sz w:val="20"/>
          <w:lang w:val="en-US" w:eastAsia="en-US" w:bidi="ar-SA"/>
        </w:rPr>
        <w:t xml:space="preserve">, </w:t>
      </w:r>
      <w:hyperlink r:id="rId255" w:history="1">
        <w:r>
          <w:rPr>
            <w:rFonts w:ascii="arial" w:eastAsia="arial" w:hAnsi="arial" w:cs="arial"/>
            <w:i/>
            <w:color w:val="0077CC"/>
            <w:sz w:val="20"/>
            <w:u w:val="single"/>
            <w:shd w:val="clear" w:color="auto" w:fill="FFFFFF"/>
            <w:lang w:val="en-US" w:eastAsia="en-US" w:bidi="ar-SA"/>
          </w:rPr>
          <w:t>2005 BCSC 1865</w:t>
        </w:r>
      </w:hyperlink>
      <w:r>
        <w:rPr>
          <w:rFonts w:ascii="arial" w:eastAsia="arial" w:hAnsi="arial" w:cs="arial"/>
          <w:color w:val="000000"/>
          <w:sz w:val="20"/>
          <w:lang w:val="en-US" w:eastAsia="en-US" w:bidi="ar-SA"/>
        </w:rPr>
        <w:t>, at para. 53: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person who turns his or her mind to an issue should not be worse off than one who misses that issue altogether.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I turn to the question of prejudice, and the plaintiff argues as follows, that if the amendments are not permitted, the plaintiff will lose the opportunity to pursue the defendants in the real issue between these parties, that 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 brain injury is what is alleged here; the plaintiff should be permitted to pursue his claim. The plaintiff notes correctly that the defendants have the onus of proving actual prejudice; that means prejudice associated with the delay itself. The fact that the defendants may be affected negatively by an amendment does not automatically mean that he or she is prejudiced; the prejudice must affect the party's ability to respond to the amended claim or is not an appropriate consideration of prejudice in this context. Consequently, such matters as stress, expense, cost of litigation, the fact that the case may, if the amendments are allowed, be made more strong against the opposing party; all of those are not proper considerations for prejudice. So the plaintiff argues.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And finally, the connection to the action. The plaintiff argues that this is the same incident whether you call it battery, assault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there is no surprise here whatsoever; there is a videotape of it; everybody has been talking about the same thing since the beginning. The same investigative materials are involved, and the connection between the existing action and the proposed amendments is therefore extraordinarily close. Considering all of those and balancing them in the context of what is ultimately just and convenient, the plaintiff argues that this application should be allowed. To not allow it would not be just and convenient in the sense that it would not allow for the determination of the real issue which is at stake between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 am satisfied on a consideration and balancing of all of the foregoing that the plaintiff's application should not be allowed, and I come to that conclusion for the following reasons. First, the issue of delay. I refer to the same time-line that I have already referred to. I reject the argument that the period of delay should begin after the writ was renewed plus an additional six months. Rather, in my view it should begin three years after the incident in the traditional sense. It may well be that in some circumstances the writ renewal and expiry period would be the appropriate period, but in this particular case, that order was entirely a concession to the plaintiff so that the case could continue, and the defendants were utterly blameless in the necessity for that to be brought on. At the time of that application, it was not clear to me that the defendants would suffer prejudice as a result; however, for the reasons I will mention later when I discuss prejudice, I am satisfied that they have now suffered prejudice, and it started after the original three-year period which passed. Therefore, the delay begins in this case on June the 5th of 2008, that is, three years after the incident and roughly two-and-a-half years ago. Now, this of course is not determinative one way or the other, and in my view it is merely a rather neutral factor.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 turn to the reasons for the delay. The defendants argue that this application is really just a ruse to adjourn the pending trial date of March 7th, the trial date for which an adjournment application has previously been turned down. I reject that notion. I am satisfied that Mr. Maryn was not dealing with this case with the level of competence that one expects from counsel. I certainly do not make that comment about him generally; I only make it about this particular case. However, I am also satisfied that the application before me is not motivated by any ruse; rather, it is motivated by Judge Fenlon's decision of a few weeks ago about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the determination that the plaintiff's lawyer had made an error about believing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had properly been pleaded. I accept the notion that this particular finding, that this is counsel error, is certainly not fatal to the plaintiff's claim; in fact jurisprudence is to the contrary. On the other hand, I am also satisfied that it cannot be totally disregarded in my ultimate consideration of what is just and convenient. Judge Fenlon found, again just a few weeks ago, that counsel was aware of the defendants' position at least a year ago, and in that regard, I find the words of Mr. Justice Lambert to be apt in the case of </w:t>
      </w:r>
      <w:r>
        <w:rPr>
          <w:rFonts w:ascii="arial" w:eastAsia="arial" w:hAnsi="arial" w:cs="arial"/>
          <w:i/>
          <w:color w:val="000000"/>
          <w:sz w:val="20"/>
          <w:lang w:val="en-US" w:eastAsia="en-US" w:bidi="ar-SA"/>
        </w:rPr>
        <w:t>McIntosh v. Nilsson Brothers</w:t>
      </w:r>
      <w:r>
        <w:rPr>
          <w:rFonts w:ascii="arial" w:eastAsia="arial" w:hAnsi="arial" w:cs="arial"/>
          <w:color w:val="000000"/>
          <w:sz w:val="20"/>
          <w:lang w:val="en-US" w:eastAsia="en-US" w:bidi="ar-SA"/>
        </w:rPr>
        <w:t xml:space="preserve">, </w:t>
      </w:r>
      <w:hyperlink r:id="rId256" w:history="1">
        <w:r>
          <w:rPr>
            <w:rFonts w:ascii="arial" w:eastAsia="arial" w:hAnsi="arial" w:cs="arial"/>
            <w:i/>
            <w:color w:val="0077CC"/>
            <w:sz w:val="20"/>
            <w:u w:val="single"/>
            <w:shd w:val="clear" w:color="auto" w:fill="FFFFFF"/>
            <w:lang w:val="en-US" w:eastAsia="en-US" w:bidi="ar-SA"/>
          </w:rPr>
          <w:t>2005 BCCA 297</w:t>
        </w:r>
      </w:hyperlink>
      <w:r>
        <w:rPr>
          <w:rFonts w:ascii="arial" w:eastAsia="arial" w:hAnsi="arial" w:cs="arial"/>
          <w:color w:val="000000"/>
          <w:sz w:val="20"/>
          <w:lang w:val="en-US" w:eastAsia="en-US" w:bidi="ar-SA"/>
        </w:rPr>
        <w:t>, and I quote from paragraph 10 starting in the middle: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important not to be diverted from the conduct of the parties to the conduct of their lawyers except to the extent that the conduct of the lawyers may be at the heart of real prejudice to the other side. In this case the plaintiffs were neither the cause of the failure to add Bavaria in the first instance nor the cause of the delays. They should not be prejudiced by conduct on the part of their lawyer unless that conduct was the cause of the irremediable prejudice to the other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my view, those words are apt, and the lawyer's conduct in the sense of his serious, serious error is at the heart of the prejudice. However, once again, given the clear dictates from jurisprudence that errors on the part of the lawyers are not fatal to such applications, I consider this to be, at best, a neutral factor.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This case turns rather on the issue of prejudice to the defendants, which I am satisfied is present to a much greater extent than any prejudice to the plaintiffs, by not having the application allowed. I am satisfied that there are two witnesses who are out of the jurisdiction who might assist the defendants. I am satisfied that there were documents destroyed which were unimportant and utterly unimportant on the question of the intentional tort but which may well be important on the question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and I refer to League policy, League rules, League suspensions, how previous matters of that sort were dealt with. It is true it is not clear when they were destroyed, but that is not the fault of the defendant. They were destroyed in the ordinary course. The evidence is that they are kept for several years and then destroyed regularly.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real prejudice arises because the defendants in this case have spent several years focusing on defending the intentional tort in the existing pleadings. Now, with the trial two months away, they are going to have turn their ship 180 degrees, put their minds to defending what ultimately is an entirely different tort and it will be an entirely different trial with a great deal more and different issues and evidence. It will be impossible, in my view, for the defendants to be prepared for a March 7th trial. It is inevitable that, if these amendments were permitted, either the defendants would not be prepared for trial or they will be cornered into the position of having to ask for an adjournment, an adjournment which the plaintiff kindly acknowledges would not be opposed; however, the difficulty is the plaintiff has already applied to adjourn just a few months ago. The defendants did oppose successfully. They want to go to trial. This is prejudice, in my 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connection to the action is the last category. There is no question that it is the same incident, but surely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engages much more than that in terms of the conduct of the association, the League, the policies, the procedures, the training that goes into not only this team and this incident, but all manner of similar kinds of things that the League and the Association deal with. Connected, yes. Close to being the same in terms of what will happen at trial, the answer is no. Considering all of the foregoing, then, and balancing the various considerations and the overriding consideration of what is just and convenient, this application is dismissed. That is the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A.H. SILVERMAN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64" style="position:absolute;z-index:25186508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57"/>
          <w:headerReference w:type="default" r:id="rId258"/>
          <w:footerReference w:type="even" r:id="rId259"/>
          <w:footerReference w:type="default" r:id="rId260"/>
          <w:headerReference w:type="first" r:id="rId261"/>
          <w:footerReference w:type="first" r:id="rId26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63" w:history="1">
        <w:r>
          <w:rPr>
            <w:rFonts w:ascii="arial" w:eastAsia="arial" w:hAnsi="arial" w:cs="arial"/>
            <w:b/>
            <w:bCs/>
            <w:i/>
            <w:color w:val="0077CC"/>
            <w:kern w:val="32"/>
            <w:sz w:val="28"/>
            <w:szCs w:val="32"/>
            <w:u w:val="single"/>
            <w:shd w:val="clear" w:color="auto" w:fill="FFFFFF"/>
            <w:lang w:val="en-US" w:eastAsia="en-US" w:bidi="ar-SA"/>
          </w:rPr>
          <w:t>Cojocaru (Guardian ad litem of) v. British Columbia Women's Hospital and Health Center, [2009] B.C.J. No. 731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J.R. Groves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10-14, 17-21, 24-28, October 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9-12, 22, and December 3, 2007; January 9-11,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written submissions, November 10, 2008 (Plaintiffs),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November 24, 2008 (Defendants); reply submissions,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December 5, 2008 (Plaintiffs).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9,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S032599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[2009] B.C.J. No. 731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BCSC 494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65 C.C.L.T. (3d) 75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177 A.C.W.S. (3d) 519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CarswellBC 917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Eric Victor Cojocaru, an infant by his Guardian Ad Litem, Monica Cojocaru, and the said Monica Cojocaru, Plaintiffs, and British Columbia Women's Hospital and Health Center, Dr. Dale R. Steele, Dr. Jeremy A. Green, Dr. Jenise Yue, Dr. Jennifer Muir, Dr. Fawaz Edris, C. Scott, C. Wong, F. Bellini, M. Voerwold, K. Gleeson, C. MacQueen, Jane Doe and John Doe,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(368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65" style="position:absolute;z-index:2516664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52" w:name="Keywords_7"/>
      <w:bookmarkEnd w:id="52"/>
      <w:r>
        <w:rPr>
          <w:rFonts w:ascii="arial" w:eastAsia="arial" w:hAnsi="arial" w:cs="arial"/>
          <w:b/>
          <w:color w:val="000000"/>
          <w:sz w:val="20"/>
          <w:lang w:val="en-US" w:eastAsia="en-US" w:bidi="ar-SA"/>
        </w:rPr>
        <w:t xml:space="preserve">Health law — Health care professionals — Liability (malpractice)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Failure to inform — Failure to provide care — Action by plaintiff for damages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by medical staff allowed — Plaintiff alleged that lack of proper care resulted in ruptured uterus and son born with brain damage — But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of defendants, plaintiff's son would not have suffered his brain injury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of defendants caused and contributed to the injuries — Doctors were negligent in failing to obtain informed consent to a vaginal birth after caesarean section or to a prostaglandin induction — Doctors were negligent in failing to attend to plaintiff and in proceeding with induction when faced with an unknown or uncertain orientation of uterine scar — Nurse was negligent in failing to communicate the status of patient and a failure to properly supervise the plaintiff.</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53" w:name="Case Summary_7"/>
            <w:bookmarkEnd w:id="5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plaintiff for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medical staff. The plaintiff was admitted to hospital ten days after her due date. The plaintiff's uterus ruptured and her son suffered acute asphyxial insult and was born with significant brain damage. The plaintiff alleged that she did not receive proper care leading up to and during her stay at BC Women's Hospital. The plaintiff alleged that she was not properly informed of the risks of the procedures performed by the medical staff and was not given the information necessary in order to have the child by caesarean as she needed. The plaintiff had a previous child by caesarean due to a difficult delivery and was not a good candidate for vaginal delivery.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54" w:name="Holdings of Court_7"/>
            <w:bookmarkEnd w:id="54"/>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Dr. Yue did not obtain the plaintiff's informed consent to a vaginal birth after caesarean section or to a prostaglandin induction. The evidence established that the plaintiff should have been advised of the potential increased risk associated with the use of prostaglandins. Dr. Yue failed in her obligation to communicate those risks. No reasonable person in the plaintiff's circumstances would have opted for the procedures performed. Dr. Yue was negligent in recommending vaginal birth as a delivery option where she failed to properly verify the orientation of the previous caesarean scar. In doing so, she breached the standard of care expected of her. The care provided by Dr. Edris and Dr. Steele fell below the standard of care expected of physicians. Dr. Edris breached his duty of care and the standard of care expected of him when he proceeded with an induction when faced with an unknown or uncertain orientation of the uterine scar. Dr. Steele breached his duty of care and the standard of care expected of him when he failed to attend to a high risk patient in his care. Nurse Bellini was negligent in the lack of care that she provided to the plaintiff. There was a clear failure on the part of Nurse Bellini to communicate the status of her patient and a failure to properly supervise the plaintiff.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defendants, the plaintiff's son would have been delivered by repeat caesarean section without induction, or he would have been delivered by emergency caesarean section. In either case, he would not have suffered his brain injury.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defendants caused and contributed to the injuries suffered by the plaintiff and her son. The plaintiff was entitled to and was awarded damages.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55" w:name="Counsel_7"/>
      <w:bookmarkEnd w:id="5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66" style="position:absolute;z-index:2517176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P.T. McGivern, D.A. Shugarman, and A.E. Howell.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Physicians: P.M. Willcock and M.K. Gill.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Hospital: C. Woods, Q.C. and A. Howden-Duke.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56" w:name="Judgment_7"/>
      <w:bookmarkEnd w:id="56"/>
      <w:r>
        <w:pict>
          <v:line id="_x0000_s1067" style="position:absolute;z-index:25176883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THE CONSENT ISSUES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Law - Informed Consent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Dr. Yue - Consent to Prostaglandin Induction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Dr. Yue - Consent to VBAC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Causation - The Law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Causation -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THE MALPRACTICE ISSUES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Duty and Standard of Care - The Law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Claims Against Dr. Yue - Malpractice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Claims Against Dr. Edris &amp; Dr. Steele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Claim against the Nursing Staff - Nurse MacQueen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Claims against the Nursing Staff - Nurse Bellini and Nurse Voerwold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Causation - The Law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Causation -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DOES THE LAW BAR A CLAIM TO DAMAGE DONE WHILE ERIC WAS A FETUS?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Nature of the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NON-PECUNIARY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Eric Cojocaru</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Monica Cojocaru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PECUNIARY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Future Income Loss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Loss of Interdependent Relationship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Future Cost of Care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Law</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u w:val="single"/>
          <w:lang w:val="en-US" w:eastAsia="en-US" w:bidi="ar-SA"/>
        </w:rPr>
        <w:t>Care Analysis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u w:val="single"/>
          <w:lang w:val="en-US" w:eastAsia="en-US" w:bidi="ar-SA"/>
        </w:rPr>
        <w:t>In Trust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QUANTUM</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21"/>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57" w:name="J.R. GROVES J."/>
            <w:bookmarkEnd w:id="57"/>
            <w:r>
              <w:rPr>
                <w:rFonts w:ascii="arial" w:eastAsia="arial" w:hAnsi="arial" w:cs="arial"/>
                <w:b/>
                <w:color w:val="000000"/>
                <w:sz w:val="30"/>
                <w:lang w:val="en-US" w:eastAsia="en-US" w:bidi="ar-SA"/>
              </w:rPr>
              <w:t>J.R. GROVES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Monica Cojocaru, her husband Marcel Cojocaru and their son Mark, born in 1992, arrived in Canada in December 2000, hoping to start a new and better life here. Mr. and Ms. Cojocaru were Romanian citizens immigrating to Canada. They chose Vancouver specifically because Ms. Cojocaru's brother and family had immigrated here in previous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Monica Cojocaru had a difficult birth with Mark and required a caesarean section for delivery. As a result of Mark being born with a cleft palate, Ms. Cojocaru struggled with his care and became a very protective and concerned mother.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Ms. Cojocaru did not believe that she would be able to have another child, after Mark's birth. Fortunately for her, just prior to moving to Canada, in the fall of 2000, she received the surprising news that she was again pregnant. Although excited about the prospect of having another child to complete her family, she was cautious and concerned. She made efforts in Romania to have the best possible care for the birth of her new child. She anticipated giving birth in Romania, again by caesarean 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immigration to Canada came on suddenly, although it had been requested previously and the move to Canada during the pregnancy, although not ideal, happened. Upon arrival in Canada, Monica Cojocaru met Natalie Geller. Ms. Geller spoke Romanian and a friendship developed. Ms. Geller and Ms. Cojocaru discussed the pregnancy and as Ms. Cojocaru had no Canadian doctor, Ms. Geller introduced her to her general practitioner, who then referred Ms. Cojocaru to Dr. Jenise Yue, an obstetrician.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Ms. Cojocaru was ten days overdue for her birth when she was admitted to British Columbia Women's Hospital ("BC Women's Hospital") on May 21, 2001. This was a day on the May long weekend. Additionally, BC Women's Hospital, and other hospitals in British Columbia, were under job action by the Hospital Employees Union ("HEU").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When Ms. Cojocaru was admitted to the hospital, she was assessed by an admitting nurse, C. MacQueen, and she was given an induction by a Dr. Fawaz Edris, then a resident of the hospital. She was to be supervised in the hospital by Dr. Dale R. Steele, who was the obstetrician on rotation that day for Dr. Yue.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the latter part of her labour, Ms. Cojocaru was to be attended to by Nurse M. Voerwold and Nurse F. Bellini.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Tragically, Ms. Cojocaru did not receive the care she should have leading up to and during her stay at BC Women's Hospital on May 21, 2001. While in a situation of being virtually unsupervised, although a high risk patient, her uterus ruptured and her son Eric Cojocaru suffered acute asphyxial insult. As a result, Eric was born that day with significant brain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 have concluded that Dr. Jenise Yue did not obtain Ms. Cojocaru's informed consent to a vaginal birth after caesarean section ("VBAC") or to a prostaglandin induction. Dr. Yue also fell below the standard expected of her in recommending VBAC.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 have concluded that the care provided during her hospitalization by Dr. F. Edris and Dr. Steele falls below the standard of care expected of physicians. Each of the three named doctors were negligent and are liable for damages to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Additionally, I have concluded that Nurse F. Bellini was negligent in the lack of care that she provided to Ms. Cojocaru and she is also liable for damages suffered by Ms. Cojocaru and Eric Cojocaru.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claims against Dr. Muir, C. Scott, C. Wong, and K. Gleeson were not dealt with at trial. The claims against Nurse C. MacQueen and Nurse M. Voerwold are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There are a number of issues to be determined in this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 As against Dr. Yue:</w:t>
      </w:r>
    </w:p>
    <w:p>
      <w:pPr>
        <w:numPr>
          <w:numId w:val="10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plaintiff provide an informed consent to having a prostaglandin induction;</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plaintiff provide an informed consent to having a VBAC delivery;</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Dr. Yue fall below the standard expected of her in recommending VBAC as an option available to Ms. Cojocaru, given the uncertainties associated with the orientation of the scar from the 1992 caesarean section?</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 As against Dr. Edris: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Dr. Edris fall below the standard expected of him when he proceeded with the prostaglandin induction in the face of an unknown uterine incision orientation?</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 As against Dr. Steele:</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Dr. Steele fall below the standard expected of him in:</w:t>
      </w:r>
    </w:p>
    <w:p>
      <w:pPr>
        <w:numPr>
          <w:numId w:val="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Authorizing Dr. Edris to proceed with the induction in the face of an unknown uterine scar orientation;</w:t>
      </w:r>
    </w:p>
    <w:p>
      <w:pPr>
        <w:numPr>
          <w:numId w:val="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attend upon Ms. Cojocaru generally, and specifically when it was reported to him that she was very distressed with her contractions and was having frequent contractions (six in ten minutes);</w:t>
      </w:r>
    </w:p>
    <w:p>
      <w:pPr>
        <w:numPr>
          <w:numId w:val="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remain in the hospital and to be available to respond to any emergency given that he was the on-call physician responsible for providing emergency services?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4. As against nursing staff:</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Nurse C. MacQueen fall below the standard expected of her in failing to notify the attending physician Dr. Edris of the unknown orientation of the uterine scar and in failing to communicate to the attending physician Ms. Cojocaru's request for a repeat caesarean section;</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Nurse M. Voerwold and or Nurse F. Bellini fall below the standard expected of her them in:</w:t>
      </w:r>
    </w:p>
    <w:p>
      <w:pPr>
        <w:numPr>
          <w:numId w:val="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properly monitor Ms. Cojocaru during her labour;</w:t>
      </w:r>
    </w:p>
    <w:p>
      <w:pPr>
        <w:numPr>
          <w:numId w:val="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communicate the concerns of the patient and the patient's family and to investigate the repeated requests for a repeat caesarean section; and</w:t>
      </w:r>
    </w:p>
    <w:p>
      <w:pPr>
        <w:numPr>
          <w:numId w:val="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notice and report unusual signs potentially indicative of uterine rupture dehiscence?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5. With respect to all the defendants - Causation:</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Did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defendants cause or contribute to the injuries suffered by the plaintiffs?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6. Damages:</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amount should be awarded to the infant plaintiff (Eric) for non-pecuniary damages;</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amount should be awarded to Ms. Cojocaru for non-pecuniary damages;</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amount should be awarded to the infant plaintiff for lost earning capacity;</w:t>
      </w:r>
    </w:p>
    <w:p>
      <w:pPr>
        <w:numPr>
          <w:numId w:val="1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amount should be awarded to the infant plaintiff for loss of interdependent relationship;</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amount should be awarded to the infant plaintiff for future cost of care; and</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amount should be awarded to Ms. Cojocaru under her "in trust"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Monica Cojocaru was born on August 5, 1968 in Romania. She met her husband Marcel at University, and they were married in Romania. Mark, their first son, was born in Romania, by way of caesarean section, on November 19, 1992.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caesarean section was carried out by Dr. Clepce, a Romanian obstetrician. He performed a caesarean section because "the birth didn't progress, and the situation that I was facing was called, in medical terms, fascia metrosacral [sic] presentation of the baby". As Mr. Cojocaru explained it, they were advised that the baby's head was not in the right position and so a caesarean section had to be performed.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During the delivery of Mark, Ms. Cojocaru overheard the medical staff speaking about how Mark was delivered and, specifically, how the cord was wrapped around his neck. She overheard one of the team remark to another words to the effect that "It's just as well that they delivered him by caesarean section as the cord was around the neck". This is confirmed in the operative report from Dr. Clepce.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caesarean section was uneventful, and Ms. Cojocaru recovered from it without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Following her delivery of Mark, Ms. Cojocaru was advised by Dr. Clepce that her next delivery should be by way of repeat caesarean section. This was for a number of reasons, including the fact that her chances of having another baby had already been diminished because of the removal of her ovary in 1991, and because of the risks associated with the trial of labour following a prior caesarean 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light of this advice, and in keeping with the understanding which she had developed while growing up in Romania ("once a caesarean, always a caesarean"), Ms. Cojocaru was committed to having a repeat caesarean section for the birth of her second son before coming to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Mark Cojocaru was born with a cleft palate, a "malformation" which caused a great deal of stress and anxiety for not only Mr. and Ms. Cojocaru, but also for their respective families.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Romania, at that time, the existence of physical disabilities of any sort was a matter of significant shame. Children with disabilities were abandoned or hidden away. Their very existence was kept a secret from friends. Family members were sometimes prevented from visiting. In the case of Mark Cojocaru, Ms. Cojocaru was visited in the hospital by a physician asking her to sign the papers required to, in effect, abandon her baby to an orphanage. She refused. She then struggled through a reluctant medical system to make arrangements to have Mark's "malformation" surgically corrected. When in hospital for this, she witnessed a room full of children from an orphanage who had been abandoned by their parents because of similar problems. In addition to Ms. Cojocaru's evidence, her brother and sister-in-law Mr. and Mrs. Sarban, testified of negative Romanian attitude towards those born with physical handicaps. The Sarbans and the Cojocarus testified to almost never seeing any disabled people in the community while they were growing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past difficulty with Mark, and her struggle to care for him in Romania, is reflected in the extreme anxiety expressed by Ms. Cojocaru to Dr. Yue during their first meeting. As a result of Ms. Cojocaru's anxiety, Dr. Yue organized a detailed ultrasound to look at the fetus in order to check for problems. She noted Ms. Cojocaru as a very concerned, anxious parent.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Ms. Cojocaru's due date was May 11,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Because she went past her due date by ten days Dr. Yue arranged for an induction of labour with prostaglandin gel. I have concluded Dr. Yue did not explain any of the risks associated with prostaglandin induction to Ms. Cojocaru, nor did she explain to her the uncertainties recognized by the obstetrical community with respect to the risks of the use of prostaglandin on VBAC patients.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and Ms. Cojocaru showed up at the hospital on May 21, 2001 and Ms. Cojocaru was admitted for the induction. She was assessed by Nurse MacQueen and by Dr. Edris, and the prostaglandin gel was inserted at 10:50 hours. Ms. Cojocaru was kept in hospital and monitored on the admissions floor until approximately noon, and then moved up to the antepartum ward. She stayed up there until approximately 16:30, and was then brought down to the labour and delivery unit. It is the events in the labour and delivery unit which are most seriously in dispute and which lie at the heart of the case against Nurse Bellini and Nurse Voerwold, Dr. Steele, and the hospital. The assessment by Dr. Edris is the basis for the claim against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CONSENT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There are two consent issues in this case. They relate to the care provided by Dr. Yue:</w:t>
      </w:r>
      <w:r>
        <w:rPr>
          <w:rFonts w:ascii="arial" w:eastAsia="arial" w:hAnsi="arial" w:cs="arial"/>
          <w:sz w:val="20"/>
          <w:lang w:val="en-US" w:eastAsia="en-US" w:bidi="ar-SA"/>
        </w:rPr>
        <w:cr/>
      </w:r>
    </w:p>
    <w:p>
      <w:pPr>
        <w:numPr>
          <w:numId w:val="1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Did Dr. Yue provide the plaintiff with the required information such that Ms. Cojocaru gave an informed consent to having a prostaglandin induction?</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Dr. Yue provide the plaintiff with the required information such that Ms. Cojocaru gave an informed consent to having a VBAC delivery.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 will review the law on informed consent and then the evidence with respect to those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Law - Informed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Prior to the judgment of the Supreme Court of Canada in </w:t>
      </w:r>
      <w:r>
        <w:rPr>
          <w:rFonts w:ascii="arial" w:eastAsia="arial" w:hAnsi="arial" w:cs="arial"/>
          <w:b/>
          <w:i/>
          <w:color w:val="000000"/>
          <w:sz w:val="20"/>
          <w:lang w:val="en-US" w:eastAsia="en-US" w:bidi="ar-SA"/>
        </w:rPr>
        <w:t>Hopp v. Lepp</w:t>
      </w:r>
      <w:r>
        <w:rPr>
          <w:rFonts w:ascii="arial" w:eastAsia="arial" w:hAnsi="arial" w:cs="arial"/>
          <w:color w:val="000000"/>
          <w:sz w:val="20"/>
          <w:lang w:val="en-US" w:eastAsia="en-US" w:bidi="ar-SA"/>
        </w:rPr>
        <w:t xml:space="preserve">, </w:t>
      </w:r>
      <w:hyperlink r:id="rId264" w:history="1">
        <w:r>
          <w:rPr>
            <w:rFonts w:ascii="arial" w:eastAsia="arial" w:hAnsi="arial" w:cs="arial"/>
            <w:i/>
            <w:color w:val="0077CC"/>
            <w:sz w:val="20"/>
            <w:u w:val="single"/>
            <w:shd w:val="clear" w:color="auto" w:fill="FFFFFF"/>
            <w:lang w:val="en-US" w:eastAsia="en-US" w:bidi="ar-SA"/>
          </w:rPr>
          <w:t>[1980] 2 S.C.R. 192</w:t>
        </w:r>
      </w:hyperlink>
      <w:r>
        <w:rPr>
          <w:rFonts w:ascii="arial" w:eastAsia="arial" w:hAnsi="arial" w:cs="arial"/>
          <w:color w:val="000000"/>
          <w:sz w:val="20"/>
          <w:lang w:val="en-US" w:eastAsia="en-US" w:bidi="ar-SA"/>
        </w:rPr>
        <w:t xml:space="preserve">, </w:t>
      </w:r>
      <w:hyperlink r:id="rId264" w:history="1">
        <w:r>
          <w:rPr>
            <w:rFonts w:ascii="arial" w:eastAsia="arial" w:hAnsi="arial" w:cs="arial"/>
            <w:i/>
            <w:color w:val="0077CC"/>
            <w:sz w:val="20"/>
            <w:u w:val="single"/>
            <w:shd w:val="clear" w:color="auto" w:fill="FFFFFF"/>
            <w:lang w:val="en-US" w:eastAsia="en-US" w:bidi="ar-SA"/>
          </w:rPr>
          <w:t>112 D.L.R. (3d) 67</w:t>
        </w:r>
      </w:hyperlink>
      <w:r>
        <w:rPr>
          <w:rFonts w:ascii="arial" w:eastAsia="arial" w:hAnsi="arial" w:cs="arial"/>
          <w:color w:val="000000"/>
          <w:sz w:val="20"/>
          <w:lang w:val="en-US" w:eastAsia="en-US" w:bidi="ar-SA"/>
        </w:rPr>
        <w:t xml:space="preserve">, the issue of the obligation on the part of a physician to disclose relevant medical information to patients was a matter of considerable debate among those involved in medical legal cases. This issue was whether the cases should fall under the umbrella of intentional torts (battery)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Additionally, there was a question regarding what the scope of the duty was. Finally, there was an issue of whether this was an area, like almost all other areas of medical malpractice law, where the courts should defer to the standards set by the medical community.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These issues were settled in </w:t>
      </w:r>
      <w:r>
        <w:rPr>
          <w:rFonts w:ascii="arial" w:eastAsia="arial" w:hAnsi="arial" w:cs="arial"/>
          <w:b/>
          <w:i/>
          <w:color w:val="000000"/>
          <w:sz w:val="20"/>
          <w:lang w:val="en-US" w:eastAsia="en-US" w:bidi="ar-SA"/>
        </w:rPr>
        <w:t>Hopp</w:t>
      </w:r>
      <w:r>
        <w:rPr>
          <w:rFonts w:ascii="arial" w:eastAsia="arial" w:hAnsi="arial" w:cs="arial"/>
          <w:color w:val="000000"/>
          <w:sz w:val="20"/>
          <w:lang w:val="en-US" w:eastAsia="en-US" w:bidi="ar-SA"/>
        </w:rPr>
        <w:t xml:space="preserve"> and in the cases that followed it: </w:t>
      </w:r>
      <w:r>
        <w:rPr>
          <w:rFonts w:ascii="arial" w:eastAsia="arial" w:hAnsi="arial" w:cs="arial"/>
          <w:b/>
          <w:i/>
          <w:color w:val="000000"/>
          <w:sz w:val="20"/>
          <w:lang w:val="en-US" w:eastAsia="en-US" w:bidi="ar-SA"/>
        </w:rPr>
        <w:t>Reibl v. Hughes</w:t>
      </w:r>
      <w:r>
        <w:rPr>
          <w:rFonts w:ascii="arial" w:eastAsia="arial" w:hAnsi="arial" w:cs="arial"/>
          <w:color w:val="000000"/>
          <w:sz w:val="20"/>
          <w:lang w:val="en-US" w:eastAsia="en-US" w:bidi="ar-SA"/>
        </w:rPr>
        <w:t xml:space="preserve"> </w:t>
      </w:r>
      <w:hyperlink r:id="rId265" w:history="1">
        <w:r>
          <w:rPr>
            <w:rFonts w:ascii="arial" w:eastAsia="arial" w:hAnsi="arial" w:cs="arial"/>
            <w:i/>
            <w:color w:val="0077CC"/>
            <w:sz w:val="20"/>
            <w:u w:val="single"/>
            <w:shd w:val="clear" w:color="auto" w:fill="FFFFFF"/>
            <w:lang w:val="en-US" w:eastAsia="en-US" w:bidi="ar-SA"/>
          </w:rPr>
          <w:t>[1980] 2 S.C.R. 880</w:t>
        </w:r>
      </w:hyperlink>
      <w:r>
        <w:rPr>
          <w:rFonts w:ascii="arial" w:eastAsia="arial" w:hAnsi="arial" w:cs="arial"/>
          <w:color w:val="000000"/>
          <w:sz w:val="20"/>
          <w:lang w:val="en-US" w:eastAsia="en-US" w:bidi="ar-SA"/>
        </w:rPr>
        <w:t xml:space="preserve">, </w:t>
      </w:r>
      <w:hyperlink r:id="rId265" w:history="1">
        <w:r>
          <w:rPr>
            <w:rFonts w:ascii="arial" w:eastAsia="arial" w:hAnsi="arial" w:cs="arial"/>
            <w:i/>
            <w:color w:val="0077CC"/>
            <w:sz w:val="20"/>
            <w:u w:val="single"/>
            <w:shd w:val="clear" w:color="auto" w:fill="FFFFFF"/>
            <w:lang w:val="en-US" w:eastAsia="en-US" w:bidi="ar-SA"/>
          </w:rPr>
          <w:t>114 D.L.R. (3d) 1</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Ciarlariello v. Schacter</w:t>
      </w:r>
      <w:r>
        <w:rPr>
          <w:rFonts w:ascii="arial" w:eastAsia="arial" w:hAnsi="arial" w:cs="arial"/>
          <w:color w:val="000000"/>
          <w:sz w:val="20"/>
          <w:lang w:val="en-US" w:eastAsia="en-US" w:bidi="ar-SA"/>
        </w:rPr>
        <w:t xml:space="preserve">, </w:t>
      </w:r>
      <w:hyperlink r:id="rId266" w:history="1">
        <w:r>
          <w:rPr>
            <w:rFonts w:ascii="arial" w:eastAsia="arial" w:hAnsi="arial" w:cs="arial"/>
            <w:i/>
            <w:color w:val="0077CC"/>
            <w:sz w:val="20"/>
            <w:u w:val="single"/>
            <w:shd w:val="clear" w:color="auto" w:fill="FFFFFF"/>
            <w:lang w:val="en-US" w:eastAsia="en-US" w:bidi="ar-SA"/>
          </w:rPr>
          <w:t>[1993] 2 S.C.R. 119</w:t>
        </w:r>
      </w:hyperlink>
      <w:r>
        <w:rPr>
          <w:rFonts w:ascii="arial" w:eastAsia="arial" w:hAnsi="arial" w:cs="arial"/>
          <w:color w:val="000000"/>
          <w:sz w:val="20"/>
          <w:lang w:val="en-US" w:eastAsia="en-US" w:bidi="ar-SA"/>
        </w:rPr>
        <w:t xml:space="preserve">, </w:t>
      </w:r>
      <w:hyperlink r:id="rId266" w:history="1">
        <w:r>
          <w:rPr>
            <w:rFonts w:ascii="arial" w:eastAsia="arial" w:hAnsi="arial" w:cs="arial"/>
            <w:i/>
            <w:color w:val="0077CC"/>
            <w:sz w:val="20"/>
            <w:u w:val="single"/>
            <w:shd w:val="clear" w:color="auto" w:fill="FFFFFF"/>
            <w:lang w:val="en-US" w:eastAsia="en-US" w:bidi="ar-SA"/>
          </w:rPr>
          <w:t>100 D.L.R. (4th) 609</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Hollis v. Dow Corning Corp.</w:t>
      </w:r>
      <w:r>
        <w:rPr>
          <w:rFonts w:ascii="arial" w:eastAsia="arial" w:hAnsi="arial" w:cs="arial"/>
          <w:color w:val="000000"/>
          <w:sz w:val="20"/>
          <w:lang w:val="en-US" w:eastAsia="en-US" w:bidi="ar-SA"/>
        </w:rPr>
        <w:t xml:space="preserve">, </w:t>
      </w:r>
      <w:hyperlink r:id="rId267" w:history="1">
        <w:r>
          <w:rPr>
            <w:rFonts w:ascii="arial" w:eastAsia="arial" w:hAnsi="arial" w:cs="arial"/>
            <w:i/>
            <w:color w:val="0077CC"/>
            <w:sz w:val="20"/>
            <w:u w:val="single"/>
            <w:shd w:val="clear" w:color="auto" w:fill="FFFFFF"/>
            <w:lang w:val="en-US" w:eastAsia="en-US" w:bidi="ar-SA"/>
          </w:rPr>
          <w:t>[1995] 4 S.C.R. 634</w:t>
        </w:r>
      </w:hyperlink>
      <w:r>
        <w:rPr>
          <w:rFonts w:ascii="arial" w:eastAsia="arial" w:hAnsi="arial" w:cs="arial"/>
          <w:color w:val="000000"/>
          <w:sz w:val="20"/>
          <w:lang w:val="en-US" w:eastAsia="en-US" w:bidi="ar-SA"/>
        </w:rPr>
        <w:t xml:space="preserve">, </w:t>
      </w:r>
      <w:hyperlink r:id="rId267" w:history="1">
        <w:r>
          <w:rPr>
            <w:rFonts w:ascii="arial" w:eastAsia="arial" w:hAnsi="arial" w:cs="arial"/>
            <w:i/>
            <w:color w:val="0077CC"/>
            <w:sz w:val="20"/>
            <w:u w:val="single"/>
            <w:shd w:val="clear" w:color="auto" w:fill="FFFFFF"/>
            <w:lang w:val="en-US" w:eastAsia="en-US" w:bidi="ar-SA"/>
          </w:rPr>
          <w:t>129 D.L.R. (4th) 609</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Arndt v. Smith</w:t>
      </w:r>
      <w:r>
        <w:rPr>
          <w:rFonts w:ascii="arial" w:eastAsia="arial" w:hAnsi="arial" w:cs="arial"/>
          <w:color w:val="000000"/>
          <w:sz w:val="20"/>
          <w:lang w:val="en-US" w:eastAsia="en-US" w:bidi="ar-SA"/>
        </w:rPr>
        <w:t xml:space="preserve"> </w:t>
      </w:r>
      <w:hyperlink r:id="rId268" w:history="1">
        <w:r>
          <w:rPr>
            <w:rFonts w:ascii="arial" w:eastAsia="arial" w:hAnsi="arial" w:cs="arial"/>
            <w:i/>
            <w:color w:val="0077CC"/>
            <w:sz w:val="20"/>
            <w:u w:val="single"/>
            <w:shd w:val="clear" w:color="auto" w:fill="FFFFFF"/>
            <w:lang w:val="en-US" w:eastAsia="en-US" w:bidi="ar-SA"/>
          </w:rPr>
          <w:t>[1997] 2 S.C.R. 539</w:t>
        </w:r>
      </w:hyperlink>
      <w:r>
        <w:rPr>
          <w:rFonts w:ascii="arial" w:eastAsia="arial" w:hAnsi="arial" w:cs="arial"/>
          <w:color w:val="000000"/>
          <w:sz w:val="20"/>
          <w:lang w:val="en-US" w:eastAsia="en-US" w:bidi="ar-SA"/>
        </w:rPr>
        <w:t xml:space="preserve">, </w:t>
      </w:r>
      <w:hyperlink r:id="rId268" w:history="1">
        <w:r>
          <w:rPr>
            <w:rFonts w:ascii="arial" w:eastAsia="arial" w:hAnsi="arial" w:cs="arial"/>
            <w:i/>
            <w:color w:val="0077CC"/>
            <w:sz w:val="20"/>
            <w:u w:val="single"/>
            <w:shd w:val="clear" w:color="auto" w:fill="FFFFFF"/>
            <w:lang w:val="en-US" w:eastAsia="en-US" w:bidi="ar-SA"/>
          </w:rPr>
          <w:t>148 D.L.R. (4th) 48</w:t>
        </w:r>
      </w:hyperlink>
      <w:r>
        <w:rPr>
          <w:rFonts w:ascii="arial" w:eastAsia="arial" w:hAnsi="arial" w:cs="arial"/>
          <w:color w:val="000000"/>
          <w:sz w:val="20"/>
          <w:lang w:val="en-US" w:eastAsia="en-US" w:bidi="ar-SA"/>
        </w:rPr>
        <w:t xml:space="preserve"> [all cited to S.C.R.]. The Supreme Court of Canada determined, and repeatedly affirmed, that cases of non-disclosure of risks and medical information were to be subsumed into the law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not battery.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With respect to the duty to disclose, a useful starting point for courts in determining which risks must be disclosed is found in </w:t>
      </w:r>
      <w:r>
        <w:rPr>
          <w:rFonts w:ascii="arial" w:eastAsia="arial" w:hAnsi="arial" w:cs="arial"/>
          <w:b/>
          <w:i/>
          <w:color w:val="000000"/>
          <w:sz w:val="20"/>
          <w:lang w:val="en-US" w:eastAsia="en-US" w:bidi="ar-SA"/>
        </w:rPr>
        <w:t>Rawlings v. Lindsay</w:t>
      </w:r>
      <w:r>
        <w:rPr>
          <w:rFonts w:ascii="arial" w:eastAsia="arial" w:hAnsi="arial" w:cs="arial"/>
          <w:color w:val="000000"/>
          <w:sz w:val="20"/>
          <w:lang w:val="en-US" w:eastAsia="en-US" w:bidi="ar-SA"/>
        </w:rPr>
        <w:t xml:space="preserve"> </w:t>
      </w:r>
      <w:hyperlink r:id="rId269" w:history="1">
        <w:r>
          <w:rPr>
            <w:rFonts w:ascii="arial" w:eastAsia="arial" w:hAnsi="arial" w:cs="arial"/>
            <w:i/>
            <w:color w:val="0077CC"/>
            <w:sz w:val="20"/>
            <w:u w:val="single"/>
            <w:shd w:val="clear" w:color="auto" w:fill="FFFFFF"/>
            <w:lang w:val="en-US" w:eastAsia="en-US" w:bidi="ar-SA"/>
          </w:rPr>
          <w:t>(1982), 20 C.C.L.T. 301</w:t>
        </w:r>
      </w:hyperlink>
      <w:r>
        <w:rPr>
          <w:rFonts w:ascii="arial" w:eastAsia="arial" w:hAnsi="arial" w:cs="arial"/>
          <w:color w:val="000000"/>
          <w:sz w:val="20"/>
          <w:lang w:val="en-US" w:eastAsia="en-US" w:bidi="ar-SA"/>
        </w:rPr>
        <w:t xml:space="preserve"> (B.C.S.C.), where McLachlin J. (as she then was) stated at 306: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 medical person must disclose those risks to which a reasonable patient would be likely to attach significance in deciding whether or not to undergo the proposed treatment. In making this determination, the degree of probability of the risk and its seriousness are relevant factors.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McInerney v. MacDonald</w:t>
      </w:r>
      <w:r>
        <w:rPr>
          <w:rFonts w:ascii="arial" w:eastAsia="arial" w:hAnsi="arial" w:cs="arial"/>
          <w:color w:val="000000"/>
          <w:sz w:val="20"/>
          <w:lang w:val="en-US" w:eastAsia="en-US" w:bidi="ar-SA"/>
        </w:rPr>
        <w:t xml:space="preserve">, </w:t>
      </w:r>
      <w:hyperlink r:id="rId270" w:history="1">
        <w:r>
          <w:rPr>
            <w:rFonts w:ascii="arial" w:eastAsia="arial" w:hAnsi="arial" w:cs="arial"/>
            <w:i/>
            <w:color w:val="0077CC"/>
            <w:sz w:val="20"/>
            <w:u w:val="single"/>
            <w:shd w:val="clear" w:color="auto" w:fill="FFFFFF"/>
            <w:lang w:val="en-US" w:eastAsia="en-US" w:bidi="ar-SA"/>
          </w:rPr>
          <w:t>[1992] 2 S.C.R. 138</w:t>
        </w:r>
      </w:hyperlink>
      <w:r>
        <w:rPr>
          <w:rFonts w:ascii="arial" w:eastAsia="arial" w:hAnsi="arial" w:cs="arial"/>
          <w:color w:val="000000"/>
          <w:sz w:val="20"/>
          <w:lang w:val="en-US" w:eastAsia="en-US" w:bidi="ar-SA"/>
        </w:rPr>
        <w:t xml:space="preserve">, </w:t>
      </w:r>
      <w:hyperlink r:id="rId270" w:history="1">
        <w:r>
          <w:rPr>
            <w:rFonts w:ascii="arial" w:eastAsia="arial" w:hAnsi="arial" w:cs="arial"/>
            <w:i/>
            <w:color w:val="0077CC"/>
            <w:sz w:val="20"/>
            <w:u w:val="single"/>
            <w:shd w:val="clear" w:color="auto" w:fill="FFFFFF"/>
            <w:lang w:val="en-US" w:eastAsia="en-US" w:bidi="ar-SA"/>
          </w:rPr>
          <w:t>93 D.L.R. (4th) 415</w:t>
        </w:r>
      </w:hyperlink>
      <w:r>
        <w:rPr>
          <w:rFonts w:ascii="arial" w:eastAsia="arial" w:hAnsi="arial" w:cs="arial"/>
          <w:color w:val="000000"/>
          <w:sz w:val="20"/>
          <w:lang w:val="en-US" w:eastAsia="en-US" w:bidi="ar-SA"/>
        </w:rPr>
        <w:t>, a case involving the issue of the ownership of a physician's clinical records, and whether a patient has a right to access that information, La Forest J., speaking for the court, noted that the relationship that exists between a physician and a patient is a fiduciary relationship. He then stated at 150: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physician-patient relationship also gives rise to the physician's duty to make proper disclosure of information to the patient; see </w:t>
      </w:r>
      <w:r>
        <w:rPr>
          <w:rFonts w:ascii="arial" w:eastAsia="arial" w:hAnsi="arial" w:cs="arial"/>
          <w:b/>
          <w:i/>
          <w:color w:val="000000"/>
          <w:sz w:val="20"/>
          <w:lang w:val="en-US" w:eastAsia="en-US" w:bidi="ar-SA"/>
        </w:rPr>
        <w:t>Reibl v. Hughes</w:t>
      </w:r>
      <w:r>
        <w:rPr>
          <w:rFonts w:ascii="arial" w:eastAsia="arial" w:hAnsi="arial" w:cs="arial"/>
          <w:color w:val="000000"/>
          <w:sz w:val="20"/>
          <w:lang w:val="en-US" w:eastAsia="en-US" w:bidi="ar-SA"/>
        </w:rPr>
        <w:t xml:space="preserve">, </w:t>
      </w:r>
      <w:hyperlink r:id="rId265" w:history="1">
        <w:r>
          <w:rPr>
            <w:rFonts w:ascii="arial" w:eastAsia="arial" w:hAnsi="arial" w:cs="arial"/>
            <w:i/>
            <w:color w:val="0077CC"/>
            <w:sz w:val="20"/>
            <w:u w:val="single"/>
            <w:shd w:val="clear" w:color="auto" w:fill="FFFFFF"/>
            <w:lang w:val="en-US" w:eastAsia="en-US" w:bidi="ar-SA"/>
          </w:rPr>
          <w:t>[1980] 2 S.C.R. 880</w:t>
        </w:r>
      </w:hyperlink>
      <w:r>
        <w:rPr>
          <w:rFonts w:ascii="arial" w:eastAsia="arial" w:hAnsi="arial" w:cs="arial"/>
          <w:color w:val="000000"/>
          <w:sz w:val="20"/>
          <w:lang w:val="en-US" w:eastAsia="en-US" w:bidi="ar-SA"/>
        </w:rPr>
        <w:t xml:space="preserve">, at p. 884; and </w:t>
      </w:r>
      <w:r>
        <w:rPr>
          <w:rFonts w:ascii="arial" w:eastAsia="arial" w:hAnsi="arial" w:cs="arial"/>
          <w:b/>
          <w:i/>
          <w:color w:val="000000"/>
          <w:sz w:val="20"/>
          <w:lang w:val="en-US" w:eastAsia="en-US" w:bidi="ar-SA"/>
        </w:rPr>
        <w:t>Kenny v. Lockwood</w:t>
      </w:r>
      <w:r>
        <w:rPr>
          <w:rFonts w:ascii="arial" w:eastAsia="arial" w:hAnsi="arial" w:cs="arial"/>
          <w:color w:val="000000"/>
          <w:sz w:val="20"/>
          <w:lang w:val="en-US" w:eastAsia="en-US" w:bidi="ar-SA"/>
        </w:rPr>
        <w:t xml:space="preserve">, </w:t>
      </w:r>
      <w:hyperlink r:id="rId271" w:history="1">
        <w:r>
          <w:rPr>
            <w:rFonts w:ascii="arial" w:eastAsia="arial" w:hAnsi="arial" w:cs="arial"/>
            <w:i/>
            <w:color w:val="0077CC"/>
            <w:sz w:val="20"/>
            <w:u w:val="single"/>
            <w:shd w:val="clear" w:color="auto" w:fill="FFFFFF"/>
            <w:lang w:val="en-US" w:eastAsia="en-US" w:bidi="ar-SA"/>
          </w:rPr>
          <w:t>[1931] O.J. No. 508</w:t>
        </w:r>
      </w:hyperlink>
      <w:r>
        <w:rPr>
          <w:rFonts w:ascii="arial" w:eastAsia="arial" w:hAnsi="arial" w:cs="arial"/>
          <w:color w:val="000000"/>
          <w:sz w:val="20"/>
          <w:lang w:val="en-US" w:eastAsia="en-US" w:bidi="ar-SA"/>
        </w:rPr>
        <w:t xml:space="preserve"> at p. 155. The appellant concedes that a patient has a right to be advised about the information concerning his or her health in the physician's medical record. In my view, however, the fiducial qualities of the relationship extend the physician's duty beyond this to include the obligation to grant access to the information the doctor uses in administering treatment. This approach has been taken by one stream of American cases. In </w:t>
      </w:r>
      <w:r>
        <w:rPr>
          <w:rFonts w:ascii="arial" w:eastAsia="arial" w:hAnsi="arial" w:cs="arial"/>
          <w:b/>
          <w:i/>
          <w:color w:val="000000"/>
          <w:sz w:val="20"/>
          <w:lang w:val="en-US" w:eastAsia="en-US" w:bidi="ar-SA"/>
        </w:rPr>
        <w:t>Emmett v. Eastern Dispensary and Casualty Hospital</w:t>
      </w:r>
      <w:r>
        <w:rPr>
          <w:rFonts w:ascii="arial" w:eastAsia="arial" w:hAnsi="arial" w:cs="arial"/>
          <w:color w:val="000000"/>
          <w:sz w:val="20"/>
          <w:lang w:val="en-US" w:eastAsia="en-US" w:bidi="ar-SA"/>
        </w:rPr>
        <w:t>, 396 F.2d 931 (D.C. Cir. 1967), Robinson J. held, at p. 935, that the fiducial qualities of the physician-patient relationship impose a duty on the physician 'to reveal to the patient that which in his best interests it is important that he should know'.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Ciarlariello v. Schacter</w:t>
      </w:r>
      <w:r>
        <w:rPr>
          <w:rFonts w:ascii="arial" w:eastAsia="arial" w:hAnsi="arial" w:cs="arial"/>
          <w:color w:val="000000"/>
          <w:sz w:val="20"/>
          <w:lang w:val="en-US" w:eastAsia="en-US" w:bidi="ar-SA"/>
        </w:rPr>
        <w:t>, a case involving surgical misadventure, Cory J., speaking for the court, stated at 133:</w:t>
      </w:r>
      <w:r>
        <w:rPr>
          <w:rFonts w:ascii="arial" w:eastAsia="arial" w:hAnsi="arial" w:cs="arial"/>
          <w:sz w:val="20"/>
          <w:lang w:val="en-US" w:eastAsia="en-US" w:bidi="ar-SA"/>
        </w:rPr>
        <w:cr/>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The Standard for Disclosure</w:t>
      </w:r>
    </w:p>
    <w:p>
      <w:pPr>
        <w:spacing w:before="120"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Reibl v. Hughes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indicates that </w:t>
      </w:r>
      <w:r>
        <w:rPr>
          <w:rFonts w:ascii="arial" w:eastAsia="arial" w:hAnsi="arial" w:cs="arial"/>
          <w:color w:val="000000"/>
          <w:sz w:val="20"/>
          <w:u w:val="single"/>
          <w:lang w:val="en-US" w:eastAsia="en-US" w:bidi="ar-SA"/>
        </w:rPr>
        <w:t>the disclosure which must be made to a patient will often be more than that which the medical profession might consider appropriate to divulge</w:t>
      </w:r>
      <w:r>
        <w:rPr>
          <w:rFonts w:ascii="arial" w:eastAsia="arial" w:hAnsi="arial" w:cs="arial"/>
          <w:color w:val="000000"/>
          <w:sz w:val="20"/>
          <w:lang w:val="en-US" w:eastAsia="en-US" w:bidi="ar-SA"/>
        </w:rPr>
        <w:t>. Although expert medical evidence on this issue is still relevant, it is no longer decisive in determining whether or not sufficient information was given to a patient to enable that patient to make an informed consent. The test now focuses on what the patient would want to know. Laskin C.J. put the position in these words at pp. 894-95:</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allow expert medical evidence to determine what risks are material and, hence, should be disclosed and, correlatively, what risks are not material is to hand over to the medical profession the entire question of the scope of the duty of disclosure, including the question whether there has been a breach of that duty. Expert medical evidence is, of course, relevant to findings as to the risks that reside in or are a result of recommended surgery or other treatment. It will also have a bearing on their materiality but this is not a question that is to be concluded on the basis of the expert medical evidence alone. </w:t>
      </w:r>
      <w:r>
        <w:rPr>
          <w:rFonts w:ascii="arial" w:eastAsia="arial" w:hAnsi="arial" w:cs="arial"/>
          <w:color w:val="000000"/>
          <w:sz w:val="20"/>
          <w:u w:val="single"/>
          <w:lang w:val="en-US" w:eastAsia="en-US" w:bidi="ar-SA"/>
        </w:rPr>
        <w:t>The issue under consideration is a different issue from that involved where the question is whether the doctor carried out his professional activities by applicable professional standards</w:t>
      </w:r>
      <w:r>
        <w:rPr>
          <w:rFonts w:ascii="arial" w:eastAsia="arial" w:hAnsi="arial" w:cs="arial"/>
          <w:color w:val="000000"/>
          <w:sz w:val="20"/>
          <w:lang w:val="en-US" w:eastAsia="en-US" w:bidi="ar-SA"/>
        </w:rPr>
        <w:t>. What is under consideration here is the patient's right to know what risks are involved in undergoing or foregoing certain surgery or other treatment.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deciding whether a risk is material and therefore, one which should be explained to the patient, an objective approach should be taken. The crucial question in determining the issue is </w:t>
      </w:r>
      <w:r>
        <w:rPr>
          <w:rFonts w:ascii="arial" w:eastAsia="arial" w:hAnsi="arial" w:cs="arial"/>
          <w:color w:val="000000"/>
          <w:sz w:val="20"/>
          <w:u w:val="single"/>
          <w:lang w:val="en-US" w:eastAsia="en-US" w:bidi="ar-SA"/>
        </w:rPr>
        <w:t>whether a reasonable person in the patient's position would want to know of the risk</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Two years later, in </w:t>
      </w:r>
      <w:r>
        <w:rPr>
          <w:rFonts w:ascii="arial" w:eastAsia="arial" w:hAnsi="arial" w:cs="arial"/>
          <w:b/>
          <w:i/>
          <w:color w:val="000000"/>
          <w:sz w:val="20"/>
          <w:lang w:val="en-US" w:eastAsia="en-US" w:bidi="ar-SA"/>
        </w:rPr>
        <w:t>Hollis v. Dow Corning Corp.</w:t>
      </w:r>
      <w:r>
        <w:rPr>
          <w:rFonts w:ascii="arial" w:eastAsia="arial" w:hAnsi="arial" w:cs="arial"/>
          <w:color w:val="000000"/>
          <w:sz w:val="20"/>
          <w:lang w:val="en-US" w:eastAsia="en-US" w:bidi="ar-SA"/>
        </w:rPr>
        <w:t>, a case which examined the duty of the manufacturer of a breast implant to warn physicians and patients of the risks associated with the use of the implants, La Forest J., speaking for the court (on this issue), stated at 655: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pause at this point to observe that there is an important analogy to be drawn in this context between the manufacturer's duty to warn and the doctrine of "informed consent" developed by this Court in recent years with respect to the doctor-patient relationship. In </w:t>
      </w:r>
      <w:r>
        <w:rPr>
          <w:rFonts w:ascii="arial" w:eastAsia="arial" w:hAnsi="arial" w:cs="arial"/>
          <w:b/>
          <w:i/>
          <w:color w:val="000000"/>
          <w:sz w:val="20"/>
          <w:lang w:val="en-US" w:eastAsia="en-US" w:bidi="ar-SA"/>
        </w:rPr>
        <w:t>Hopp v. Lepp</w:t>
      </w:r>
      <w:r>
        <w:rPr>
          <w:rFonts w:ascii="arial" w:eastAsia="arial" w:hAnsi="arial" w:cs="arial"/>
          <w:color w:val="000000"/>
          <w:sz w:val="20"/>
          <w:lang w:val="en-US" w:eastAsia="en-US" w:bidi="ar-SA"/>
        </w:rPr>
        <w:t xml:space="preserve">, </w:t>
      </w:r>
      <w:hyperlink r:id="rId264" w:history="1">
        <w:r>
          <w:rPr>
            <w:rFonts w:ascii="arial" w:eastAsia="arial" w:hAnsi="arial" w:cs="arial"/>
            <w:i/>
            <w:color w:val="0077CC"/>
            <w:sz w:val="20"/>
            <w:u w:val="single"/>
            <w:shd w:val="clear" w:color="auto" w:fill="FFFFFF"/>
            <w:lang w:val="en-US" w:eastAsia="en-US" w:bidi="ar-SA"/>
          </w:rPr>
          <w:t>[1980] 2 S.C.R. 192</w:t>
        </w:r>
      </w:hyperlink>
      <w:r>
        <w:rPr>
          <w:rFonts w:ascii="arial" w:eastAsia="arial" w:hAnsi="arial" w:cs="arial"/>
          <w:color w:val="000000"/>
          <w:sz w:val="20"/>
          <w:lang w:val="en-US" w:eastAsia="en-US" w:bidi="ar-SA"/>
        </w:rPr>
        <w:t xml:space="preserve">, at pp. 195-96, 210, and </w:t>
      </w:r>
      <w:r>
        <w:rPr>
          <w:rFonts w:ascii="arial" w:eastAsia="arial" w:hAnsi="arial" w:cs="arial"/>
          <w:b/>
          <w:i/>
          <w:color w:val="000000"/>
          <w:sz w:val="20"/>
          <w:lang w:val="en-US" w:eastAsia="en-US" w:bidi="ar-SA"/>
        </w:rPr>
        <w:t>Reibl v. Hughes</w:t>
      </w:r>
      <w:r>
        <w:rPr>
          <w:rFonts w:ascii="arial" w:eastAsia="arial" w:hAnsi="arial" w:cs="arial"/>
          <w:color w:val="000000"/>
          <w:sz w:val="20"/>
          <w:lang w:val="en-US" w:eastAsia="en-US" w:bidi="ar-SA"/>
        </w:rPr>
        <w:t xml:space="preserve">, </w:t>
      </w:r>
      <w:hyperlink r:id="rId265" w:history="1">
        <w:r>
          <w:rPr>
            <w:rFonts w:ascii="arial" w:eastAsia="arial" w:hAnsi="arial" w:cs="arial"/>
            <w:i/>
            <w:color w:val="0077CC"/>
            <w:sz w:val="20"/>
            <w:u w:val="single"/>
            <w:shd w:val="clear" w:color="auto" w:fill="FFFFFF"/>
            <w:lang w:val="en-US" w:eastAsia="en-US" w:bidi="ar-SA"/>
          </w:rPr>
          <w:t>[1980] 2 S.C.R. 880</w:t>
        </w:r>
      </w:hyperlink>
      <w:r>
        <w:rPr>
          <w:rFonts w:ascii="arial" w:eastAsia="arial" w:hAnsi="arial" w:cs="arial"/>
          <w:color w:val="000000"/>
          <w:sz w:val="20"/>
          <w:lang w:val="en-US" w:eastAsia="en-US" w:bidi="ar-SA"/>
        </w:rPr>
        <w:t xml:space="preserve">, at pp. 884-85, this Court decided that physicians have a duty, without being questioned, to disclose to a patient the material risks of a proposed procedure, its gravity, and any special or unusual risks, including risks with a low probability of occurrence, attendant upon the performance of the procedure; see also </w:t>
      </w:r>
      <w:r>
        <w:rPr>
          <w:rFonts w:ascii="arial" w:eastAsia="arial" w:hAnsi="arial" w:cs="arial"/>
          <w:b/>
          <w:i/>
          <w:color w:val="000000"/>
          <w:sz w:val="20"/>
          <w:lang w:val="en-US" w:eastAsia="en-US" w:bidi="ar-SA"/>
        </w:rPr>
        <w:t>Ciarlariello v. Schacter</w:t>
      </w:r>
      <w:r>
        <w:rPr>
          <w:rFonts w:ascii="arial" w:eastAsia="arial" w:hAnsi="arial" w:cs="arial"/>
          <w:color w:val="000000"/>
          <w:sz w:val="20"/>
          <w:lang w:val="en-US" w:eastAsia="en-US" w:bidi="ar-SA"/>
        </w:rPr>
        <w:t xml:space="preserve">, </w:t>
      </w:r>
      <w:hyperlink r:id="rId266" w:history="1">
        <w:r>
          <w:rPr>
            <w:rFonts w:ascii="arial" w:eastAsia="arial" w:hAnsi="arial" w:cs="arial"/>
            <w:i/>
            <w:color w:val="0077CC"/>
            <w:sz w:val="20"/>
            <w:u w:val="single"/>
            <w:shd w:val="clear" w:color="auto" w:fill="FFFFFF"/>
            <w:lang w:val="en-US" w:eastAsia="en-US" w:bidi="ar-SA"/>
          </w:rPr>
          <w:t>[1993] 2 S.C.R. 119</w:t>
        </w:r>
      </w:hyperlink>
      <w:r>
        <w:rPr>
          <w:rFonts w:ascii="arial" w:eastAsia="arial" w:hAnsi="arial" w:cs="arial"/>
          <w:color w:val="000000"/>
          <w:sz w:val="20"/>
          <w:lang w:val="en-US" w:eastAsia="en-US" w:bidi="ar-SA"/>
        </w:rPr>
        <w:t xml:space="preserve">. The principle underlying 'informed consent', as Laskin C.J. explained in </w:t>
      </w:r>
      <w:r>
        <w:rPr>
          <w:rFonts w:ascii="arial" w:eastAsia="arial" w:hAnsi="arial" w:cs="arial"/>
          <w:b/>
          <w:i/>
          <w:color w:val="000000"/>
          <w:sz w:val="20"/>
          <w:lang w:val="en-US" w:eastAsia="en-US" w:bidi="ar-SA"/>
        </w:rPr>
        <w:t>Hopp</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p. 196, is the 'right of a patient to decide what, if anything, should be done with his body'; see also </w:t>
      </w:r>
      <w:r>
        <w:rPr>
          <w:rFonts w:ascii="arial" w:eastAsia="arial" w:hAnsi="arial" w:cs="arial"/>
          <w:b/>
          <w:i/>
          <w:color w:val="000000"/>
          <w:sz w:val="20"/>
          <w:lang w:val="en-US" w:eastAsia="en-US" w:bidi="ar-SA"/>
        </w:rPr>
        <w:t>Schloendorff v. Society of New York Hospital</w:t>
      </w:r>
      <w:r>
        <w:rPr>
          <w:rFonts w:ascii="arial" w:eastAsia="arial" w:hAnsi="arial" w:cs="arial"/>
          <w:color w:val="000000"/>
          <w:sz w:val="20"/>
          <w:lang w:val="en-US" w:eastAsia="en-US" w:bidi="ar-SA"/>
        </w:rPr>
        <w:t xml:space="preserve">, 105 N.E. 92 (N.Y.C.A. 1914),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Cardozo J. </w:t>
      </w:r>
      <w:r>
        <w:rPr>
          <w:rFonts w:ascii="arial" w:eastAsia="arial" w:hAnsi="arial" w:cs="arial"/>
          <w:color w:val="000000"/>
          <w:sz w:val="20"/>
          <w:u w:val="single"/>
          <w:lang w:val="en-US" w:eastAsia="en-US" w:bidi="ar-SA"/>
        </w:rPr>
        <w:t>The doctrine of 'informed consent' dictates that every individual has a right to know what risks are involved in undergoing or foregoing medical treatment and a concomitant right to make meaningful decisions based on a full understanding of those risks</w:t>
      </w:r>
      <w:r>
        <w:rPr>
          <w:rFonts w:ascii="arial" w:eastAsia="arial" w:hAnsi="arial" w:cs="arial"/>
          <w:color w:val="000000"/>
          <w:sz w:val="20"/>
          <w:lang w:val="en-US" w:eastAsia="en-US" w:bidi="ar-SA"/>
        </w:rPr>
        <w:t xml:space="preserve">. As Robinson J. observed in </w:t>
      </w:r>
      <w:r>
        <w:rPr>
          <w:rFonts w:ascii="arial" w:eastAsia="arial" w:hAnsi="arial" w:cs="arial"/>
          <w:b/>
          <w:i/>
          <w:color w:val="000000"/>
          <w:sz w:val="20"/>
          <w:lang w:val="en-US" w:eastAsia="en-US" w:bidi="ar-SA"/>
        </w:rPr>
        <w:t>Canterbury v. Spence</w:t>
      </w:r>
      <w:r>
        <w:rPr>
          <w:rFonts w:ascii="arial" w:eastAsia="arial" w:hAnsi="arial" w:cs="arial"/>
          <w:color w:val="000000"/>
          <w:sz w:val="20"/>
          <w:lang w:val="en-US" w:eastAsia="en-US" w:bidi="ar-SA"/>
        </w:rPr>
        <w:t>, 464 F.2d 772 (D.C. Cir. 1972), at p. 780: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True consent to what happens to one's self is the informed exercise of a choice, and that entails an opportunity to evaluate knowledgeably the options available and the risks attendant upon each. The average patient has little or no understanding of the medical arts, and ordinarily has only his physician to whom he can look for enlightenment with which to reach an intelligent decision. From these almost axiomatic considerations springs the need, and in turn the requirement, of a reasonable divulgence by physician to patient to make such a decision possible.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Brito (Guardian ad litem of) v. Woolley</w:t>
      </w:r>
      <w:r>
        <w:rPr>
          <w:rFonts w:ascii="arial" w:eastAsia="arial" w:hAnsi="arial" w:cs="arial"/>
          <w:color w:val="000000"/>
          <w:sz w:val="20"/>
          <w:lang w:val="en-US" w:eastAsia="en-US" w:bidi="ar-SA"/>
        </w:rPr>
        <w:t xml:space="preserve">, </w:t>
      </w:r>
      <w:hyperlink r:id="rId272" w:history="1">
        <w:r>
          <w:rPr>
            <w:rFonts w:ascii="arial" w:eastAsia="arial" w:hAnsi="arial" w:cs="arial"/>
            <w:i/>
            <w:color w:val="0077CC"/>
            <w:sz w:val="20"/>
            <w:u w:val="single"/>
            <w:shd w:val="clear" w:color="auto" w:fill="FFFFFF"/>
            <w:lang w:val="en-US" w:eastAsia="en-US" w:bidi="ar-SA"/>
          </w:rPr>
          <w:t>2001 BCSC 1178</w:t>
        </w:r>
      </w:hyperlink>
      <w:r>
        <w:rPr>
          <w:rFonts w:ascii="arial" w:eastAsia="arial" w:hAnsi="arial" w:cs="arial"/>
          <w:color w:val="000000"/>
          <w:sz w:val="20"/>
          <w:lang w:val="en-US" w:eastAsia="en-US" w:bidi="ar-SA"/>
        </w:rPr>
        <w:t xml:space="preserve">, aff'd </w:t>
      </w:r>
      <w:hyperlink r:id="rId273" w:history="1">
        <w:r>
          <w:rPr>
            <w:rFonts w:ascii="arial" w:eastAsia="arial" w:hAnsi="arial" w:cs="arial"/>
            <w:i/>
            <w:color w:val="0077CC"/>
            <w:sz w:val="20"/>
            <w:u w:val="single"/>
            <w:shd w:val="clear" w:color="auto" w:fill="FFFFFF"/>
            <w:lang w:val="en-US" w:eastAsia="en-US" w:bidi="ar-SA"/>
          </w:rPr>
          <w:t>2003 BCCA 397</w:t>
        </w:r>
      </w:hyperlink>
      <w:r>
        <w:rPr>
          <w:rFonts w:ascii="arial" w:eastAsia="arial" w:hAnsi="arial" w:cs="arial"/>
          <w:color w:val="000000"/>
          <w:sz w:val="20"/>
          <w:lang w:val="en-US" w:eastAsia="en-US" w:bidi="ar-SA"/>
        </w:rPr>
        <w:t xml:space="preserve">, </w:t>
      </w:r>
      <w:hyperlink r:id="rId273" w:history="1">
        <w:r>
          <w:rPr>
            <w:rFonts w:ascii="arial" w:eastAsia="arial" w:hAnsi="arial" w:cs="arial"/>
            <w:i/>
            <w:color w:val="0077CC"/>
            <w:sz w:val="20"/>
            <w:u w:val="single"/>
            <w:shd w:val="clear" w:color="auto" w:fill="FFFFFF"/>
            <w:lang w:val="en-US" w:eastAsia="en-US" w:bidi="ar-SA"/>
          </w:rPr>
          <w:t>16 B.C.L.R. (4th) 220</w:t>
        </w:r>
      </w:hyperlink>
      <w:r>
        <w:rPr>
          <w:rFonts w:ascii="arial" w:eastAsia="arial" w:hAnsi="arial" w:cs="arial"/>
          <w:color w:val="000000"/>
          <w:sz w:val="20"/>
          <w:lang w:val="en-US" w:eastAsia="en-US" w:bidi="ar-SA"/>
        </w:rPr>
        <w:t>, a case involving a twin birth which went wrong, the governing legal principles relating to informed consent were summarized in this way by Sinclair Prowse J. at paras. 132-134: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patient cannot be taken to have consented to a particular treatment or medical procedure unless he or she has been fully informed as to the material risks of that treatment or procedure, and informed of alternative treatments or procedure, if any: </w:t>
      </w:r>
      <w:r>
        <w:rPr>
          <w:rFonts w:ascii="arial" w:eastAsia="arial" w:hAnsi="arial" w:cs="arial"/>
          <w:b/>
          <w:i/>
          <w:color w:val="000000"/>
          <w:sz w:val="20"/>
          <w:lang w:val="en-US" w:eastAsia="en-US" w:bidi="ar-SA"/>
        </w:rPr>
        <w:t>Reibl v. Hughes</w:t>
      </w:r>
      <w:r>
        <w:rPr>
          <w:rFonts w:ascii="arial" w:eastAsia="arial" w:hAnsi="arial" w:cs="arial"/>
          <w:color w:val="000000"/>
          <w:sz w:val="20"/>
          <w:lang w:val="en-US" w:eastAsia="en-US" w:bidi="ar-SA"/>
        </w:rPr>
        <w:t xml:space="preserve">, </w:t>
      </w:r>
      <w:hyperlink r:id="rId265" w:history="1">
        <w:r>
          <w:rPr>
            <w:rFonts w:ascii="arial" w:eastAsia="arial" w:hAnsi="arial" w:cs="arial"/>
            <w:i/>
            <w:color w:val="0077CC"/>
            <w:sz w:val="20"/>
            <w:u w:val="single"/>
            <w:shd w:val="clear" w:color="auto" w:fill="FFFFFF"/>
            <w:lang w:val="en-US" w:eastAsia="en-US" w:bidi="ar-SA"/>
          </w:rPr>
          <w:t>1980 CanLII 23</w:t>
        </w:r>
      </w:hyperlink>
      <w:r>
        <w:rPr>
          <w:rFonts w:ascii="arial" w:eastAsia="arial" w:hAnsi="arial" w:cs="arial"/>
          <w:color w:val="000000"/>
          <w:sz w:val="20"/>
          <w:lang w:val="en-US" w:eastAsia="en-US" w:bidi="ar-SA"/>
        </w:rPr>
        <w:t xml:space="preserve"> (S.C.C.), </w:t>
      </w:r>
      <w:hyperlink r:id="rId265" w:history="1">
        <w:r>
          <w:rPr>
            <w:rFonts w:ascii="arial" w:eastAsia="arial" w:hAnsi="arial" w:cs="arial"/>
            <w:i/>
            <w:color w:val="0077CC"/>
            <w:sz w:val="20"/>
            <w:u w:val="single"/>
            <w:shd w:val="clear" w:color="auto" w:fill="FFFFFF"/>
            <w:lang w:val="en-US" w:eastAsia="en-US" w:bidi="ar-SA"/>
          </w:rPr>
          <w:t>[1980] 2 S.C.R. 880</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Arndt v. Smith</w:t>
      </w:r>
      <w:r>
        <w:rPr>
          <w:rFonts w:ascii="arial" w:eastAsia="arial" w:hAnsi="arial" w:cs="arial"/>
          <w:color w:val="000000"/>
          <w:sz w:val="20"/>
          <w:lang w:val="en-US" w:eastAsia="en-US" w:bidi="ar-SA"/>
        </w:rPr>
        <w:t xml:space="preserve">, </w:t>
      </w:r>
      <w:hyperlink r:id="rId268" w:history="1">
        <w:r>
          <w:rPr>
            <w:rFonts w:ascii="arial" w:eastAsia="arial" w:hAnsi="arial" w:cs="arial"/>
            <w:i/>
            <w:color w:val="0077CC"/>
            <w:sz w:val="20"/>
            <w:u w:val="single"/>
            <w:shd w:val="clear" w:color="auto" w:fill="FFFFFF"/>
            <w:lang w:val="en-US" w:eastAsia="en-US" w:bidi="ar-SA"/>
          </w:rPr>
          <w:t>1997 CanLII 360</w:t>
        </w:r>
      </w:hyperlink>
      <w:r>
        <w:rPr>
          <w:rFonts w:ascii="arial" w:eastAsia="arial" w:hAnsi="arial" w:cs="arial"/>
          <w:color w:val="000000"/>
          <w:sz w:val="20"/>
          <w:lang w:val="en-US" w:eastAsia="en-US" w:bidi="ar-SA"/>
        </w:rPr>
        <w:t xml:space="preserve"> (S.C.C.), </w:t>
      </w:r>
      <w:hyperlink r:id="rId268" w:history="1">
        <w:r>
          <w:rPr>
            <w:rFonts w:ascii="arial" w:eastAsia="arial" w:hAnsi="arial" w:cs="arial"/>
            <w:i/>
            <w:color w:val="0077CC"/>
            <w:sz w:val="20"/>
            <w:u w:val="single"/>
            <w:shd w:val="clear" w:color="auto" w:fill="FFFFFF"/>
            <w:lang w:val="en-US" w:eastAsia="en-US" w:bidi="ar-SA"/>
          </w:rPr>
          <w:t>[1997] 2 S.C.R. 539</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Hopp v. Lepp</w:t>
      </w:r>
      <w:r>
        <w:rPr>
          <w:rFonts w:ascii="arial" w:eastAsia="arial" w:hAnsi="arial" w:cs="arial"/>
          <w:color w:val="000000"/>
          <w:sz w:val="20"/>
          <w:lang w:val="en-US" w:eastAsia="en-US" w:bidi="ar-SA"/>
        </w:rPr>
        <w:t xml:space="preserve">, 1980 CanLII 14 (S.C.C.), </w:t>
      </w:r>
      <w:hyperlink r:id="rId264" w:history="1">
        <w:r>
          <w:rPr>
            <w:rFonts w:ascii="arial" w:eastAsia="arial" w:hAnsi="arial" w:cs="arial"/>
            <w:i/>
            <w:color w:val="0077CC"/>
            <w:sz w:val="20"/>
            <w:u w:val="single"/>
            <w:shd w:val="clear" w:color="auto" w:fill="FFFFFF"/>
            <w:lang w:val="en-US" w:eastAsia="en-US" w:bidi="ar-SA"/>
          </w:rPr>
          <w:t>[1980] 2 S.C.R. 192</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Bauer (Litigation Guardian of) v. Seager</w:t>
      </w:r>
      <w:r>
        <w:rPr>
          <w:rFonts w:ascii="arial" w:eastAsia="arial" w:hAnsi="arial" w:cs="arial"/>
          <w:color w:val="000000"/>
          <w:sz w:val="20"/>
          <w:lang w:val="en-US" w:eastAsia="en-US" w:bidi="ar-SA"/>
        </w:rPr>
        <w:t xml:space="preserve">, </w:t>
      </w:r>
      <w:hyperlink r:id="rId274" w:history="1">
        <w:r>
          <w:rPr>
            <w:rFonts w:ascii="arial" w:eastAsia="arial" w:hAnsi="arial" w:cs="arial"/>
            <w:i/>
            <w:color w:val="0077CC"/>
            <w:sz w:val="20"/>
            <w:u w:val="single"/>
            <w:shd w:val="clear" w:color="auto" w:fill="FFFFFF"/>
            <w:lang w:val="en-US" w:eastAsia="en-US" w:bidi="ar-SA"/>
          </w:rPr>
          <w:t>2000 MBQB 113</w:t>
        </w:r>
      </w:hyperlink>
      <w:r>
        <w:rPr>
          <w:rFonts w:ascii="arial" w:eastAsia="arial" w:hAnsi="arial" w:cs="arial"/>
          <w:color w:val="000000"/>
          <w:sz w:val="20"/>
          <w:lang w:val="en-US" w:eastAsia="en-US" w:bidi="ar-SA"/>
        </w:rPr>
        <w:t xml:space="preserve"> (CanLII), </w:t>
      </w:r>
      <w:hyperlink r:id="rId274" w:history="1">
        <w:r>
          <w:rPr>
            <w:rFonts w:ascii="arial" w:eastAsia="arial" w:hAnsi="arial" w:cs="arial"/>
            <w:i/>
            <w:color w:val="0077CC"/>
            <w:sz w:val="20"/>
            <w:u w:val="single"/>
            <w:shd w:val="clear" w:color="auto" w:fill="FFFFFF"/>
            <w:lang w:val="en-US" w:eastAsia="en-US" w:bidi="ar-SA"/>
          </w:rPr>
          <w:t>[2000] 11 W.W.R. 621</w:t>
        </w:r>
      </w:hyperlink>
      <w:r>
        <w:rPr>
          <w:rFonts w:ascii="arial" w:eastAsia="arial" w:hAnsi="arial" w:cs="arial"/>
          <w:color w:val="000000"/>
          <w:sz w:val="20"/>
          <w:lang w:val="en-US" w:eastAsia="en-US" w:bidi="ar-SA"/>
        </w:rPr>
        <w:t xml:space="preserve">, </w:t>
      </w:r>
      <w:hyperlink r:id="rId274" w:history="1">
        <w:r>
          <w:rPr>
            <w:rFonts w:ascii="arial" w:eastAsia="arial" w:hAnsi="arial" w:cs="arial"/>
            <w:i/>
            <w:color w:val="0077CC"/>
            <w:sz w:val="20"/>
            <w:u w:val="single"/>
            <w:shd w:val="clear" w:color="auto" w:fill="FFFFFF"/>
            <w:lang w:val="en-US" w:eastAsia="en-US" w:bidi="ar-SA"/>
          </w:rPr>
          <w:t>2000 MBQB 113</w:t>
        </w:r>
      </w:hyperlink>
      <w:r>
        <w:rPr>
          <w:rFonts w:ascii="arial" w:eastAsia="arial" w:hAnsi="arial" w:cs="arial"/>
          <w:color w:val="000000"/>
          <w:sz w:val="20"/>
          <w:lang w:val="en-US" w:eastAsia="en-US" w:bidi="ar-SA"/>
        </w:rPr>
        <w:t xml:space="preserve"> (Man. Q.B.); </w:t>
      </w:r>
      <w:r>
        <w:rPr>
          <w:rFonts w:ascii="arial" w:eastAsia="arial" w:hAnsi="arial" w:cs="arial"/>
          <w:b/>
          <w:i/>
          <w:color w:val="000000"/>
          <w:sz w:val="20"/>
          <w:lang w:val="en-US" w:eastAsia="en-US" w:bidi="ar-SA"/>
        </w:rPr>
        <w:t>Mangalji (Next Friend of) v. Graham</w:t>
      </w:r>
      <w:r>
        <w:rPr>
          <w:rFonts w:ascii="arial" w:eastAsia="arial" w:hAnsi="arial" w:cs="arial"/>
          <w:color w:val="000000"/>
          <w:sz w:val="20"/>
          <w:lang w:val="en-US" w:eastAsia="en-US" w:bidi="ar-SA"/>
        </w:rPr>
        <w:t xml:space="preserve"> (1997), </w:t>
      </w:r>
      <w:hyperlink r:id="rId275" w:history="1">
        <w:r>
          <w:rPr>
            <w:rFonts w:ascii="arial" w:eastAsia="arial" w:hAnsi="arial" w:cs="arial"/>
            <w:i/>
            <w:color w:val="0077CC"/>
            <w:sz w:val="20"/>
            <w:u w:val="single"/>
            <w:shd w:val="clear" w:color="auto" w:fill="FFFFFF"/>
            <w:lang w:val="en-US" w:eastAsia="en-US" w:bidi="ar-SA"/>
          </w:rPr>
          <w:t>47 Alta. L.R. (3d) 19</w:t>
        </w:r>
      </w:hyperlink>
      <w:r>
        <w:rPr>
          <w:rFonts w:ascii="arial" w:eastAsia="arial" w:hAnsi="arial" w:cs="arial"/>
          <w:color w:val="000000"/>
          <w:sz w:val="20"/>
          <w:lang w:val="en-US" w:eastAsia="en-US" w:bidi="ar-SA"/>
        </w:rPr>
        <w:t xml:space="preserve"> (Q.B.); </w:t>
      </w:r>
      <w:r>
        <w:rPr>
          <w:rFonts w:ascii="arial" w:eastAsia="arial" w:hAnsi="arial" w:cs="arial"/>
          <w:b/>
          <w:i/>
          <w:color w:val="000000"/>
          <w:sz w:val="20"/>
          <w:lang w:val="en-US" w:eastAsia="en-US" w:bidi="ar-SA"/>
        </w:rPr>
        <w:t>Rhine v. Millan</w:t>
      </w:r>
      <w:r>
        <w:rPr>
          <w:rFonts w:ascii="arial" w:eastAsia="arial" w:hAnsi="arial" w:cs="arial"/>
          <w:color w:val="000000"/>
          <w:sz w:val="20"/>
          <w:lang w:val="en-US" w:eastAsia="en-US" w:bidi="ar-SA"/>
        </w:rPr>
        <w:t xml:space="preserve">, </w:t>
      </w:r>
      <w:hyperlink r:id="rId276" w:history="1">
        <w:r>
          <w:rPr>
            <w:rFonts w:ascii="arial" w:eastAsia="arial" w:hAnsi="arial" w:cs="arial"/>
            <w:i/>
            <w:color w:val="0077CC"/>
            <w:sz w:val="20"/>
            <w:u w:val="single"/>
            <w:shd w:val="clear" w:color="auto" w:fill="FFFFFF"/>
            <w:lang w:val="en-US" w:eastAsia="en-US" w:bidi="ar-SA"/>
          </w:rPr>
          <w:t>2000 ABQB 212</w:t>
        </w:r>
      </w:hyperlink>
      <w:r>
        <w:rPr>
          <w:rFonts w:ascii="arial" w:eastAsia="arial" w:hAnsi="arial" w:cs="arial"/>
          <w:color w:val="000000"/>
          <w:sz w:val="20"/>
          <w:lang w:val="en-US" w:eastAsia="en-US" w:bidi="ar-SA"/>
        </w:rPr>
        <w:t xml:space="preserve"> (CanLII), </w:t>
      </w:r>
      <w:hyperlink r:id="rId276" w:history="1">
        <w:r>
          <w:rPr>
            <w:rFonts w:ascii="arial" w:eastAsia="arial" w:hAnsi="arial" w:cs="arial"/>
            <w:i/>
            <w:color w:val="0077CC"/>
            <w:sz w:val="20"/>
            <w:u w:val="single"/>
            <w:shd w:val="clear" w:color="auto" w:fill="FFFFFF"/>
            <w:lang w:val="en-US" w:eastAsia="en-US" w:bidi="ar-SA"/>
          </w:rPr>
          <w:t>[2000] 7 W.W.R. 136</w:t>
        </w:r>
      </w:hyperlink>
      <w:r>
        <w:rPr>
          <w:rFonts w:ascii="arial" w:eastAsia="arial" w:hAnsi="arial" w:cs="arial"/>
          <w:color w:val="000000"/>
          <w:sz w:val="20"/>
          <w:lang w:val="en-US" w:eastAsia="en-US" w:bidi="ar-SA"/>
        </w:rPr>
        <w:t xml:space="preserve">, </w:t>
      </w:r>
      <w:hyperlink r:id="rId276" w:history="1">
        <w:r>
          <w:rPr>
            <w:rFonts w:ascii="arial" w:eastAsia="arial" w:hAnsi="arial" w:cs="arial"/>
            <w:i/>
            <w:color w:val="0077CC"/>
            <w:sz w:val="20"/>
            <w:u w:val="single"/>
            <w:shd w:val="clear" w:color="auto" w:fill="FFFFFF"/>
            <w:lang w:val="en-US" w:eastAsia="en-US" w:bidi="ar-SA"/>
          </w:rPr>
          <w:t>2000 ABQB 212</w:t>
        </w:r>
      </w:hyperlink>
      <w:r>
        <w:rPr>
          <w:rFonts w:ascii="arial" w:eastAsia="arial" w:hAnsi="arial" w:cs="arial"/>
          <w:color w:val="000000"/>
          <w:sz w:val="20"/>
          <w:lang w:val="en-US" w:eastAsia="en-US" w:bidi="ar-SA"/>
        </w:rPr>
        <w:t xml:space="preserve"> (Alta. Q.B.). Every physician owes a duty to their patient to independently disclose any special, material, or unusual risks associated with the treatment or procedure being recommended and, in certain circumstances, to disclose alternative treatments reasonably available to the patient.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What constitutes a special, material, or unusual risk will depend on the particular facts of the case. A mere possibility will be included as a material risk if the occurrence of that mere possibility is serious, for example, if it can result in paralysis or death: </w:t>
      </w:r>
      <w:r>
        <w:rPr>
          <w:rFonts w:ascii="arial" w:eastAsia="arial" w:hAnsi="arial" w:cs="arial"/>
          <w:b/>
          <w:i/>
          <w:color w:val="000000"/>
          <w:sz w:val="20"/>
          <w:lang w:val="en-US" w:eastAsia="en-US" w:bidi="ar-SA"/>
        </w:rPr>
        <w:t>Reibl v. Hughes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Puranen v. Thomson</w:t>
      </w:r>
      <w:r>
        <w:rPr>
          <w:rFonts w:ascii="arial" w:eastAsia="arial" w:hAnsi="arial" w:cs="arial"/>
          <w:color w:val="000000"/>
          <w:sz w:val="20"/>
          <w:lang w:val="en-US" w:eastAsia="en-US" w:bidi="ar-SA"/>
        </w:rPr>
        <w:t xml:space="preserve"> </w:t>
      </w:r>
      <w:hyperlink r:id="rId277" w:history="1">
        <w:r>
          <w:rPr>
            <w:rFonts w:ascii="arial" w:eastAsia="arial" w:hAnsi="arial" w:cs="arial"/>
            <w:i/>
            <w:color w:val="0077CC"/>
            <w:sz w:val="20"/>
            <w:u w:val="single"/>
            <w:shd w:val="clear" w:color="auto" w:fill="FFFFFF"/>
            <w:lang w:val="en-US" w:eastAsia="en-US" w:bidi="ar-SA"/>
          </w:rPr>
          <w:t>(1987), 46 Man.R. (2d) 55</w:t>
        </w:r>
      </w:hyperlink>
      <w:r>
        <w:rPr>
          <w:rFonts w:ascii="arial" w:eastAsia="arial" w:hAnsi="arial" w:cs="arial"/>
          <w:color w:val="000000"/>
          <w:sz w:val="20"/>
          <w:lang w:val="en-US" w:eastAsia="en-US" w:bidi="ar-SA"/>
        </w:rPr>
        <w:t xml:space="preserve"> (Q.B.). Material risks include those risks which the doctor knows, or ought to know, that a reasonable person in the patient's position would consider in deciding whether to undergo a procedure or treatment: </w:t>
      </w:r>
      <w:r>
        <w:rPr>
          <w:rFonts w:ascii="arial" w:eastAsia="arial" w:hAnsi="arial" w:cs="arial"/>
          <w:b/>
          <w:i/>
          <w:color w:val="000000"/>
          <w:sz w:val="20"/>
          <w:lang w:val="en-US" w:eastAsia="en-US" w:bidi="ar-SA"/>
        </w:rPr>
        <w:t>Ciarlariello v. Schacter</w:t>
      </w:r>
      <w:r>
        <w:rPr>
          <w:rFonts w:ascii="arial" w:eastAsia="arial" w:hAnsi="arial" w:cs="arial"/>
          <w:color w:val="000000"/>
          <w:sz w:val="20"/>
          <w:lang w:val="en-US" w:eastAsia="en-US" w:bidi="ar-SA"/>
        </w:rPr>
        <w:t xml:space="preserve">, </w:t>
      </w:r>
      <w:hyperlink r:id="rId266" w:history="1">
        <w:r>
          <w:rPr>
            <w:rFonts w:ascii="arial" w:eastAsia="arial" w:hAnsi="arial" w:cs="arial"/>
            <w:i/>
            <w:color w:val="0077CC"/>
            <w:sz w:val="20"/>
            <w:u w:val="single"/>
            <w:shd w:val="clear" w:color="auto" w:fill="FFFFFF"/>
            <w:lang w:val="en-US" w:eastAsia="en-US" w:bidi="ar-SA"/>
          </w:rPr>
          <w:t>[1993] 2 S.C.R. 119</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professional standards of physicians as to whether a risk is material are not in themselves determinative of this issue. Specifically, expert medical evidence as to whether a particular risk should normally be explained to a patient is relevant but not conclusive: </w:t>
      </w:r>
      <w:r>
        <w:rPr>
          <w:rFonts w:ascii="arial" w:eastAsia="arial" w:hAnsi="arial" w:cs="arial"/>
          <w:b/>
          <w:i/>
          <w:color w:val="000000"/>
          <w:sz w:val="20"/>
          <w:lang w:val="en-US" w:eastAsia="en-US" w:bidi="ar-SA"/>
        </w:rPr>
        <w:t>Puranen v. Thomson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Rather, this evidence is simply a factor to be considered together with the evidence of the patient and his or her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Anderson-Redick v. Graham</w:t>
      </w:r>
      <w:r>
        <w:rPr>
          <w:rFonts w:ascii="arial" w:eastAsia="arial" w:hAnsi="arial" w:cs="arial"/>
          <w:color w:val="000000"/>
          <w:sz w:val="20"/>
          <w:lang w:val="en-US" w:eastAsia="en-US" w:bidi="ar-SA"/>
        </w:rPr>
        <w:t xml:space="preserve">, </w:t>
      </w:r>
      <w:hyperlink r:id="rId278" w:history="1">
        <w:r>
          <w:rPr>
            <w:rFonts w:ascii="arial" w:eastAsia="arial" w:hAnsi="arial" w:cs="arial"/>
            <w:i/>
            <w:color w:val="0077CC"/>
            <w:sz w:val="20"/>
            <w:u w:val="single"/>
            <w:shd w:val="clear" w:color="auto" w:fill="FFFFFF"/>
            <w:lang w:val="en-US" w:eastAsia="en-US" w:bidi="ar-SA"/>
          </w:rPr>
          <w:t>2000 ABQB 36</w:t>
        </w:r>
      </w:hyperlink>
      <w:r>
        <w:rPr>
          <w:rFonts w:ascii="arial" w:eastAsia="arial" w:hAnsi="arial" w:cs="arial"/>
          <w:color w:val="000000"/>
          <w:sz w:val="20"/>
          <w:lang w:val="en-US" w:eastAsia="en-US" w:bidi="ar-SA"/>
        </w:rPr>
        <w:t xml:space="preserve">, </w:t>
      </w:r>
      <w:hyperlink r:id="rId278" w:history="1">
        <w:r>
          <w:rPr>
            <w:rFonts w:ascii="arial" w:eastAsia="arial" w:hAnsi="arial" w:cs="arial"/>
            <w:i/>
            <w:color w:val="0077CC"/>
            <w:sz w:val="20"/>
            <w:u w:val="single"/>
            <w:shd w:val="clear" w:color="auto" w:fill="FFFFFF"/>
            <w:lang w:val="en-US" w:eastAsia="en-US" w:bidi="ar-SA"/>
          </w:rPr>
          <w:t>258 A.R. 42</w:t>
        </w:r>
      </w:hyperlink>
      <w:r>
        <w:rPr>
          <w:rFonts w:ascii="arial" w:eastAsia="arial" w:hAnsi="arial" w:cs="arial"/>
          <w:color w:val="000000"/>
          <w:sz w:val="20"/>
          <w:lang w:val="en-US" w:eastAsia="en-US" w:bidi="ar-SA"/>
        </w:rPr>
        <w:t>, a case involving a traumatic forceps delivery, consent to the use of forceps was in issue. In determining that the defendant physician had failed in his obligation to properly advise the plaintiff, Paperny J.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[110] Individuals have the right to make their own health care decisions. In order to exercise this right in a meaningful way, a patient needs sufficient information to make an informed choice about medical treatment. Thus, except in limited circumstances, doctors are under a legal obligation to provide a patient with material information relating to a proposed treatment or procedure: </w:t>
      </w:r>
      <w:r>
        <w:rPr>
          <w:rFonts w:ascii="arial" w:eastAsia="arial" w:hAnsi="arial" w:cs="arial"/>
          <w:b/>
          <w:i/>
          <w:color w:val="000000"/>
          <w:sz w:val="20"/>
          <w:lang w:val="en-US" w:eastAsia="en-US" w:bidi="ar-SA"/>
        </w:rPr>
        <w:t>Hopp v. Lepp</w:t>
      </w:r>
      <w:r>
        <w:rPr>
          <w:rFonts w:ascii="arial" w:eastAsia="arial" w:hAnsi="arial" w:cs="arial"/>
          <w:i/>
          <w:color w:val="000000"/>
          <w:sz w:val="20"/>
          <w:lang w:val="en-US" w:eastAsia="en-US" w:bidi="ar-SA"/>
        </w:rPr>
        <w:t>, supra.</w:t>
      </w:r>
      <w:r>
        <w:rPr>
          <w:rFonts w:ascii="arial" w:eastAsia="arial" w:hAnsi="arial" w:cs="arial"/>
          <w:color w:val="000000"/>
          <w:sz w:val="20"/>
          <w:lang w:val="en-US" w:eastAsia="en-US" w:bidi="ar-SA"/>
        </w:rPr>
        <w:t xml:space="preserve"> This obligation has been called the 'doctrine of informed consent' or, in some cases, the 'duty of disclosure'.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[111] One of the underlying features of this duty is its focus on effective communication. In the words of Picard and Robertson in </w:t>
      </w:r>
      <w:r>
        <w:rPr>
          <w:rFonts w:ascii="arial" w:eastAsia="arial" w:hAnsi="arial" w:cs="arial"/>
          <w:i/>
          <w:color w:val="000000"/>
          <w:sz w:val="20"/>
          <w:lang w:val="en-US" w:eastAsia="en-US" w:bidi="ar-SA"/>
        </w:rPr>
        <w:t>Legal Liability of Doctors and Hospitals in Canada</w:t>
      </w:r>
      <w:r>
        <w:rPr>
          <w:rFonts w:ascii="arial" w:eastAsia="arial" w:hAnsi="arial" w:cs="arial"/>
          <w:color w:val="000000"/>
          <w:sz w:val="20"/>
          <w:lang w:val="en-US" w:eastAsia="en-US" w:bidi="ar-SA"/>
        </w:rPr>
        <w:t xml:space="preserve"> (Toronto: Carswell, 1996) at 111:</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Another important feature of the doctrine of informed consent is its focus on effective communication between doctor and patient. [...] The doctor's obligation to disclose material information to the patient about the proposed treatment makes the process of communication all the more important.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[112] Another aspect of this duty is the protection of a patient's bodily integrity and autonomy. On this aspect, Cory J. wrote in </w:t>
      </w:r>
      <w:r>
        <w:rPr>
          <w:rFonts w:ascii="arial" w:eastAsia="arial" w:hAnsi="arial" w:cs="arial"/>
          <w:b/>
          <w:i/>
          <w:color w:val="000000"/>
          <w:sz w:val="20"/>
          <w:lang w:val="en-US" w:eastAsia="en-US" w:bidi="ar-SA"/>
        </w:rPr>
        <w:t>Ciarelariello v. Schacter</w:t>
      </w:r>
      <w:r>
        <w:rPr>
          <w:rFonts w:ascii="arial" w:eastAsia="arial" w:hAnsi="arial" w:cs="arial"/>
          <w:color w:val="000000"/>
          <w:sz w:val="20"/>
          <w:lang w:val="en-US" w:eastAsia="en-US" w:bidi="ar-SA"/>
        </w:rPr>
        <w:t xml:space="preserve">, </w:t>
      </w:r>
      <w:hyperlink r:id="rId266" w:history="1">
        <w:r>
          <w:rPr>
            <w:rFonts w:ascii="arial" w:eastAsia="arial" w:hAnsi="arial" w:cs="arial"/>
            <w:i/>
            <w:color w:val="0077CC"/>
            <w:sz w:val="20"/>
            <w:u w:val="single"/>
            <w:shd w:val="clear" w:color="auto" w:fill="FFFFFF"/>
            <w:lang w:val="en-US" w:eastAsia="en-US" w:bidi="ar-SA"/>
          </w:rPr>
          <w:t>[1993] 2 S.C.R. 119</w:t>
        </w:r>
      </w:hyperlink>
      <w:r>
        <w:rPr>
          <w:rFonts w:ascii="arial" w:eastAsia="arial" w:hAnsi="arial" w:cs="arial"/>
          <w:color w:val="000000"/>
          <w:sz w:val="20"/>
          <w:lang w:val="en-US" w:eastAsia="en-US" w:bidi="ar-SA"/>
        </w:rPr>
        <w:t xml:space="preserve">, </w:t>
      </w:r>
      <w:hyperlink r:id="rId266" w:history="1">
        <w:r>
          <w:rPr>
            <w:rFonts w:ascii="arial" w:eastAsia="arial" w:hAnsi="arial" w:cs="arial"/>
            <w:i/>
            <w:color w:val="0077CC"/>
            <w:sz w:val="20"/>
            <w:u w:val="single"/>
            <w:shd w:val="clear" w:color="auto" w:fill="FFFFFF"/>
            <w:lang w:val="en-US" w:eastAsia="en-US" w:bidi="ar-SA"/>
          </w:rPr>
          <w:t>100 D.L.R. (4th) 609</w:t>
        </w:r>
      </w:hyperlink>
      <w:r>
        <w:rPr>
          <w:rFonts w:ascii="arial" w:eastAsia="arial" w:hAnsi="arial" w:cs="arial"/>
          <w:color w:val="000000"/>
          <w:sz w:val="20"/>
          <w:lang w:val="en-US" w:eastAsia="en-US" w:bidi="ar-SA"/>
        </w:rPr>
        <w:t xml:space="preserve"> at 618:</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should not be forgotten that every patient has a right to bodily integrity. This encompasses the right to determine what medical procedures will be accepted and the extent to which they will be accepted. Everyone has the right to decide what is to be done to one's own body. This includes the right to be free from medical treatment to which the individual does not consent. This concept of individual autonomy is fundamental to the common law and is the basis for the requirement that disclosure be made to a patient.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[113] </w:t>
      </w:r>
      <w:r>
        <w:rPr>
          <w:rFonts w:ascii="arial" w:eastAsia="arial" w:hAnsi="arial" w:cs="arial"/>
          <w:color w:val="000000"/>
          <w:sz w:val="20"/>
          <w:u w:val="single"/>
          <w:lang w:val="en-US" w:eastAsia="en-US" w:bidi="ar-SA"/>
        </w:rPr>
        <w:t>The standard of disclosure required of doctors when treating patients is determined by reference to a patient-centred test: what would the reasonable person in the patient's position want to know before making a decision about treatment</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What if the risk of injury to the patient is small? Where does the duty to disclose fall? The answer to that question can be found in </w:t>
      </w:r>
      <w:r>
        <w:rPr>
          <w:rFonts w:ascii="arial" w:eastAsia="arial" w:hAnsi="arial" w:cs="arial"/>
          <w:b/>
          <w:i/>
          <w:color w:val="000000"/>
          <w:sz w:val="20"/>
          <w:lang w:val="en-US" w:eastAsia="en-US" w:bidi="ar-SA"/>
        </w:rPr>
        <w:t>Bryan v. Hicks</w:t>
      </w:r>
      <w:r>
        <w:rPr>
          <w:rFonts w:ascii="arial" w:eastAsia="arial" w:hAnsi="arial" w:cs="arial"/>
          <w:color w:val="000000"/>
          <w:sz w:val="20"/>
          <w:lang w:val="en-US" w:eastAsia="en-US" w:bidi="ar-SA"/>
        </w:rPr>
        <w:t xml:space="preserve">, </w:t>
      </w:r>
      <w:hyperlink r:id="rId279" w:history="1">
        <w:r>
          <w:rPr>
            <w:rFonts w:ascii="arial" w:eastAsia="arial" w:hAnsi="arial" w:cs="arial"/>
            <w:i/>
            <w:color w:val="0077CC"/>
            <w:sz w:val="20"/>
            <w:u w:val="single"/>
            <w:shd w:val="clear" w:color="auto" w:fill="FFFFFF"/>
            <w:lang w:val="en-US" w:eastAsia="en-US" w:bidi="ar-SA"/>
          </w:rPr>
          <w:t>[1995] 10 W.W.R. 145</w:t>
        </w:r>
      </w:hyperlink>
      <w:r>
        <w:rPr>
          <w:rFonts w:ascii="arial" w:eastAsia="arial" w:hAnsi="arial" w:cs="arial"/>
          <w:color w:val="000000"/>
          <w:sz w:val="20"/>
          <w:lang w:val="en-US" w:eastAsia="en-US" w:bidi="ar-SA"/>
        </w:rPr>
        <w:t xml:space="preserve">, </w:t>
      </w:r>
      <w:hyperlink r:id="rId279" w:history="1">
        <w:r>
          <w:rPr>
            <w:rFonts w:ascii="arial" w:eastAsia="arial" w:hAnsi="arial" w:cs="arial"/>
            <w:i/>
            <w:color w:val="0077CC"/>
            <w:sz w:val="20"/>
            <w:u w:val="single"/>
            <w:shd w:val="clear" w:color="auto" w:fill="FFFFFF"/>
            <w:lang w:val="en-US" w:eastAsia="en-US" w:bidi="ar-SA"/>
          </w:rPr>
          <w:t>10 B.C.L.R. (3d) 239</w:t>
        </w:r>
      </w:hyperlink>
      <w:r>
        <w:rPr>
          <w:rFonts w:ascii="arial" w:eastAsia="arial" w:hAnsi="arial" w:cs="arial"/>
          <w:color w:val="000000"/>
          <w:sz w:val="20"/>
          <w:lang w:val="en-US" w:eastAsia="en-US" w:bidi="ar-SA"/>
        </w:rPr>
        <w:t xml:space="preserve"> (C.A.). In that case, the defendant orthopaedic surgeon removed a ganglion from the wrist of the plaintiff. The ganglion had developed over time and was painful and annoying to the plaintiff. The surgery was done appropriately, but the plaintiff developed a known complication-reflex sympathetic dystrophy. The plaintiff's hand became permanently disfigured and essentially useless. She sued, and the court found the defendant liable for failing to properly inform her of the risks of this complication. The defendant appealed on the basis that the risk was so low that there was no duty to disclose it. In rejecting that submission, Ryan J.A., speaking for the court, stated:</w:t>
      </w:r>
      <w:r>
        <w:rPr>
          <w:rFonts w:ascii="arial" w:eastAsia="arial" w:hAnsi="arial" w:cs="arial"/>
          <w:sz w:val="20"/>
          <w:lang w:val="en-US" w:eastAsia="en-US" w:bidi="ar-SA"/>
        </w:rPr>
        <w:cr/>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Did Dr. Hicks Have a Duty to Warn?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17 Counsel for the appellant submitted that the real basis of his appeal was that Dr. Hicks need not have said anything </w:t>
      </w:r>
      <w:r>
        <w:rPr>
          <w:rFonts w:ascii="arial" w:eastAsia="arial" w:hAnsi="arial" w:cs="arial"/>
          <w:i/>
          <w:color w:val="000000"/>
          <w:sz w:val="20"/>
          <w:lang w:val="en-US" w:eastAsia="en-US" w:bidi="ar-SA"/>
        </w:rPr>
        <w:t>at all</w:t>
      </w:r>
      <w:r>
        <w:rPr>
          <w:rFonts w:ascii="arial" w:eastAsia="arial" w:hAnsi="arial" w:cs="arial"/>
          <w:color w:val="000000"/>
          <w:sz w:val="20"/>
          <w:lang w:val="en-US" w:eastAsia="en-US" w:bidi="ar-SA"/>
        </w:rPr>
        <w:t xml:space="preserve"> about the risk of developing reflex sympathetic dystrophy. Counsel drew the court's attention to the evidence at trial which established that the risk of this complication was minimal, and the practice of other experts in the area was not to warn of it. He submitted that in the circumstances, this case fell outside the scope of the duty to warn.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 The evidence established that the incidence of reflex sympathetic dystrophy occurring after ganglion surgery was at best three percent of all cases. Of the three percent who are afflicted with this problem, ninety-five percent are left with no symptoms after about a month of therapy. The rest are left with the severe form of the condition which I have described earlier. By my calculation this means that about three in 2,000 might develop the severe, permanent form of the condition. Two respected experts in the area expressed the opinion that a patient need not be warned of the risk of reflex sympathetic dystrophy. Dr. Hicks' discussion of 'sympathetic pain' went beyond the standard practice in his profession.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19 The evidence also established that wrist ganglions can be very painful, but that they do not interfere with wrist function in any other way. Prescribed treatment is five-fold: injection, aspiration, manipulation, surgery, and doing nothing. All may lead to the disappearance of the ganglion. With everything but surgery there is a good chance that the ganglion will return.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 There was no issue with respect to the established case law in this area. A plaintiff must establish:</w:t>
      </w:r>
    </w:p>
    <w:p>
      <w:pPr>
        <w:numPr>
          <w:numId w:val="2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That there was a </w:t>
      </w:r>
      <w:r>
        <w:rPr>
          <w:rFonts w:ascii="arial" w:eastAsia="arial" w:hAnsi="arial" w:cs="arial"/>
          <w:i/>
          <w:color w:val="000000"/>
          <w:sz w:val="20"/>
          <w:lang w:val="en-US" w:eastAsia="en-US" w:bidi="ar-SA"/>
        </w:rPr>
        <w:t>material risk</w:t>
      </w:r>
      <w:r>
        <w:rPr>
          <w:rFonts w:ascii="arial" w:eastAsia="arial" w:hAnsi="arial" w:cs="arial"/>
          <w:color w:val="000000"/>
          <w:sz w:val="20"/>
          <w:lang w:val="en-US" w:eastAsia="en-US" w:bidi="ar-SA"/>
        </w:rPr>
        <w:t xml:space="preserve"> attending the proposed surgery which the physician or surgeon did not disclose.</w:t>
      </w:r>
    </w:p>
    <w:p>
      <w:pPr>
        <w:numPr>
          <w:numId w:val="2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a reasonable person in the position of the plaintiff to whom that risk was disclosed would have declined the surgery.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21 The scope of the duty to disclose and whether or not it has been breached are matters which must be decided in relation to the circumstances of each particular case. In </w:t>
      </w:r>
      <w:r>
        <w:rPr>
          <w:rFonts w:ascii="arial" w:eastAsia="arial" w:hAnsi="arial" w:cs="arial"/>
          <w:b/>
          <w:i/>
          <w:color w:val="000000"/>
          <w:sz w:val="20"/>
          <w:lang w:val="en-US" w:eastAsia="en-US" w:bidi="ar-SA"/>
        </w:rPr>
        <w:t>Ciarlariello v. Schacter</w:t>
      </w:r>
      <w:r>
        <w:rPr>
          <w:rFonts w:ascii="arial" w:eastAsia="arial" w:hAnsi="arial" w:cs="arial"/>
          <w:color w:val="000000"/>
          <w:sz w:val="20"/>
          <w:lang w:val="en-US" w:eastAsia="en-US" w:bidi="ar-SA"/>
        </w:rPr>
        <w:t>, a case decided one month after the trial in the case at bar the Supreme Court of Canada discussed the test for determining what constitutes a 'material risk'. Cory J. said this for the Court at page 133:</w:t>
      </w:r>
    </w:p>
    <w:p>
      <w:pPr>
        <w:spacing w:before="120"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Reibl v. Hughes</w:t>
      </w:r>
      <w:r>
        <w:rPr>
          <w:rFonts w:ascii="arial" w:eastAsia="arial" w:hAnsi="arial" w:cs="arial"/>
          <w:color w:val="000000"/>
          <w:sz w:val="20"/>
          <w:lang w:val="en-US" w:eastAsia="en-US" w:bidi="ar-SA"/>
        </w:rPr>
        <w:t xml:space="preserve"> [</w:t>
      </w:r>
      <w:hyperlink r:id="rId265" w:history="1">
        <w:r>
          <w:rPr>
            <w:rFonts w:ascii="arial" w:eastAsia="arial" w:hAnsi="arial" w:cs="arial"/>
            <w:i/>
            <w:color w:val="0077CC"/>
            <w:sz w:val="20"/>
            <w:u w:val="single"/>
            <w:shd w:val="clear" w:color="auto" w:fill="FFFFFF"/>
            <w:lang w:val="en-US" w:eastAsia="en-US" w:bidi="ar-SA"/>
          </w:rPr>
          <w:t>[1980] 2 S.C.R. 880</w:t>
        </w:r>
      </w:hyperlink>
      <w:r>
        <w:rPr>
          <w:rFonts w:ascii="arial" w:eastAsia="arial" w:hAnsi="arial" w:cs="arial"/>
          <w:color w:val="000000"/>
          <w:sz w:val="20"/>
          <w:lang w:val="en-US" w:eastAsia="en-US" w:bidi="ar-SA"/>
        </w:rPr>
        <w:t xml:space="preserve">], indicates that the disclosure which must be made to a patient will often be more than that which the medical profession might consider appropriate to divulge. Although expert medical evidence on this issue is still relevant, it is no longer decisive in determining whether or not sufficient information was given to a patient to enable that patient to make an informed consent. </w:t>
      </w:r>
      <w:r>
        <w:rPr>
          <w:rFonts w:ascii="arial" w:eastAsia="arial" w:hAnsi="arial" w:cs="arial"/>
          <w:i/>
          <w:color w:val="000000"/>
          <w:sz w:val="20"/>
          <w:lang w:val="en-US" w:eastAsia="en-US" w:bidi="ar-SA"/>
        </w:rPr>
        <w:t>The test now focuses on what the patient would want to know</w:t>
      </w:r>
      <w:r>
        <w:rPr>
          <w:rFonts w:ascii="arial" w:eastAsia="arial" w:hAnsi="arial" w:cs="arial"/>
          <w:color w:val="000000"/>
          <w:sz w:val="20"/>
          <w:lang w:val="en-US" w:eastAsia="en-US" w:bidi="ar-SA"/>
        </w:rPr>
        <w:t>. Laskin C.J. put the position in these words at pp. 894-95:</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allow expert medical evidence to determine what risks are material and, hence, should be disclosed and, correlatively, what risks are not material is to hand over to the medical profession the entire question of the scope of the duty of disclosure, including the question whether there has been a breach of that duty. Expert medical evidence is, of course, relevant to findings as to the risks that reside in or are a result of recommended surgery or other treatment. It will also have a bearing on their materiality but this is not a question that is to be concluded on the basis of the expert medical evidence alone. The issue under consideration is a different issue from that involved where the question is whether the doctor carried out his professional activities by applicable professional standards. </w:t>
      </w:r>
      <w:r>
        <w:rPr>
          <w:rFonts w:ascii="arial" w:eastAsia="arial" w:hAnsi="arial" w:cs="arial"/>
          <w:i/>
          <w:color w:val="000000"/>
          <w:sz w:val="20"/>
          <w:lang w:val="en-US" w:eastAsia="en-US" w:bidi="ar-SA"/>
        </w:rPr>
        <w:t>What is under consideration here is the patient's right to know what risks are involved in undergoing or foregoing certain surgery or other treatment.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u w:val="single"/>
          <w:lang w:val="en-US" w:eastAsia="en-US" w:bidi="ar-SA"/>
        </w:rPr>
        <w:t>In deciding whether a risk is material and therefore, one which should be explained to the patient, an objective approach should be taken. The crucial question in determining the issue is whether a reasonable person in the patient's position would want to know the risk.</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22 Thus, a risk may be remote, yet considered to be material (eg. </w:t>
      </w:r>
      <w:r>
        <w:rPr>
          <w:rFonts w:ascii="arial" w:eastAsia="arial" w:hAnsi="arial" w:cs="arial"/>
          <w:b/>
          <w:i/>
          <w:color w:val="000000"/>
          <w:sz w:val="20"/>
          <w:lang w:val="en-US" w:eastAsia="en-US" w:bidi="ar-SA"/>
        </w:rPr>
        <w:t>Rocha v. Harris</w:t>
      </w:r>
      <w:r>
        <w:rPr>
          <w:rFonts w:ascii="arial" w:eastAsia="arial" w:hAnsi="arial" w:cs="arial"/>
          <w:color w:val="000000"/>
          <w:sz w:val="20"/>
          <w:lang w:val="en-US" w:eastAsia="en-US" w:bidi="ar-SA"/>
        </w:rPr>
        <w:t xml:space="preserve"> </w:t>
      </w:r>
      <w:hyperlink r:id="rId280" w:history="1">
        <w:r>
          <w:rPr>
            <w:rFonts w:ascii="arial" w:eastAsia="arial" w:hAnsi="arial" w:cs="arial"/>
            <w:i/>
            <w:color w:val="0077CC"/>
            <w:sz w:val="20"/>
            <w:u w:val="single"/>
            <w:shd w:val="clear" w:color="auto" w:fill="FFFFFF"/>
            <w:lang w:val="en-US" w:eastAsia="en-US" w:bidi="ar-SA"/>
          </w:rPr>
          <w:t>(1987), 36 D.L.R. (4th) 410</w:t>
        </w:r>
      </w:hyperlink>
      <w:r>
        <w:rPr>
          <w:rFonts w:ascii="arial" w:eastAsia="arial" w:hAnsi="arial" w:cs="arial"/>
          <w:color w:val="000000"/>
          <w:sz w:val="20"/>
          <w:lang w:val="en-US" w:eastAsia="en-US" w:bidi="ar-SA"/>
        </w:rPr>
        <w:t xml:space="preserve"> (B.C.C.A.) at p. 413).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23 In the case at bar the trial judge found the words of McLachlin J. in </w:t>
      </w:r>
      <w:r>
        <w:rPr>
          <w:rFonts w:ascii="arial" w:eastAsia="arial" w:hAnsi="arial" w:cs="arial"/>
          <w:b/>
          <w:i/>
          <w:color w:val="000000"/>
          <w:sz w:val="20"/>
          <w:lang w:val="en-US" w:eastAsia="en-US" w:bidi="ar-SA"/>
        </w:rPr>
        <w:t>Rawlings v. Lindsay</w:t>
      </w:r>
      <w:r>
        <w:rPr>
          <w:rFonts w:ascii="arial" w:eastAsia="arial" w:hAnsi="arial" w:cs="arial"/>
          <w:color w:val="000000"/>
          <w:sz w:val="20"/>
          <w:lang w:val="en-US" w:eastAsia="en-US" w:bidi="ar-SA"/>
        </w:rPr>
        <w:t xml:space="preserve"> </w:t>
      </w:r>
      <w:hyperlink r:id="rId269" w:history="1">
        <w:r>
          <w:rPr>
            <w:rFonts w:ascii="arial" w:eastAsia="arial" w:hAnsi="arial" w:cs="arial"/>
            <w:i/>
            <w:color w:val="0077CC"/>
            <w:sz w:val="20"/>
            <w:u w:val="single"/>
            <w:shd w:val="clear" w:color="auto" w:fill="FFFFFF"/>
            <w:lang w:val="en-US" w:eastAsia="en-US" w:bidi="ar-SA"/>
          </w:rPr>
          <w:t>(1982), 20 C.C.L.T. 301</w:t>
        </w:r>
      </w:hyperlink>
      <w:r>
        <w:rPr>
          <w:rFonts w:ascii="arial" w:eastAsia="arial" w:hAnsi="arial" w:cs="arial"/>
          <w:color w:val="000000"/>
          <w:sz w:val="20"/>
          <w:lang w:val="en-US" w:eastAsia="en-US" w:bidi="ar-SA"/>
        </w:rPr>
        <w:t xml:space="preserve"> (B.C.S.C.), to be useful where she said at 306:</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a medical person must disclose those risks to which a reasonable patient would be likely to attach significance in deciding whether or not to undergo the proposed treatment. In making this determination, the degree of probability of the risk and its seriousness are relevant factors. Thus an "unusual" or improbable risk should be disclosed if its effects are serious. Conversely, a minor result should be disclosed if it is inherent in or a probable result of the process.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Other factors which may be relevant in determining a reasonable standard of disclosure include the gravity of the condition to be treated, the importance of the benefits expected to flow from the treatment and the intellectual and emotional capacity of the patient to accept the information without such distortion as to prevent any rational decision at all.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23.1 In the case at bar, although the plaintiff's wrist was painful, her condition was not dangerous to her health. She had tried one other method of treatment without success, but there were other methods which might have assisted her. The benefit of surgery was that it was 100% effective in removing the ganglion and carried a small risk that the ganglion would return. The drawback was the slight chance that the patient would lose the use of her hand completely. The trial judge determined in effect that although medical opinion was to the contrary with respect to the level of disclosure required in such a situation, a reasonable person would want to know this risk. I cannot say that in the circumstances of this case the trial judge was wrong in finding that the risk was "material" and therefore ought to have been disclosed.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principles regarding consent can be summarized as follows:</w:t>
      </w:r>
      <w:r>
        <w:rPr>
          <w:rFonts w:ascii="arial" w:eastAsia="arial" w:hAnsi="arial" w:cs="arial"/>
          <w:sz w:val="20"/>
          <w:lang w:val="en-US" w:eastAsia="en-US" w:bidi="ar-SA"/>
        </w:rPr>
        <w:cr/>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physician owes a duty to their patient to disclose any special, material, or unusual risks associated with the treatment or a procedure and, in certain circumstances, to disclose alternative treatments reasonably available to the patient. The duty to disclose is a patient oriented test, the determining factor being what would a reasonable patient want to know?;</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Although a particular risk may be only a mere possibility, if its occurrence carries serious consequences (i.e. paralysis or death), it is a "material risk" and requires disclosure;</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Expert medical evidence as to whether a particular risk is or is not normally explained to a patient is relevant but the determination must be made on the basis of what the reasonable patient in the circumstances of the plaintiff would want to know, not on the basis of what a reasonable physician thinks ought to be disclosed.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law mandates full disclosure to patients of information which "... a reasonable patient would want to know before making a decision regarding treatment". This applies to all material risks, including risks which may be small but which carry potentially significant consequences for the patient.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Dr. Yue - Consent to Prostaglandin Induction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Induction of labour is the initiation of labour before the spontaneous onset of labour begins, to allow for delivery of the baby. There are different agents which may be used depending on the status of the cervix. The induction agent administered in this case was that of Prostin vaginal gel.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evidence on this issue is very clear. As part of the plaintiff's case, Dr. Yue's discovery evidence as follows was read 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134</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All right. So I presume that you would not have explained to Ms. Cojocaru any risks attendant upon induction?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This evidence was confirmed during her evidence at trial, when Dr. Yue testified that she did not speak with Ms. Cojocaru about induction. She testified that if a VBAC was planned and the patient passed the due date, she does not normally discuss the risks of induction with her patients.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Dr. Mitchell, an expert called on behalf of the plaintiff, states in his report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One of the complications of labour induction with pharmacological agents is the risk of over-stimulating the uterus. It is obvious that, in the setting of a trial VBAC, this unintended over-stimulation could pose a greater risk of uterine rupture. From the SOGC guidelines in 1997, based on a relatively large body of information in the literature, it was determined acceptable to induce labour with the most commonly used inducing drug, Ocytocin. However, there was much less information regarding the use of prostaglandin E or 'Prostin' (an alternative labour-inducing drug) with a trial VBAC. With this drug, which is contained in a gel suspension that is inserted into the vagina, there is greater difficulty in removing the drug if uterine over-stimulation occurs. The SOGC guidelines specifically advised that patients be counseled regarding the limitation of information regarding the safety of prostaglandin E induction in women undergoing a trial VBAC.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This warning was never given to Ms. Cojocaru. No counselling on this issue, as recommended by the Society of Obstetricians and Gynaecologists of Canada ("SOGC") Guidelines, was provided to Ms. Cojocaru.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evidence indicates that Ms. Cojocaru was very confused as to why she was going into hospital. One must remember that she was new to Canada, with limited language skills. She regularly used an interpreter at her early appointments with Dr. Yue. Dr. Yue clearly intended that a routine induction be performed. Ms. Cojocaru believed that she needed to begin the induction procedure in order to access the caesarean section she wanted. This is consistent with her evidence, and the evidence of her husband, as to how she accessed her initial caesarean section during the birth of her first son. Then, she arrived at the hospital, her waters broke while they were on the steps of the hospital, and she had her caesarean section after Dr. Clepce determined that her baby had an improper 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Dr. Yue conceded in cross-examination that it was her responsibility to convey appropriate information to her patient about all of the risks and benefits of the medical options being offered. I conclude that she failed in this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It was suggested in the evidence of Nurse MacQueen that Ms. Cojocaru was fully informed as to her reasons for attendance at the hospital on May 21, 2001, and the induction and the trial of labour planned. Nurse MacQueen also suggests in her evidence some discussion during Ms. Cojocaru's admission about the orientation of the uterine scar. This was denied by Ms. Cojocaru. Indeed, her evidence was very different. She testified that she told Nurse MacQueen that she wanted a repeat caesarean 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 do not accept the evidence of Nurse MacQueen with respect to the discussion between Ms. Cojocaru and Nurse MacQueen. It is not reliable for a number of reasons. First off, this was, at the time, a routine discussion with a patient who, according to Nurse MacQueen, was in for a routine procedure. There would have been no reason for her to remember the details of this conversation, notwithstanding her evidence that the events of the birth made it memorable. She was not involved, by her own admission, in the trauma of Ms. Cojocaru's delivery. She simply heard about it the next day. She did not even remember going up and leaving a gift for the baby after the delivery.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Secondly, Ms. Cojocaru gave evidence that she spoke with a number of hospital staff members several days after the delivery, after Mr. Cojocaru had phoned Dr. Clepce in Romania to determine the orientation of the uterine scar. It is likely this is the conversation that Nurse MacQueen is remembering, not something that happened the day of the delivery.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Third, and of most important note, Nurse MacQueen admitted in cross-examination that evidence of the orientation of the uterine scar would have been important clinical information in the context of this case, yet no note was ever made by her on any documentation.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Finally, Dr. Clepce himself testified that he had not been in touch with Ms. Cojocaru as alleged by Nurse MacQueen. He confirmed that the first contact he had with either her or her husband was following the delivery, when Mr. Cojocaru contacted him with a request for the operative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 conclude Nurse MacQueen is simply mistaken in believing that she spoke with Ms. Cojocaru before her induction as she described.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Even if I accepted the defence assertion that Ms. Cojocaru understood she was being admitted for an induction and VBAC, not for a caesarean section, which I do not, the evidence clearly establishes Dr. Yue breached her obligation to properly inform Ms. Cojocaru of the risks associated with a prostaglandin induction.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As indicated above, the evidence establishes without question that Dr. Yue did not advise Ms. Cojocaru of any increased risk associated with a prostaglandin induction. The defence case is that there was no need to do so because no increased risk was established in the evidence. This is a defence without foundation. The viva voce evidence, and the documentary evidence, clearly establishes that Ms. Cojocaru should have been advised of the potential increased risk associated with the use of prostaglandins.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There are a number of sources in evidence that support this conclusion. First off, the Compendium of Pharmaceuticals and Specialities ("CPS") 2000 and 2001 states that the use of Prostin gel is contraindicated where there is a history of a caesarean section. Here, there was a previous caesarean 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British Columbia Reproductive Care Program ("BCRCP"), Obstetric Guideline 1, acknowledged by Dr. Yue to be a Guideline which was in force in BC Women's Hospital at the time, states that the risks and benefits of induction should be reviewed with the pregnant woman and her partner. It defines the risks, and two of them are relevant to the case at hand - hyperstimulation of the uterus and uterine rupture. The Guideline states that an "absolute contraindication" to induction is that of an unknown scar. Further, it states: "there should be discussion and disclosure of risk factors (including anticipated obstetrical risk, advantages and limitations of local maternity care services, and transport risks) with the patient prior to the induction, an informed consent should be obtained".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BCRCP reiterates the SOGC Clinical Practice Guideline Policy, December 1997, in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safety of prostaglandin gel use in women with previous low segment sections has not been established and further research is needed. Prostaglandin preparations may be associated with very strong uterine contractions, and there are little data available on their use in women with uterine scars. At this time if prostaglandin gel is to be used in the presence of a low segment caesarean section scar, the woman must understand the limitation of knowledge in this area, and the immediate availability of physicians and resources to respond to an emergency must be provided. (pp. 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It concludes that "full participation of the patient in these decisions is vital".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Alarm Course Syllabus, 8th ed., SOGC states that "if an induction with Oxytocin or prostaglandin is done in the presence of a low segment caesarean section scar, the woman and her physician must understand the limitation of knowledge in this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Dr. Yue's excuse for failing to comply with her obligation to inform or warn her patient, as virtually all the applicable clinical guidelines mandated, fell into two categories.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First, with respect to her failure to warn or inform Ms. Cojocaru of the warning by the drug manufacturer that Prostin is contraindicated in a VBAC situation, Dr. Yue testified that she does not make clinical decisions regarding patient management based on the CPS. In this regard, she was supported by some of the experts, Dr. Pendleton and Dr. Dansereau, and by her colleague Dr. Steele. The evidence that clinicians may not make clinical decisions based on what the CPS states is, however, not the point. The question is </w:t>
      </w:r>
      <w:r>
        <w:rPr>
          <w:rFonts w:ascii="arial" w:eastAsia="arial" w:hAnsi="arial" w:cs="arial"/>
          <w:color w:val="000000"/>
          <w:sz w:val="20"/>
          <w:u w:val="single"/>
          <w:lang w:val="en-US" w:eastAsia="en-US" w:bidi="ar-SA"/>
        </w:rPr>
        <w:t>not</w:t>
      </w:r>
      <w:r>
        <w:rPr>
          <w:rFonts w:ascii="arial" w:eastAsia="arial" w:hAnsi="arial" w:cs="arial"/>
          <w:color w:val="000000"/>
          <w:sz w:val="20"/>
          <w:lang w:val="en-US" w:eastAsia="en-US" w:bidi="ar-SA"/>
        </w:rPr>
        <w:t xml:space="preserve"> whether it was medically acceptable to use Prostin for induction purposes. The question is whether Dr. Yue had an obligation to disclose to her patient that the company that produces Prostin indicates that it is contraindicated in a VBAC situation. The law obligates Dr. Yue to disclose information which a reasonable patient would want to know. I conclude that a reasonable VBAC patient would want to know that Prostin, which is </w:t>
      </w:r>
      <w:r>
        <w:rPr>
          <w:rFonts w:ascii="arial" w:eastAsia="arial" w:hAnsi="arial" w:cs="arial"/>
          <w:color w:val="000000"/>
          <w:sz w:val="20"/>
          <w:u w:val="single"/>
          <w:lang w:val="en-US" w:eastAsia="en-US" w:bidi="ar-SA"/>
        </w:rPr>
        <w:t>only</w:t>
      </w:r>
      <w:r>
        <w:rPr>
          <w:rFonts w:ascii="arial" w:eastAsia="arial" w:hAnsi="arial" w:cs="arial"/>
          <w:color w:val="000000"/>
          <w:sz w:val="20"/>
          <w:lang w:val="en-US" w:eastAsia="en-US" w:bidi="ar-SA"/>
        </w:rPr>
        <w:t xml:space="preserve"> used for induction purposes, is specifically contraindicated in VBAC patients. This is not a drug which is being used for an "off label" purpose (which was Dr. Dansereau's justification for not warning the patient). This was a drug which has only one use. In this circumstance, the obligation to disclose the warning that it is contraindicated cannot be ignored by the attending physician on the basis that it is a clinical decision for the physician to make.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With respect to her failure to warn of the increased risks associated with the use of Prostin, Dr. Yue testified that, in her view, the existence of some published studies which indicated that there was no increased risk relieved her of her duty to warn or inform. In this regard, she was supported by the same defence experts and by Dr. Steele.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With respect, the testimony of these physicians displays the kind of medical arrogance which was rejected by the Supreme Court of Canada in </w:t>
      </w:r>
      <w:r>
        <w:rPr>
          <w:rFonts w:ascii="arial" w:eastAsia="arial" w:hAnsi="arial" w:cs="arial"/>
          <w:b/>
          <w:i/>
          <w:color w:val="000000"/>
          <w:sz w:val="20"/>
          <w:lang w:val="en-US" w:eastAsia="en-US" w:bidi="ar-SA"/>
        </w:rPr>
        <w:t>Reibl</w:t>
      </w:r>
      <w:r>
        <w:rPr>
          <w:rFonts w:ascii="arial" w:eastAsia="arial" w:hAnsi="arial" w:cs="arial"/>
          <w:color w:val="000000"/>
          <w:sz w:val="20"/>
          <w:lang w:val="en-US" w:eastAsia="en-US" w:bidi="ar-SA"/>
        </w:rPr>
        <w:t xml:space="preserve"> at 894-895: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allow expert medical evidence to determine what risks are material and, hence, should be disclosed and, correlatively, what risks are not material is to hand over to the medical profession the entire question of the scope of the duty of disclosure, including the question whether there has been a breach of that duty. Expert medical evidence is, of course, relevant to findings as to the risks that reside in or are a result of recommended surgery or other treatment. It will also have a bearing on their materiality but this is not a question that is to be concluded on the basis of the expert medical evidence alone. The issue under consideration is a different issue from that involved where the question is whether the doctor carried out his professional activities by applicable professional standards. What is under consideration here is the patient's right to know what risks are involved in undergoing or foregoing certain surgery or other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other cases referred to above have repeatedly stated that the test is not what the medical profession wants to disclose, nor thinks should be disclosed, but rather what the patient would want to know.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In this case, Ms. Cojocaru made clear to Dr. Yue her concerns regarding the health of her baby. Dr. Yue failed to advise Ms. Cojocaru that the medication she was intending to use had been found to be contraindicated by the manufacturer in VBAC patients. She failed to mention that the SOGC was so concerned about the potential increased risk of uterine rupture that they issued a specific directive to the medical community mandating advice to the patient regarding the limitations of knowledge in this area. This directive was picked up and repeated in the BC Reproductive Care Program Guidelines, which were in use at BC Women's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 conclude that any reasonable woman in the circumstances of Ms. Cojocaru would have rejected induction had this information been shared. Ms. Cojocaru herself confirmed that if Dr. Yue had advised her of the risks of uterine rupture with Prostaglandin, as a statistically small risk to the baby's life and health, she would never have exposed her baby to any risk. She was never interested in having a natural delivery. She had been advised against such a course of action and had come to Canada fully expecting, and fully desiring, a repeat caesarean section. As a result of the information which was provided to her by Dr. Yue, Ms. Cojocaru believed that she had to undergo the induction in order to access a caesarean 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It is important to note that Dr. Yue agreed in cross-examination that pregnant patients must be allowed to participate in the decision regarding the delivery and that patients are entitled to be given information regarding all of the potential risks associated with the various modes of delivery. She also confirmed that it is her obligation to provide information in a manner that is understandable to the patient. She agreed that she also relies on the SOGC Guidelines and the Guidelines of the BC Reproductive Care Program and that she recognizes those bodies as authorities.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Whatever might be said of the appropriateness of using Prostin for inductions, it is clear that Dr. Yue had a legal obligation to advise her patient of not only the fact that the manufacturer had specifically indicated that that medication was contraindicated in her situation, but also to advise her, in accordance with the SOGC and the BCRCP Guidelines, that there was conflicting and limited knowledge regarding the safety of the use of Prostin in VBAC patients. She failed in both aspects of this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Dr. Yue - Consent to VBAC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 turn now to the duty to disclose to Ms. Cojocaru the risks associated with VBAC.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evidence in this case shows that, until recent years, women who had a child delivered by caesarean section would have all subsequent children delivered the same way ("once a caesarean, always a caesarean"). The medical community has more recently determined that many women who have had a previous caesarean section can safely deliver a subsequent child by vaginal delivery. Thus, it has become common for such women to be offered a "trial of labour".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VBAC carries with it special risks. The most serious risk associated with the trial of labour in a VBAC patient is the risk of uterine rupture. The uterus is the abdominal organ containing the baby, the placenta and the umbilical cord connecting the baby to the placenta. In a woman who has had a previous caesarean section, there is a scar on the uterus, which can come apart to varying degrees. This is known as dehiscence. A dehiscence may progress to a full rupture of the uterus at the site of the scar, after which the baby may be expelled or "extruded" from the uterus into the abdominal cavity. This can cut off the supply of blood and, with the blood, oxygen and nutrients to the baby. The period during which the scar is coming apart is sometimes referred to as an impending rupture. The scar that is of concern is not the visible surgical scar on the abdomen, but the internal scar on the uterus.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A uterine rupture is a life-threatening complication to both the mother and the baby. The time within which the attending physician may intervene to save the baby and mother is very short. Although the risk is statistically small, the seriousness of the consequences makes it a significant risk, and thus a "material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expert witnesses (both plaintiff and defendant, both medical and nursing), and indeed Dr. Yue herself, agreed that a fully informed consent is essential in relation to offering VBAC as an option to a patient who has had a previous caesarean section. The options of VBAC and caesarean section should be explained clearly and, more importantly, so should the risks involved with both procedures. The consent should be obtained on the basis that the patient can make an informed and intelligent decision based on the advice given by the physician. The physician must ensure that the risks are outlined in such a way that the patient is given a reasonable understanding of the options explained and the associated risks.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As Dr. Mitchell confirmed in his report dated July 16, 2007: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a patient has had a previous caesarean section, a decision must be made during a subsequent pregnancy whether to attempt a trial of vaginal delivery after caesarean (VBAC) or to schedule an elective repeat caesarean section. In 2001, the standard of care was that it was the responsibility of the Obstetrician (Dr. Yue) to fully explain to the patient the risks and benefits of the alternative modes of management. Then, the patient and the Obstetrician together would decide upon the most appropriate course of action. In order to discuss the risks of a trial VBAC, it is essential to know the type of uterine incision that was performed in the previous caesarean section. With respect to this specific case, there are three sequential considerations that should have been discussed: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Undertaking a trial VBAC includes a risk of uterine disruption. Most commonly this is in the form of uterine dehiscence (separation of the uterine muscle along the edges of the old scar) but a full uterine rupture (complete separation of the old scar including all layers of the uterus) may also occur. This risk is low (usually quoted as less than one in two hundred attempted VBACs).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If there was a vertical incision in the uterus (either a "classical" caesarean section or a low transverse incision that was extended vertically), the risk of uterine rupture is significantly increased to the range of 10%. If these types of uterine scars rupture, there is likely to be severe consequences for the mother and baby because of severe hemorrhage and disruption of the placenta from the uterine wall. There is general agreement that the risks of rupture of a previous vertical uterine incision during a subsequent labour, with the attendant complications for both mother and baby, far outweigh the putative benefits of VBAC. Thus, for a patient with a previous caesarean section with a vertical uterine incision, a trial VBAC would be contraindicated.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 One of the complications of labour induction with pharmacological agents is the risk of over-stimulating the uterus. It is obvious that, in the setting of a trial VBAC, this unintended over-stimulation could pose a greater risk of uterine rupture. From the SOGC guidelines in 1997, based on a relatively large body of information in the literature, it was determined acceptable to induce labour with the most commonly used inducing drug, Ocytocin. However, there was much less information regarding the use of prostaglandin E or "Prostin" (an alternative labour-inducing drug) with a trial VBAC. With this drug, which is contained in a gel suspension that is inserted into the vagina, there is greater difficulty in removing the drug if uterine over-stimulation occurs. The SOGC guidelines specifically advised that patients be counseled regarding the limitation of information regarding the safety of prostaglandin E induction in women undergoing a trial VBAC.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defendant's expert, Dr. Pendleton, agreed that the standard is now that patients are to be given enough information to be able to make an informed and intelligent decision and that means outlining the risks. He agreed that the job of the physician is to ensure the patient understands.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Dr. Dansereau, an expert called for the defence, agreed that the patient should have full participation in decision-making and that this is very important. He stated that the patient should be told as much as possible about the pros and cons of any procedure. He agreed in general that the patient should be given enough information so that she can make an intelligent decision. He stated that you must use language that is understandable by the patient as much as possible and he agreed that in terms of using lay language the physician has an obligation to explain risks and potential consequences. He agreed that in terms of explaining real world consequences, it is necessary to explain that if the risk happens, this is the kind of intervention we can provide and the likely success of the outcome.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He also confirmed that a contraindication for a VBAC is a previous classical or unknown scar. At page 8 of Dr. Dansereau's report, he said that it was reasonable to assume that Ms. Cojocaru had previously had a lower transverse caesarean section. In cross-examination, however, he confirmed that if Dr. Yue was wrong in her assumption, there would be an increased risk which would have been very serious indeed.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Dr. Dansereau was involved in the British Columbian Reproductive Care Program. This program looked at obstetrical practices and produced guidelines or recommendations which would have been in force in 2001. He agreed with the following excerpt from the recommendations: "women ... must be made aware of the hospital resources and the availability of an obstetrical surgeon, anaesthetic services, and operating room personnel who may be required in an emergency". He also agreed with a recommendation from the same guidelines, which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However, the primary care provider must determine the appropriateness of labor by reviewing the woman's previous caesarean section operative report. Documentation of the location and type of uterine incision is mandatory.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Dr. Dansereau confirmed that as much documentation as possible would be needed to verify the orientation of the scar. He also agreed with the statement in the conclusion of the above exhibit that full participation of the patient in these decisions is vital.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Dr. Dansereau also confirmed that most practitioners are aware of the SOGC Guidelines, the BCRCP Guidelines, and when new guidelines come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guidelines and recommendations in evidence confirm that uterine rupture is a known risk. In addition, they highlight the importance of informed consent on that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SOGC Clinical Practice Guidelines state that "full participation of the patient in the decision is of supreme importance". The Guidelines conclude that "full participation of the patient in these decisions is vital". Dr. Dansereau agreed with these statements of principle.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BCRCP Obstetric Guideline, May 8, 2000, states that "respect for the woman's autonomy, her participation and the participation of her partner in decision making is of paramount importance". It goes on to say that: "women undergoing labour after a previous caesarean section must be made aware of the hospital resources and the availability of an obstetrical surgeon, anaesthetic services and operating room personnel who may be required in an emergency" and "however the primary care provider must determine the appropriateness of labour by reviewing the woman's previous caesarean section operative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Full participation of the patient in these decisions is vital. The significance of these statements regarding resources is very important in this case for two reasons outlined in the section below dealing with Dr. Yue's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Dr. Yue did not seriously dispute the evidence of the experts on this topic. Of note, she agreed in cross-examination that:</w:t>
      </w:r>
      <w:r>
        <w:rPr>
          <w:rFonts w:ascii="arial" w:eastAsia="arial" w:hAnsi="arial" w:cs="arial"/>
          <w:sz w:val="20"/>
          <w:lang w:val="en-US" w:eastAsia="en-US" w:bidi="ar-SA"/>
        </w:rPr>
        <w:cr/>
      </w:r>
    </w:p>
    <w:p>
      <w:pPr>
        <w:numPr>
          <w:numId w:val="2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Patients are entitled to be given full information regarding all of the potential risks associated with the various modes of delivery.</w:t>
      </w:r>
    </w:p>
    <w:p>
      <w:pPr>
        <w:numPr>
          <w:numId w:val="2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Her obligation is to provide information in a manner that is understandable to the patient.</w:t>
      </w:r>
    </w:p>
    <w:p>
      <w:pPr>
        <w:numPr>
          <w:numId w:val="2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She confirmed that there is a risk of uterine rupture with a VBAC.</w:t>
      </w:r>
    </w:p>
    <w:p>
      <w:pPr>
        <w:numPr>
          <w:numId w:val="2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risk of uterine rupture is much higher if the first caesarean section is not performed with a lower transverse incision. At one point she suggested that VBAC with a prior vertical incision is still possible (ie - it can still be done safely after proper counseling). She agreed on further questioning that it would never be recommended.</w:t>
      </w:r>
    </w:p>
    <w:p>
      <w:pPr>
        <w:numPr>
          <w:numId w:val="2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She was aware that if a uterine rupture occurs, that would put the life of mother and baby at risk and that the injury could happen within minutes.</w:t>
      </w:r>
    </w:p>
    <w:p>
      <w:pPr>
        <w:numPr>
          <w:numId w:val="2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She stated that although she cannot remember the details of the appointments or what was discussed, relying upon her invariable routine, she testified what she would have advised regarding the option of elective caesarean section. The advantage being that it can be scheduled at a specific time and poses less risks for the fetus, but the harder side is for the mother. It is difficult for the mother to mobilize and difficult to have another baby, as that would be a total of three caesarean sections.</w:t>
      </w:r>
    </w:p>
    <w:p>
      <w:pPr>
        <w:numPr>
          <w:numId w:val="2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relation to VBAC, Dr. Yue stated (again relying upon her invariable routine) that she would have told Ms. Cojocaru there is less bleeding, the patient can mobilize more quickly and the next pregnancy will be easier. She testified that the major concern is the risk of uterine rupture (which she pegged at 1 in 200). She testified that she would have explained that the majority of times this can be detected in time and they can do a caesarean section. However, sometimes the baby can be pushed outside of the abdomen, with resultant lack of oxygen, injury, brain damage and death. She indicated that the risk of this happening is very small.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In order to proceed, it is necessary to determine specifically what information was conveyed to Ms. Cojocaru, in an understandable manner, about the risks associated with VBAC.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Ms. Cojocaru's evidence, and the independent evidence of Ms. Geller, is that Ms. Cojocaru was seeking Dr. Yue's assistance in arranging a repeat caesarean section. That is what she had been advised to do by her Romanian obstetrician and that is what she believed, based on her experiences and her understanding of proper practice, would be done in Romania. She was very surprised when Dr. Yue spoke about a vaginal delivery. To Ms. Cojocaru's mind, Dr. Yue described the vaginal delivery in such light that everything would be natural and everything would go well and that there would be no medication involved. Ms. Cojocaru confirmed that there was a discussion about a caesarean section and that Dr. Yue described a lot of risks associated with same. Dr. Yue did not describe the risks associated with a natural delivery. Most importantly, there was no discussion in relation to the risk of uterine rupture. Ms. Cojocaru confirmed in evidence that the first time she heard about the risk of possible uterine rupture was after Eric was born. She confirmed that had she been advised by Dr. Yue that there was a 1 in 200 chance of uterine rupture, and the implications of that risk, there is no way she would have attempted to deliver vaginally. In her words, she had already experienced the worst with a baby with problems, she was as a result anxious and concerned about the delay in the birth of her second child. She was not prepared to accept any level of risk that could be avoided.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Ms. Geller confirmed that there was no discussion by Dr. Yue in relation to the risks associated with natural delivery. Ms. Geller confirmed that Dr. Yue did not advise about the risk of uterine rupture with a trial of labour. She did not recall the number 1 in 200 in relation to the uterine rupture.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Mr. Cojocaru confirmed that he spoke with his wife soon after the appointments. He was told by Ms. Cojocaru that Dr. Yue said it was possible to have a vaginal delivery. He recalled Ms. Cojocaru indicating that Dr. Yue had explained all the benefits in relation to a vaginal delivery but had not told Ms. Cojocaru about any possible risks.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Similarly, Mr. Cojocaru confirmed that they did not know about the risks associated with Prostaglandin. As far as he was aware, the gel would be inserted to start the delivery process and any time she felt pain, the team would be ready to provide a caesarean 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Mr. Sarban gave evidence that he had discussed the appointments with his sister. Again, he recounted that while Ms. Cojocaru was advised of the possible benefits of VBAC, no risks had been outlined. He also testified that Ms. Cojocaru was not interested in VBAC - she maintained her desire for a repeat caesarean 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Alina Sarban, the sister-in-law of Ms. Cojocaru, had known her for many years. She too is from Romania. She confirmed the Romanian cultural view that as Ms. Cojocaru had a previous caesarean section there would be no other way to deliver Eric. That was the concept in Romania. She recalled conversations with Ms. Cojocaru after the appointments with Dr. Yue. Ms. Cojocaru had told her that she wanted a caesarean section. Dr. Yue had spoken about a natural delivery. Ms. Cojocaru had been told that she would have a team available right away and that all she had to do was raise a finger and she would have the caesarean section. She confirmed that there was no discussion about the risks of a natural delivery.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In summary, five witnesses gave evidence in relation to the above issue and the fact that the risk of uterine rupture was not explained to Ms. Cojocaru. Those who testified as to the meeting with Dr. Yue were Ms. Cojocaru and Ms. Geller. Ms. Geller was a believable witness, not shaken in cross-examination. Ms. Cojocaru's evidence was completely believable. She was a direct and impressive witness. She clearly communicated that she was, and I accept her evidence, an overly cautious expectant mother who desired a caesarean section. I accept she had limited language skills in English. I accept that she used Ms. Geller as an interpreter.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As for the evidence of Dr. Yue, it is important to note that Dr. Yue conceded that she has no recollection of her discussions with Ms. Cojocaru. She did not remember who attended the appointments with Ms. Cojocaru. She testified that she must rely upon her invariable routine, and upon her chart notes, in order to testify as to what occurred between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In this regard, it is important to first look to the notes made by Dr. Yue at the time. The notes indicate that Dr. Yue did advise Ms. Cojocaru that there was an option available to her - VBAC versus repeat caesarean section. Ms. Cojocaru herself agrees that such a discussion took place. There are virtually no other notes, however, indicating that there was any discussion of the risks associated with each option. Dr. Yue points to her consultation letter to the family practitioner dated March 18, 2001 for verification of the fact that she did indeed discuss risks with Ms. Cojocaru. It is important to look at the details of that letter, however, in order to determine whether it does indeed indicate that the risks were discussed with Ms. Cojocaru. The letter indicates: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is a 32-year-old patient with a previous C-section. The methods of delivery were discussed with her in detail. She can either choose an elective repeat C-section or a trial of vaginal birth after C-section. This (sic) success of VBAC is approximately in the order of 80%, as she was not in labor the first time. The only concern is the risk of 1/200 of uterine rupture. At the moment she is somewhat undecided, and will let me know later on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A number of comments need to be made about this letter. First, the letter appears to have been dictated two days after her visit with Ms. Cojocaru. Next, while this letter purports to suggest that Ms. Cojocaru is actually advised that there was a 1 in 200 risk of uterine rupture, there is no indication that the significance of that statistic was brought home to Ms. Cojocaru. To an average layperson, the medical significance of a uterine rupture would likely be completely unknown.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There is no indication in either Dr. Yue's notes, or her consultation letter, that she made any effort to account for Ms. Cojocaru's obvious language problem. Ms. Cojocaru herself testified that her command of the English language at that time was rudimentary at best. This is perfectly understandable, she having immigrated to Canada only four months before. Ms. Geller, who attended with Ms. Cojocaru at this initial visit with Dr. Yue, confirmed that Ms. Cojocaru's command of the English language was very poor. All of the experts, and Dr. Yue herself, agreed that the obligation of the physician was to make sure that the patient actually understands what risks are being faced by the medical options being provided. Dr. Yue clearly failed in her obligation with respect to communicating the risks, and the significance of those risks to the health of herself and her baby, to Ms. Cojocaru.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In considering the reliability of Dr. Yue's evidence, I am mindful of the dictates of several judgments regarding assessing the credibility of witnesses in general, and witnesses relying upon "invariable routine" in particular. With respect to the former, the comments of Mr. Justice O'Halloran in the judgment of the British Columbia Court of Appeal in </w:t>
      </w:r>
      <w:r>
        <w:rPr>
          <w:rFonts w:ascii="arial" w:eastAsia="arial" w:hAnsi="arial" w:cs="arial"/>
          <w:b/>
          <w:i/>
          <w:color w:val="000000"/>
          <w:sz w:val="20"/>
          <w:lang w:val="en-US" w:eastAsia="en-US" w:bidi="ar-SA"/>
        </w:rPr>
        <w:t>Faryna v. Chorny</w:t>
      </w:r>
      <w:r>
        <w:rPr>
          <w:rFonts w:ascii="arial" w:eastAsia="arial" w:hAnsi="arial" w:cs="arial"/>
          <w:color w:val="000000"/>
          <w:sz w:val="20"/>
          <w:lang w:val="en-US" w:eastAsia="en-US" w:bidi="ar-SA"/>
        </w:rPr>
        <w:t xml:space="preserve"> </w:t>
      </w:r>
      <w:hyperlink r:id="rId64" w:history="1">
        <w:r>
          <w:rPr>
            <w:rFonts w:ascii="arial" w:eastAsia="arial" w:hAnsi="arial" w:cs="arial"/>
            <w:i/>
            <w:color w:val="0077CC"/>
            <w:sz w:val="20"/>
            <w:u w:val="single"/>
            <w:shd w:val="clear" w:color="auto" w:fill="FFFFFF"/>
            <w:lang w:val="en-US" w:eastAsia="en-US" w:bidi="ar-SA"/>
          </w:rPr>
          <w:t>(1951), 4 W.W.R. (N.S.) 171</w:t>
        </w:r>
      </w:hyperlink>
      <w:r>
        <w:rPr>
          <w:rFonts w:ascii="arial" w:eastAsia="arial" w:hAnsi="arial" w:cs="arial"/>
          <w:color w:val="000000"/>
          <w:sz w:val="20"/>
          <w:lang w:val="en-US" w:eastAsia="en-US" w:bidi="ar-SA"/>
        </w:rPr>
        <w:t xml:space="preserve"> at 174, </w:t>
      </w:r>
      <w:hyperlink r:id="rId64" w:history="1">
        <w:r>
          <w:rPr>
            <w:rFonts w:ascii="arial" w:eastAsia="arial" w:hAnsi="arial" w:cs="arial"/>
            <w:i/>
            <w:color w:val="0077CC"/>
            <w:sz w:val="20"/>
            <w:u w:val="single"/>
            <w:shd w:val="clear" w:color="auto" w:fill="FFFFFF"/>
            <w:lang w:val="en-US" w:eastAsia="en-US" w:bidi="ar-SA"/>
          </w:rPr>
          <w:t>[1952] 2 D.L.R. 354</w:t>
        </w:r>
      </w:hyperlink>
      <w:r>
        <w:rPr>
          <w:rFonts w:ascii="arial" w:eastAsia="arial" w:hAnsi="arial" w:cs="arial"/>
          <w:color w:val="000000"/>
          <w:sz w:val="20"/>
          <w:lang w:val="en-US" w:eastAsia="en-US" w:bidi="ar-SA"/>
        </w:rPr>
        <w:t xml:space="preserve"> are instructive: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a trial judge's finding of credibility is to depend solely on which person he thinks made the better appearance of sincerity in the witness box, we are left with a purely arbitrary finding and justice would then depend upon the best actors in the witness box. On reflection it becomes almost axiomatic that the appearance of telling the truth is but one of the elements that enter into the credibility of the evidence of a witness. Opportunities for knowledge, powers of observation, judgment and memory, ability to describe clearly what he has seen and heard, as well as other factors, combine to produce what is called credibility. ... A witness by his manner may create a very unfavourable impression of his truthfulness upon the trial judge and yet the surrounding circumstances in the case may point decisively to the conclusion that he is actually telling the truth. I am not referring to the comparatively infrequent cases in which a witness is caught in a clumsy lie.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credibility of interested witnesses, particularly in cases of conflict of evidence, cannot be gauged solely by the test of whether the personal demeanour of the particular witness carried conviction of the truth. The test must reasonably subject his story to an examination of its consistency with the probabilities that surround the currently existing conditions. In short, the real test of the truth of the story of a witness in such a case must be its harmony with the preponderance of the probabilities which a practical and informed person would readily recognize as reasonable in that place and in those conditions. Only thus can a court satisfactorily appraise the testimony of quick-minded, experienced and confident witnesses, and of those shrewd persons adept in the half-lie and of long and successful experience in combining skilful exaggeration with partial suppression of the truth. Again a witness may testify what he sincerely believes to be true, but he may be quite honestly mistaken.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Burke-Pietramala v. Samad</w:t>
      </w:r>
      <w:r>
        <w:rPr>
          <w:rFonts w:ascii="arial" w:eastAsia="arial" w:hAnsi="arial" w:cs="arial"/>
          <w:color w:val="000000"/>
          <w:sz w:val="20"/>
          <w:lang w:val="en-US" w:eastAsia="en-US" w:bidi="ar-SA"/>
        </w:rPr>
        <w:t xml:space="preserve">, </w:t>
      </w:r>
      <w:hyperlink r:id="rId281" w:history="1">
        <w:r>
          <w:rPr>
            <w:rFonts w:ascii="arial" w:eastAsia="arial" w:hAnsi="arial" w:cs="arial"/>
            <w:i/>
            <w:color w:val="0077CC"/>
            <w:sz w:val="20"/>
            <w:u w:val="single"/>
            <w:shd w:val="clear" w:color="auto" w:fill="FFFFFF"/>
            <w:lang w:val="en-US" w:eastAsia="en-US" w:bidi="ar-SA"/>
          </w:rPr>
          <w:t>2004 BCSC 470</w:t>
        </w:r>
      </w:hyperlink>
      <w:r>
        <w:rPr>
          <w:rFonts w:ascii="arial" w:eastAsia="arial" w:hAnsi="arial" w:cs="arial"/>
          <w:color w:val="000000"/>
          <w:sz w:val="20"/>
          <w:lang w:val="en-US" w:eastAsia="en-US" w:bidi="ar-SA"/>
        </w:rPr>
        <w:t>, a case involving a tonsillectomy gone wrong such that the plaintiff lost her sense of taste, the court noted the inability of the defendant to recall the details of his dealings with his patient: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[35] Dr. Samad testified that he had no recollection of any of his conversations with the plaintiff or her husband and that he had no recollection, in particular, of the telephone conversation with the plaintiff's husband. He then went on to testify about what he would ordinarily do in such circumstances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[51] Dr. Samad had no recollection of performing this specific procedure and relied, in his evidence, on his usual procedure and his operative report.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[52] Dr. Samad went on to acknowledge that he had no specific recollection outside of the minimal notes found in his patient chart of the patient's attendance or his conversations with her on any of her attendances. He testified he had no recollection of dealing with his employee over the failure to have a follow-up visit within a week; nor of the telephone call from her husband the day following the surgery.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[53] In cross-examination Dr. Samad agreed that he had no recollection of any conversation he ever had with the plaintiff, and went on to testify that he had no independent recollection of any examination he ever did of the plaintiff </w:t>
      </w:r>
      <w:r>
        <w:rPr>
          <w:rFonts w:ascii="arial" w:eastAsia="arial" w:hAnsi="arial" w:cs="arial"/>
          <w:color w:val="000000"/>
          <w:sz w:val="20"/>
          <w:u w:val="single"/>
          <w:lang w:val="en-US" w:eastAsia="en-US" w:bidi="ar-SA"/>
        </w:rPr>
        <w:t>except</w:t>
      </w:r>
      <w:r>
        <w:rPr>
          <w:rFonts w:ascii="arial" w:eastAsia="arial" w:hAnsi="arial" w:cs="arial"/>
          <w:color w:val="000000"/>
          <w:sz w:val="20"/>
          <w:lang w:val="en-US" w:eastAsia="en-US" w:bidi="ar-SA"/>
        </w:rPr>
        <w:t xml:space="preserve"> the one examination when her husband was present.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[104] ... As Dr. Samad made very clear his chart and records were a long way from being a verbatim record, indeed, some of his entries from a full appointment and an examination consisted of three or four phrases.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[105] Whatever the plaintiff's recollections they are more accurate and reliable, in my view, than those of Dr. Samad who took virtually no notes, recorded cryptic chart entries on some occasions and more on others, and instead relied on extensive and detailed renditions of his usual procedure.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The cases highlight the dangers of relying upon "invariable routine" evidence. Most practitioners practice properly, most of the time. If evidence of "invariable routine" is given too much weight, no medical practitioner would ever be found to have been negligent. When a medical specialist makes no notes, or very scanty notes, and his her evidence conflicts with other independent evidence of what occurred, the court must be very cautious indeed before accepting the "invariable routine" evidence. In addition, the court should apply the dictates outlined in </w:t>
      </w:r>
      <w:r>
        <w:rPr>
          <w:rFonts w:ascii="arial" w:eastAsia="arial" w:hAnsi="arial" w:cs="arial"/>
          <w:b/>
          <w:i/>
          <w:color w:val="000000"/>
          <w:sz w:val="20"/>
          <w:lang w:val="en-US" w:eastAsia="en-US" w:bidi="ar-SA"/>
        </w:rPr>
        <w:t>Farnya</w:t>
      </w:r>
      <w:r>
        <w:rPr>
          <w:rFonts w:ascii="arial" w:eastAsia="arial" w:hAnsi="arial" w:cs="arial"/>
          <w:color w:val="000000"/>
          <w:sz w:val="20"/>
          <w:lang w:val="en-US" w:eastAsia="en-US" w:bidi="ar-SA"/>
        </w:rPr>
        <w:t xml:space="preserve"> with a view to assessing the likelihood of the "invariable routine" actually having been followed.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While Dr. Yue relies upon her records and her "invariable routine", it was clear on cross-examination that Dr. Yue's records were incomplete and that her "invariable routine" was not followed. She conceded the importance of keeping complete and accurate records (which would normally be part of her invariable routine) but in this case she:</w:t>
      </w:r>
      <w:r>
        <w:rPr>
          <w:rFonts w:ascii="arial" w:eastAsia="arial" w:hAnsi="arial" w:cs="arial"/>
          <w:sz w:val="20"/>
          <w:lang w:val="en-US" w:eastAsia="en-US" w:bidi="ar-SA"/>
        </w:rPr>
        <w:cr/>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not chart any crucial information regarding her attempt to obtain the Romanian records so as to ascertain the reason for the initial caesarean;</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failed to obtain the chart of Dr. Bojanowska-Moore, Ms. Cojocaru's general practitioner, even though it was her "invariable routine" to do so;</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failed to chart any aspect of her alleged discussion with Ms. Cojocaru regarding her attempts to determine:</w:t>
      </w:r>
    </w:p>
    <w:p>
      <w:pPr>
        <w:numPr>
          <w:numId w:val="2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why the original caesarean section had been performed;</w:t>
      </w:r>
    </w:p>
    <w:p>
      <w:pPr>
        <w:numPr>
          <w:numId w:val="2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was the orientation of the previous scar;</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failed to chart any aspect of her alleged conversation regarding the risks that she says were explained to Ms. Cojocaru.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Additionally, Dr. Yue "interpreted" her scant notes to indicate that because she was not 100% sure about Ms. Cojocaru's due date, she relied on a 32-week ultrasound to ascertain the due date. The defence expert, Dr. Pendleton, confirmed that the 32-week ultrasound is essentially useless in relation to dating. In cross-examination, when faced with Dr. Pendleton's testimony, she purported to verify her original testimony by suggesting that she did not order the ultrasound for dating purposes per se, but rather to verify Ms. Cojocaru's reported dates as to her last period. That is what a dating ultrasound is for, and it cannot be properly done at 32 weeks.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When considering the reliability of Dr. Yue's evidence, particularly where it conflicts with Ms. Cojocaru's evidence and the evidence of the other witnesses called by the plaintiffs, it is important to keep in mind Ms. Cojocaru's situation, and therefore the likelihood that she would have simply accepted Dr. Yue's alleged warnings. There are a number of factors which point strongly to the conclusion that she was never advised of the risks associated with uterine rupture to her health and, more importantly, to the health of her baby. These factors include:</w:t>
      </w:r>
      <w:r>
        <w:rPr>
          <w:rFonts w:ascii="arial" w:eastAsia="arial" w:hAnsi="arial" w:cs="arial"/>
          <w:sz w:val="20"/>
          <w:lang w:val="en-US" w:eastAsia="en-US" w:bidi="ar-SA"/>
        </w:rPr>
        <w:cr/>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had been advised by her prior obstetrician that she should have her baby by way of repeat caesarean section;</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and her family, all believed that this baby would be delivered by way of repeat caesarean section;</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conveyed to Dr. Yue her significant anxiety regarding the health of her baby. Dr. Yue's file confirms this;</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her first pregnancy resulted in her having a "malformed" baby which caused her a great deal of stress and anxiety; and</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according to the cultural dictates of her country, children with a disability are a source of significant shame, thus she was an overly cautious patient.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 conclude that had Ms. Cojocaru been told of the above risks to her baby she would have immediately opted for a caesarean section, having regard to her background, previous experiences and concerns in relation to having a normal baby. Her overwhelming desire to have a "normal" baby makes it extremely unlikely that she would have given even passing consideration to a trial of labour and the risk of uterine rupture, had the significance of uterine rupture been explained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 evidence indicates that Dr. Yue, rather than making an appropriate and thorough investigation into the circumstances surrounding the original caesarean section, simply made the assumption that the previous caesarean section was elective. On the basis of her evidence, this assumption appears to have arisen from the fact that the only explanation given by Ms. Cojocaru for the previous caesarean section was that her son had a cleft palate. As Ms. Cojocaru could not provide any other explanation for the caesarean section, Dr. Yue concluded that it must have been elective. All of the medical experts agreed, however, that a cleft palate is not an indication for a caesarean section anywhere in the world. Even Dr. Yue agreed with this. Thus, at best, Dr. Yue was left in a position that her patient did not know or understand the reason for the first caesarean section and thus she (Dr. Yue) simply did not know why it was done. That, with respect, is not an appropriate basis upon which to conclude that the caesarean section was "elective".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Dr. Yue clearly concluded, based on the very limited information provided to her by Ms. Cojocaru, that she had had an elective primary caesarean section. She testified that she concluded that Ms. Cojocaru did not go into labour as her caesarean section in Romania was one of "choice". On this basis, she claims she advised Ms. Cojocaru she would have an 80% chance of success with a VBAC. In this regard she did not discuss the options available nor the risks associated with same. Dr. Yue appeared to have already made up her mind that Ms. Cojocaru was suitable for a VBAC based on this incorrect assumption.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The evidence of Dr. Clepce indicates that Ms. Cojocaru's caesarean section was for failure to progress. He testified that "the birth-the birth didn't progress, and the situation that I was facing was called, in medical terms, fascia metrosacral [sic] presentation of the baby".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The situation described by Dr. Clepce was not an elective caesarean section. This was a caesarean section performed because of a problem with Ms. Cojocaru's labour.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During her examination for discovery, which was read in as part of the plaintiff's case, Dr. Yue conceded that if the original caesarean section is done for failure to progress, the chances of VBAC being successful were significantly less than 80%. In addition, the chances of complications resulting in morbidity were significantly increased. Again, had this information been conveyed to Ms. Cojocaru, it is very unlikely she would have paid even passing attention to the possibility of VBAC.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Having considered the evidence, I conclude that Dr. Yue did not warn Ms. Cojocaru of the risks associated with uterine rupture. This would be so even if she did mention the statistical risk of 1 in 200, which I do not find she did. There are other risks Ms. Cojocaru should have been aware of. These include that if there was a uterine rupture, it would place both her life and the life of her baby at severe risk. Additionally, if there was a uterine rupture, there was a very real risk that the hospital would not be able to rescue her baby before permanent brain damage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I conclude that the evidence clearly establishes that Dr. Yue failed in her obligations to disclose to Ms. Cojocaru both the risks associated with VBAC and the information and risks associated with the use of Prostin.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Causation - 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Once the plaintiff has established a failure on the part of the defendant physician to adequately disclose risks associated with treatment, she must then go further and establish causation. In consent cases causation is established by proving that a reasonable patient in the plaintiff's particular position would have declined the treatment had the risks been adequately disclosed. In other words, the test is not what this patient would have done. Rather, the test is what a reasonable patient in her circumstances would have done had the risks been adequately disclosed.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Arndt</w:t>
      </w:r>
      <w:r>
        <w:rPr>
          <w:rFonts w:ascii="arial" w:eastAsia="arial" w:hAnsi="arial" w:cs="arial"/>
          <w:color w:val="000000"/>
          <w:sz w:val="20"/>
          <w:lang w:val="en-US" w:eastAsia="en-US" w:bidi="ar-SA"/>
        </w:rPr>
        <w:t xml:space="preserve">, Cory J., speaking for the majority, referred to the Supreme Court of Canada's judgment in </w:t>
      </w:r>
      <w:r>
        <w:rPr>
          <w:rFonts w:ascii="arial" w:eastAsia="arial" w:hAnsi="arial" w:cs="arial"/>
          <w:b/>
          <w:i/>
          <w:color w:val="000000"/>
          <w:sz w:val="20"/>
          <w:lang w:val="en-US" w:eastAsia="en-US" w:bidi="ar-SA"/>
        </w:rPr>
        <w:t>Reibl</w:t>
      </w:r>
      <w:r>
        <w:rPr>
          <w:rFonts w:ascii="arial" w:eastAsia="arial" w:hAnsi="arial" w:cs="arial"/>
          <w:color w:val="000000"/>
          <w:sz w:val="20"/>
          <w:lang w:val="en-US" w:eastAsia="en-US" w:bidi="ar-SA"/>
        </w:rPr>
        <w:t xml:space="preserve">, where the appropriate causation test was considered by Laskin C.J.C. Laskin C.J.C. found problems with both a purely subjective and a purely objective test. Writing in </w:t>
      </w:r>
      <w:r>
        <w:rPr>
          <w:rFonts w:ascii="arial" w:eastAsia="arial" w:hAnsi="arial" w:cs="arial"/>
          <w:b/>
          <w:i/>
          <w:color w:val="000000"/>
          <w:sz w:val="20"/>
          <w:lang w:val="en-US" w:eastAsia="en-US" w:bidi="ar-SA"/>
        </w:rPr>
        <w:t>Reibl</w:t>
      </w:r>
      <w:r>
        <w:rPr>
          <w:rFonts w:ascii="arial" w:eastAsia="arial" w:hAnsi="arial" w:cs="arial"/>
          <w:color w:val="000000"/>
          <w:sz w:val="20"/>
          <w:lang w:val="en-US" w:eastAsia="en-US" w:bidi="ar-SA"/>
        </w:rPr>
        <w:t>, at 898-900, he went on to state: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think it is the safer course on the issue of causation to consider objectively how far the balance in the risks of surgery or no surgery is in favour of undergoing surgery. The failure of proper disclosure pro and con becomes therefore very material. And so too are any special considerations affecting the particular patient. For example, the patient may have asked specific questions which were either brushed aside or were not fully answered or were answered wrongly. In the present case, the anticipation of a full pension would be a special consideration, and, while it would have to be viewed objectively, it emerges from the patient's particular circumstances. So too, other aspects of the objective standard would have to be geared to what the average prudent person, the reasonable person in the patient's particular position, would agree to or not agree to, if all material and special risks of going ahead with the surgery or foregoing it were made known to him. Far from making the patient's own testimony irrelevant, it is essential to his case that he put his own position forward.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adoption of an objective standard does not mean that the issue of causation is completely in the hands of the surgeon. Merely because medical evidence establishes the reasonableness of a recommended operation does not mean that a reasonable person in the patient's position would necessarily agree to it, if proper disclosure had been made of the risks attendant upon it, balanced by those against it. The patient's particular situation and the degree to which the risks of surgery or no surgery are balanced would reduce the force, on an objective appraisal, of the surgeon's recommendation. Admittedly, if the risk of foregoing the surgery would be considerably graver to a patient than the risks attendant upon it, the objective standard would favour exoneration of the surgeon who has not made the required disclosure. Since liability rests only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in a failure to disclose material risks, the issue of causation would be in the patient's hands on a subjective test, and would, if his evidence was accepted, result inevitably in liability unless, of course, there was a finding that there was no breach of the duty of disclosure. In my view, therefore, the objective standard is the preferable one on the issue of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xml:space="preserve">  After quoting the above passage from </w:t>
      </w:r>
      <w:r>
        <w:rPr>
          <w:rFonts w:ascii="arial" w:eastAsia="arial" w:hAnsi="arial" w:cs="arial"/>
          <w:b/>
          <w:i/>
          <w:color w:val="000000"/>
          <w:sz w:val="20"/>
          <w:lang w:val="en-US" w:eastAsia="en-US" w:bidi="ar-SA"/>
        </w:rPr>
        <w:t>Reibl</w:t>
      </w:r>
      <w:r>
        <w:rPr>
          <w:rFonts w:ascii="arial" w:eastAsia="arial" w:hAnsi="arial" w:cs="arial"/>
          <w:color w:val="000000"/>
          <w:sz w:val="20"/>
          <w:lang w:val="en-US" w:eastAsia="en-US" w:bidi="ar-SA"/>
        </w:rPr>
        <w:t>, Cory J. went on to consider what individual circumstances of the plaintiff could be considered. He stated at para. 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Which aspects of the plaintiff's personal circumstances should be attributed to the reasonable person? There is no doubt that objectively ascertainable circumstances, such as a plaintiff's age, income, marital status, and other factors, should be taken into consideration. However, Laskin C.J. didn't stop there. He went on and stated that 'special considerations' affecting the particular patient should be considered, as should any 'specific questions' asked of the physician by the patient. In my view this means that the 'reasonable person' who sets the standard for the objective test must be taken to possess the patient's reasonable beliefs, fears, desires and expectations. Further, the patient's expectations and concerns will usually be revealed by the questions posed. Certainly, they will indicate the specific concerns of the particular patient at the time consent was given to a proposed course of treatment. The questions, by revealing the patient's concerns, will provide an indication of the patient's state of mind, which can be relevant in considering and applying the modified objective test.</w:t>
      </w:r>
    </w:p>
    <w:p>
      <w:pPr>
        <w:numPr>
          <w:numId w:val="3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 example may serve to illustrate this. Imagine a patient considering plastic surgery on his nose. During a pre-operative consultation, the patient asks if the surgery will affect his sense of smell. The physician fails to fairly and adequately explain the attendant risks to this sensory function and does not mention that a certain percentage of patients suffer a permanent loss of a small fraction of their ability to smell. After the surgery, the patient can no longer smell with the same acuity food that is cooking. Under Laskin C.J.'s test in </w:t>
      </w:r>
      <w:r>
        <w:rPr>
          <w:rFonts w:ascii="arial" w:eastAsia="arial" w:hAnsi="arial" w:cs="arial"/>
          <w:b/>
          <w:i/>
          <w:color w:val="000000"/>
          <w:sz w:val="20"/>
          <w:lang w:val="en-US" w:eastAsia="en-US" w:bidi="ar-SA"/>
        </w:rPr>
        <w:t>Reibl</w:t>
      </w:r>
      <w:r>
        <w:rPr>
          <w:rFonts w:ascii="arial" w:eastAsia="arial" w:hAnsi="arial" w:cs="arial"/>
          <w:color w:val="000000"/>
          <w:sz w:val="20"/>
          <w:lang w:val="en-US" w:eastAsia="en-US" w:bidi="ar-SA"/>
        </w:rPr>
        <w:t>, the patient's question about the risks to his sense of smell are clearly relevant. The question posed suggests that the patient had a special concern about losing the sense of smell. This is not an unreasonable concern. The loss of a keen sensory perception of smell which is so closely related to the sense of taste is crucial to both those who artistically prepare and those who have a particular appreciation for finely prepared food. This special fear of the loss of a keen sense of smell could be considered by the trier of fact in determining whether the reasonable person with the particular expressed concern of the plaintiff would have consented to the proposed course of treatment if all the risks had been disclosed.</w:t>
      </w:r>
    </w:p>
    <w:p>
      <w:pPr>
        <w:numPr>
          <w:numId w:val="3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another example, let us consider a patient who asks his doctor about a proposed procedure, and particularly poses questions as to whether there might be any effect on his hearing, without advising the doctor of his particular passion for the singing of operatic sopranos. If the doctor fails to inform the patient of the possibility that the procedure could limit his ability to hear in the upper ranges, the </w:t>
      </w:r>
      <w:r>
        <w:rPr>
          <w:rFonts w:ascii="arial" w:eastAsia="arial" w:hAnsi="arial" w:cs="arial"/>
          <w:b/>
          <w:i/>
          <w:color w:val="000000"/>
          <w:sz w:val="20"/>
          <w:lang w:val="en-US" w:eastAsia="en-US" w:bidi="ar-SA"/>
        </w:rPr>
        <w:t>Reibl</w:t>
      </w:r>
      <w:r>
        <w:rPr>
          <w:rFonts w:ascii="arial" w:eastAsia="arial" w:hAnsi="arial" w:cs="arial"/>
          <w:color w:val="000000"/>
          <w:sz w:val="20"/>
          <w:lang w:val="en-US" w:eastAsia="en-US" w:bidi="ar-SA"/>
        </w:rPr>
        <w:t xml:space="preserve"> test would allow the trier of fact to consider the questions posed by the patient in determining whether he would have consented to the proposed treatment if he had been properly informed of all the risks. Again, the questions asked by this patient may act as an indication of his own reasonable fears and concerns, which are appropriate modifiers of the hypothetical reasonable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This "modified objective test" was adopted by the Supreme Court of Canada as the appropriate test for causation in consent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Causation -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xml:space="preserve">  As outlined in the above law the court must apply the modified objective test and in consideration of same the court must consider the reasonable beliefs, fears, desires and expectations of the plaintiff: </w:t>
      </w:r>
      <w:r>
        <w:rPr>
          <w:rFonts w:ascii="arial" w:eastAsia="arial" w:hAnsi="arial" w:cs="arial"/>
          <w:b/>
          <w:i/>
          <w:color w:val="000000"/>
          <w:sz w:val="20"/>
          <w:lang w:val="en-US" w:eastAsia="en-US" w:bidi="ar-SA"/>
        </w:rPr>
        <w:t>Arndt</w:t>
      </w:r>
      <w:r>
        <w:rPr>
          <w:rFonts w:ascii="arial" w:eastAsia="arial" w:hAnsi="arial" w:cs="arial"/>
          <w:color w:val="000000"/>
          <w:sz w:val="20"/>
          <w:lang w:val="en-US" w:eastAsia="en-US" w:bidi="ar-SA"/>
        </w:rPr>
        <w:t xml:space="preserve"> at para. 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This plaintiff, Ms. Cojocaru, arrived in Canada from Romania in December 2000. She had undergone a successful caesarean for the birth of her first son Mark. She overheard the doctors saying that it was just as well he was delivered by caesarean section as the cord was around the neck. This is also documented in the operation note.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This plaintiff had gone into her first delivery in Romania not knowing of any problems. She was struck by the comments of the medical staff regarding the cord around the neck. It emphasized to her that there is always an element of the unknown which can adversely affect the delivery, to the detriment of the baby.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The delivery of Mark by caesarean section, while traumatic in terms of Mark's problems not related to the caesarean, was an uneventful operation from which Ms. Cojocaru recovered without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Ms. Cojocaru's Romanian obstetrician, Dr. Clepce, had advised her to have a caesarean section should she become pregnant again.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The "malformation" which afflicted her first born, Mark, was extremely traumatic for her. The doctors and the hospital did not give Mark many chances. The doctors recommended abandoning him. Her parents and family did not want her to take the baby home. She had never seen anyone before with malformations. The evidence indicates that in Romania it is normal for those children to disappear before anyone could see them. Usually, the parents would abandon them in hospital. Ms. Cojocaru testified as to her wants and expectations for Mark-she wanted her child to have a beautiful life - to go to school and to have a family. When she got out of the hospital with her baby, it was a very hard life for her. She had to move in with her parents. She was not allowed to be visited or to visit anyone as the family did not want anyone to see the baby. She had to take Mark for walks very early in the morning or late at night. She usually had Mark's face covered. One of her friends put her hand on the baby and when he turned his face she was horrified. She was completely isolated.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When Mark was six months old, he had his first surgery. Mark had surgery in the capital, Bucharest. Ms. Cojocaru had to fight with the medical system as the doctors in her town did not give her the papers she needed to take the baby for surgery. She got into the doctor's office by pushing her way inside. She recalled that they had a special section where children are brought from orphanages. She saw other children with Mark's malformation.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Ms. Cojocaru testified that the children that were orphans were all alone. There was no one to care for them. The nurses were going in to treat them for only a few minutes. The children were crying and suffering all by themselves.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This experience with Mark had a profound effect on Ms. Cojocaru's pregnancy with Eric. When she found out she was pregnant she had all the tests done and paid private clinics in Romania to ensure that the baby was healthy.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Ms. Cojocaru was very concerned for the future of her son Mark had they stayed in Romania. Her cultural fears came with her to Canada, to the extent that she was very concerned to ensure that this baby have no problems. This was clearly conveyed to Dr. Yue. Dr. Yue's notes confirm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Mr. Cojocaru confirmed that while they were in Romania they selected a physician who had the most up-to-date equipment because they wanted the best possible care for their new baby.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Ms. Cojocaru was extremely anxious about this delivery and wanted to do everything possible to make sure that there were no problems with the health of her baby. It was for this reason that Dr. Yue ordered the detailed ultrasound after the first obstetrical visit.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In addition, Dr. Clepce testified that his Romanian patients would only accept VBAC if the baby was very premature and therefore very small, or in other rare circumstances. He testified that the percentage of his patients who would accept VBAC was "very small".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This evidence mirrors the evidence of Dr. Pairaudeau who testified that he has a large Romanian patient base, and that his experience with these Romanian patients is that only rarely will they accept the risks associated with a VBAC delivery. They are extremely risk averse and view a repeat caesarean section as the safest and most appropriate way to delivery a baby after a primary caesarean 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xml:space="preserve">  In this context, the judgment of Fraser J. in </w:t>
      </w:r>
      <w:r>
        <w:rPr>
          <w:rFonts w:ascii="arial" w:eastAsia="arial" w:hAnsi="arial" w:cs="arial"/>
          <w:b/>
          <w:i/>
          <w:color w:val="000000"/>
          <w:sz w:val="20"/>
          <w:lang w:val="en-US" w:eastAsia="en-US" w:bidi="ar-SA"/>
        </w:rPr>
        <w:t>Truant v. Guichon</w:t>
      </w:r>
      <w:r>
        <w:rPr>
          <w:rFonts w:ascii="arial" w:eastAsia="arial" w:hAnsi="arial" w:cs="arial"/>
          <w:color w:val="000000"/>
          <w:sz w:val="20"/>
          <w:lang w:val="en-US" w:eastAsia="en-US" w:bidi="ar-SA"/>
        </w:rPr>
        <w:t xml:space="preserve">, </w:t>
      </w:r>
      <w:hyperlink r:id="rId282" w:history="1">
        <w:r>
          <w:rPr>
            <w:rFonts w:ascii="arial" w:eastAsia="arial" w:hAnsi="arial" w:cs="arial"/>
            <w:i/>
            <w:color w:val="0077CC"/>
            <w:sz w:val="20"/>
            <w:u w:val="single"/>
            <w:shd w:val="clear" w:color="auto" w:fill="FFFFFF"/>
            <w:lang w:val="en-US" w:eastAsia="en-US" w:bidi="ar-SA"/>
          </w:rPr>
          <w:t>[1996] B.C.J. No. 1794</w:t>
        </w:r>
      </w:hyperlink>
      <w:r>
        <w:rPr>
          <w:rFonts w:ascii="arial" w:eastAsia="arial" w:hAnsi="arial" w:cs="arial"/>
          <w:color w:val="000000"/>
          <w:sz w:val="20"/>
          <w:lang w:val="en-US" w:eastAsia="en-US" w:bidi="ar-SA"/>
        </w:rPr>
        <w:t xml:space="preserve"> (S.C.), is instructive. In that case, the plaintiff complained that she did not give an informed consent when she had implants put into her breasts. The allegation against the defendant surgeon was that that he failed to inform Ms. Truant before the surgeries of the risk that the commonly-occurring after-effect of capsular contracture might result in her breasts becoming misshapen. In addressing causation, Fraser J. outlined the modified objective test and then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34 The circumstances of Ms. Truant were that she was earning some income as an exotic dancer and that the appearance and size of her breasts was both personally and professionally of great importance to her. Of course, this cuts both ways. She had especially strong interest in enlarging her breasts; but she also had an especially strong interest that their appearance not be worsened.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35 I am daunted by the evidence that, even after receiving satisfactory information about the risk of misshapenness, two-thirds of the women who speak to Dr. Van Laeken proceed with the surgery. If I hold that a reasonable woman in the position of Ms. Truant would have declined the surgery, would I not be holding that these women are unreasonable?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36 The constituency here is not all women, but that segment of the female population which is disposed in the first place to consider breast augmentation and to take that consideration at least as far as an interview with a plastic surgeon. Even disregarding the acceptance rate of patients of Dr. Guichon and using instead the acceptance rate of Dr. Van Laeken, the evidence is that most women who take the idea that far do accept the risk of deformity. I can find no basis in the evidence to brand all these women as unreasonable. (There is no support in the evidence for the suggestion that the acceptance rate of exotic dancers is different from that of other patients.) I feel compelled to find that the reasonable prospective patient in Ms. Truant's circumstances would have gone ahead with the surgery, when properly informed of the risk of misshapenness.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Similar considerations apply here. When one looks at the constituency which applies best to Ms. Cojocaru, Romanian patients, the uncontradicted evidence indicates that Romanian patients who have had a primary caesarean section do not accept the risks associated with VBAC. They opt instead for repeat caesarean 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Ms. Cojocaru's background, and her reasonable beliefs, fears, desires and expectations, makes it clear that a reasonable person in her circumstances would not have accepted the risks associated with VBAC had they been properly explained.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The health of her baby was her primary concern. She was well beyond the naïveté of a first time mother who believes that nothing is going to go wrong with her baby. She had already experienced the horrors of having a "malformed" baby, and was very anxious to avoid any possibility of any problem with this pregnancy. She had already undergone a successful caesarean, so the prospect of a longer recovery period was of little concern. She had been advised by her Romanian obstetrician, a physician whom she knew and trusted, that a repeat caesarean was the best way to delivery her baby. A caesarean offered her the only means of ensuring the health of her baby, and avoiding the known risks associated with vaginal delivery, such as the umbilical cord becoming tangled around the neck. VBAC offered essentially nothing to Ms. Cojocaru to offset her concerns regarding her overriding focus - the health of her baby.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In the circumstances, I conclude that no reasonable person in Ms. Cojocaru's circumstances would opt for VBAC.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MALPRACTICE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Duty and Standard of Care - 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With respect to the claims against all the defendants outside the consent issues, the plaintiffs acknowledge that they must establish:</w:t>
      </w:r>
      <w:r>
        <w:rPr>
          <w:rFonts w:ascii="arial" w:eastAsia="arial" w:hAnsi="arial" w:cs="arial"/>
          <w:sz w:val="20"/>
          <w:lang w:val="en-US" w:eastAsia="en-US" w:bidi="ar-SA"/>
        </w:rPr>
        <w:cr/>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defendants owed a duty of care to them. This is not in dispute;</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defendants breached the standard of care expected of them in the circumstances of the case;</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they have suffered an injury or loss; and</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injury or loss was caused by the conduct of one or more of the defendants.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Ellen I. Picard and Gerald B. Robertson, </w:t>
      </w:r>
      <w:r>
        <w:rPr>
          <w:rFonts w:ascii="arial" w:eastAsia="arial" w:hAnsi="arial" w:cs="arial"/>
          <w:i/>
          <w:color w:val="000000"/>
          <w:sz w:val="20"/>
          <w:lang w:val="en-US" w:eastAsia="en-US" w:bidi="ar-SA"/>
        </w:rPr>
        <w:t>Legal Liability of Doctors and Hospitals in Canada</w:t>
      </w:r>
      <w:r>
        <w:rPr>
          <w:rFonts w:ascii="arial" w:eastAsia="arial" w:hAnsi="arial" w:cs="arial"/>
          <w:color w:val="000000"/>
          <w:sz w:val="20"/>
          <w:lang w:val="en-US" w:eastAsia="en-US" w:bidi="ar-SA"/>
        </w:rPr>
        <w:t>, 4th ed. (Toronto: Carswell, 2007) at 212.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xml:space="preserve">  The standard of care owed by a physician is summarized in the following passage from the Ontario Court of Appeal's decision in </w:t>
      </w:r>
      <w:r>
        <w:rPr>
          <w:rFonts w:ascii="arial" w:eastAsia="arial" w:hAnsi="arial" w:cs="arial"/>
          <w:b/>
          <w:i/>
          <w:color w:val="000000"/>
          <w:sz w:val="20"/>
          <w:lang w:val="en-US" w:eastAsia="en-US" w:bidi="ar-SA"/>
        </w:rPr>
        <w:t>Crits v. Sylvester</w:t>
      </w:r>
      <w:r>
        <w:rPr>
          <w:rFonts w:ascii="arial" w:eastAsia="arial" w:hAnsi="arial" w:cs="arial"/>
          <w:color w:val="000000"/>
          <w:sz w:val="20"/>
          <w:lang w:val="en-US" w:eastAsia="en-US" w:bidi="ar-SA"/>
        </w:rPr>
        <w:t xml:space="preserve"> </w:t>
      </w:r>
      <w:hyperlink r:id="rId283" w:history="1">
        <w:r>
          <w:rPr>
            <w:rFonts w:ascii="arial" w:eastAsia="arial" w:hAnsi="arial" w:cs="arial"/>
            <w:i/>
            <w:color w:val="0077CC"/>
            <w:sz w:val="20"/>
            <w:u w:val="single"/>
            <w:shd w:val="clear" w:color="auto" w:fill="FFFFFF"/>
            <w:lang w:val="en-US" w:eastAsia="en-US" w:bidi="ar-SA"/>
          </w:rPr>
          <w:t>(1956), 1 D.L.R. (2d) 502</w:t>
        </w:r>
      </w:hyperlink>
      <w:r>
        <w:rPr>
          <w:rFonts w:ascii="arial" w:eastAsia="arial" w:hAnsi="arial" w:cs="arial"/>
          <w:color w:val="000000"/>
          <w:sz w:val="20"/>
          <w:lang w:val="en-US" w:eastAsia="en-US" w:bidi="ar-SA"/>
        </w:rPr>
        <w:t xml:space="preserve"> at 508, </w:t>
      </w:r>
      <w:hyperlink r:id="rId283" w:history="1">
        <w:r>
          <w:rPr>
            <w:rFonts w:ascii="arial" w:eastAsia="arial" w:hAnsi="arial" w:cs="arial"/>
            <w:i/>
            <w:color w:val="0077CC"/>
            <w:sz w:val="20"/>
            <w:u w:val="single"/>
            <w:shd w:val="clear" w:color="auto" w:fill="FFFFFF"/>
            <w:lang w:val="en-US" w:eastAsia="en-US" w:bidi="ar-SA"/>
          </w:rPr>
          <w:t>[1956] O.R. 132</w:t>
        </w:r>
      </w:hyperlink>
      <w:r>
        <w:rPr>
          <w:rFonts w:ascii="arial" w:eastAsia="arial" w:hAnsi="arial" w:cs="arial"/>
          <w:color w:val="000000"/>
          <w:sz w:val="20"/>
          <w:lang w:val="en-US" w:eastAsia="en-US" w:bidi="ar-SA"/>
        </w:rPr>
        <w:t xml:space="preserve"> (C.A.), aff'd </w:t>
      </w:r>
      <w:hyperlink r:id="rId284" w:history="1">
        <w:r>
          <w:rPr>
            <w:rFonts w:ascii="arial" w:eastAsia="arial" w:hAnsi="arial" w:cs="arial"/>
            <w:i/>
            <w:color w:val="0077CC"/>
            <w:sz w:val="20"/>
            <w:u w:val="single"/>
            <w:shd w:val="clear" w:color="auto" w:fill="FFFFFF"/>
            <w:lang w:val="en-US" w:eastAsia="en-US" w:bidi="ar-SA"/>
          </w:rPr>
          <w:t>[1956] S.C.R. 991</w:t>
        </w:r>
      </w:hyperlink>
      <w:r>
        <w:rPr>
          <w:rFonts w:ascii="arial" w:eastAsia="arial" w:hAnsi="arial" w:cs="arial"/>
          <w:color w:val="000000"/>
          <w:sz w:val="20"/>
          <w:lang w:val="en-US" w:eastAsia="en-US" w:bidi="ar-SA"/>
        </w:rPr>
        <w:t xml:space="preserve">, </w:t>
      </w:r>
      <w:hyperlink r:id="rId284" w:history="1">
        <w:r>
          <w:rPr>
            <w:rFonts w:ascii="arial" w:eastAsia="arial" w:hAnsi="arial" w:cs="arial"/>
            <w:i/>
            <w:color w:val="0077CC"/>
            <w:sz w:val="20"/>
            <w:u w:val="single"/>
            <w:shd w:val="clear" w:color="auto" w:fill="FFFFFF"/>
            <w:lang w:val="en-US" w:eastAsia="en-US" w:bidi="ar-SA"/>
          </w:rPr>
          <w:t>5 D.L.R. (2d) 601</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Every medical practitioner must bring to his task a reasonable degree of skill and knowledge and must exercise a reasonable degree of care. He is bound to exercise that degree of care and skill which could reasonably be expected of a normal, prudent practitioner of the same experience and standing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xml:space="preserve">  This test applies to both nurses and physicians. Nurses will be held to the standard of care expected of a registered nurse of average competence: see </w:t>
      </w:r>
      <w:r>
        <w:rPr>
          <w:rFonts w:ascii="arial" w:eastAsia="arial" w:hAnsi="arial" w:cs="arial"/>
          <w:b/>
          <w:i/>
          <w:color w:val="000000"/>
          <w:sz w:val="20"/>
          <w:lang w:val="en-US" w:eastAsia="en-US" w:bidi="ar-SA"/>
        </w:rPr>
        <w:t>Heidebrecht v. Fraser-Burrard Hospital Society</w:t>
      </w:r>
      <w:r>
        <w:rPr>
          <w:rFonts w:ascii="arial" w:eastAsia="arial" w:hAnsi="arial" w:cs="arial"/>
          <w:color w:val="000000"/>
          <w:sz w:val="20"/>
          <w:lang w:val="en-US" w:eastAsia="en-US" w:bidi="ar-SA"/>
        </w:rPr>
        <w:t xml:space="preserve">, </w:t>
      </w:r>
      <w:hyperlink r:id="rId285" w:history="1">
        <w:r>
          <w:rPr>
            <w:rFonts w:ascii="arial" w:eastAsia="arial" w:hAnsi="arial" w:cs="arial"/>
            <w:i/>
            <w:color w:val="0077CC"/>
            <w:sz w:val="20"/>
            <w:u w:val="single"/>
            <w:shd w:val="clear" w:color="auto" w:fill="FFFFFF"/>
            <w:lang w:val="en-US" w:eastAsia="en-US" w:bidi="ar-SA"/>
          </w:rPr>
          <w:t>[1996] B.C.J. No. 3042</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The standard of care applies both to diagnosis and treatment of the patient. Once a physician has taken a person on as a patient he/she is under a duty to provide a reasonable standard of medical care, taking into account all of the factors affecting, or potentially affecting, the life and health of his patient.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Having said this, a doctor or nurse is not bound at his peril to make no mistake. He/she is expected to exercise reasonable care, skill and judgment. If he/she does so he/she will not be held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xml:space="preserve">  A physician or nurse will not be liable for improper diagnosis or treatment resulting from a mere error in judgment, provided that he she exercised the knowledge, skill and judgment of the average of his her group of physicians nurses when considering the case. As the Supreme Court of Canada stated in </w:t>
      </w:r>
      <w:r>
        <w:rPr>
          <w:rFonts w:ascii="arial" w:eastAsia="arial" w:hAnsi="arial" w:cs="arial"/>
          <w:b/>
          <w:i/>
          <w:color w:val="000000"/>
          <w:sz w:val="20"/>
          <w:lang w:val="en-US" w:eastAsia="en-US" w:bidi="ar-SA"/>
        </w:rPr>
        <w:t>Wilson v. Swanson</w:t>
      </w:r>
      <w:r>
        <w:rPr>
          <w:rFonts w:ascii="arial" w:eastAsia="arial" w:hAnsi="arial" w:cs="arial"/>
          <w:color w:val="000000"/>
          <w:sz w:val="20"/>
          <w:lang w:val="en-US" w:eastAsia="en-US" w:bidi="ar-SA"/>
        </w:rPr>
        <w:t xml:space="preserve">, </w:t>
      </w:r>
      <w:hyperlink r:id="rId286" w:history="1">
        <w:r>
          <w:rPr>
            <w:rFonts w:ascii="arial" w:eastAsia="arial" w:hAnsi="arial" w:cs="arial"/>
            <w:i/>
            <w:color w:val="0077CC"/>
            <w:sz w:val="20"/>
            <w:u w:val="single"/>
            <w:shd w:val="clear" w:color="auto" w:fill="FFFFFF"/>
            <w:lang w:val="en-US" w:eastAsia="en-US" w:bidi="ar-SA"/>
          </w:rPr>
          <w:t>[1956] S.C.R. 804</w:t>
        </w:r>
      </w:hyperlink>
      <w:r>
        <w:rPr>
          <w:rFonts w:ascii="arial" w:eastAsia="arial" w:hAnsi="arial" w:cs="arial"/>
          <w:color w:val="000000"/>
          <w:sz w:val="20"/>
          <w:lang w:val="en-US" w:eastAsia="en-US" w:bidi="ar-SA"/>
        </w:rPr>
        <w:t xml:space="preserve"> at 812, </w:t>
      </w:r>
      <w:hyperlink r:id="rId286" w:history="1">
        <w:r>
          <w:rPr>
            <w:rFonts w:ascii="arial" w:eastAsia="arial" w:hAnsi="arial" w:cs="arial"/>
            <w:i/>
            <w:color w:val="0077CC"/>
            <w:sz w:val="20"/>
            <w:u w:val="single"/>
            <w:shd w:val="clear" w:color="auto" w:fill="FFFFFF"/>
            <w:lang w:val="en-US" w:eastAsia="en-US" w:bidi="ar-SA"/>
          </w:rPr>
          <w:t>5 D.L.R. (2d) 113</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 error of judgment has long been distinguished from an act of unskillfulness or carelessness or due to lack of knowledge. Although universally accepted procedures must be observed, they furnish little or no assistance in resolving such a predicament as faced the surgeon here. In such a situation a decision must be made without delay based on limited known and unknown factors; and the honest and intelligent exercise of judgment has long been recognized as satisfying the professional obligation.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xml:space="preserve">  Despite conformity with a standard practice, a doctor may be found negligent if the standard practice itself is found to be negligent. In </w:t>
      </w:r>
      <w:r>
        <w:rPr>
          <w:rFonts w:ascii="arial" w:eastAsia="arial" w:hAnsi="arial" w:cs="arial"/>
          <w:b/>
          <w:i/>
          <w:color w:val="000000"/>
          <w:sz w:val="20"/>
          <w:lang w:val="en-US" w:eastAsia="en-US" w:bidi="ar-SA"/>
        </w:rPr>
        <w:t>ter Neuzen v. Korn</w:t>
      </w:r>
      <w:r>
        <w:rPr>
          <w:rFonts w:ascii="arial" w:eastAsia="arial" w:hAnsi="arial" w:cs="arial"/>
          <w:color w:val="000000"/>
          <w:sz w:val="20"/>
          <w:lang w:val="en-US" w:eastAsia="en-US" w:bidi="ar-SA"/>
        </w:rPr>
        <w:t xml:space="preserve">, </w:t>
      </w:r>
      <w:hyperlink r:id="rId287" w:history="1">
        <w:r>
          <w:rPr>
            <w:rFonts w:ascii="arial" w:eastAsia="arial" w:hAnsi="arial" w:cs="arial"/>
            <w:i/>
            <w:color w:val="0077CC"/>
            <w:sz w:val="20"/>
            <w:u w:val="single"/>
            <w:shd w:val="clear" w:color="auto" w:fill="FFFFFF"/>
            <w:lang w:val="en-US" w:eastAsia="en-US" w:bidi="ar-SA"/>
          </w:rPr>
          <w:t>[1995] 3 S.C.R. 674</w:t>
        </w:r>
      </w:hyperlink>
      <w:r>
        <w:rPr>
          <w:rFonts w:ascii="arial" w:eastAsia="arial" w:hAnsi="arial" w:cs="arial"/>
          <w:color w:val="000000"/>
          <w:sz w:val="20"/>
          <w:lang w:val="en-US" w:eastAsia="en-US" w:bidi="ar-SA"/>
        </w:rPr>
        <w:t xml:space="preserve">, </w:t>
      </w:r>
      <w:hyperlink r:id="rId287" w:history="1">
        <w:r>
          <w:rPr>
            <w:rFonts w:ascii="arial" w:eastAsia="arial" w:hAnsi="arial" w:cs="arial"/>
            <w:i/>
            <w:color w:val="0077CC"/>
            <w:sz w:val="20"/>
            <w:u w:val="single"/>
            <w:shd w:val="clear" w:color="auto" w:fill="FFFFFF"/>
            <w:lang w:val="en-US" w:eastAsia="en-US" w:bidi="ar-SA"/>
          </w:rPr>
          <w:t>127 D.L.R. (4th) 577</w:t>
        </w:r>
      </w:hyperlink>
      <w:r>
        <w:rPr>
          <w:rFonts w:ascii="arial" w:eastAsia="arial" w:hAnsi="arial" w:cs="arial"/>
          <w:color w:val="000000"/>
          <w:sz w:val="20"/>
          <w:lang w:val="en-US" w:eastAsia="en-US" w:bidi="ar-SA"/>
        </w:rPr>
        <w:t xml:space="preserve">, Sopinka J., after quoting from </w:t>
      </w:r>
      <w:r>
        <w:rPr>
          <w:rFonts w:ascii="arial" w:eastAsia="arial" w:hAnsi="arial" w:cs="arial"/>
          <w:i/>
          <w:color w:val="000000"/>
          <w:sz w:val="20"/>
          <w:lang w:val="en-US" w:eastAsia="en-US" w:bidi="ar-SA"/>
        </w:rPr>
        <w:t>The Law of Torts</w:t>
      </w:r>
      <w:r>
        <w:rPr>
          <w:rFonts w:ascii="arial" w:eastAsia="arial" w:hAnsi="arial" w:cs="arial"/>
          <w:color w:val="000000"/>
          <w:sz w:val="20"/>
          <w:lang w:val="en-US" w:eastAsia="en-US" w:bidi="ar-SA"/>
        </w:rPr>
        <w:t xml:space="preserve"> (7th ed., 1987) by Professor John G. Fleming, stated at para. 41: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evident from the foregoing passage that while conformity with common practice will generally exonerate physicians of any complaint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there are certain situations where the standard practice itself may be found to be negligent. However, this will only be where the standard practice is 'fraught with obvious risks' such that anyone is capable of finding it negligent, without the necessity of judging matters requiring diagnostic or clinical expertise.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xml:space="preserve">  With respect to the standard expected of the nursing staff in a VBAC situation, it is important to consider the "team" dynamic under which physicians and nurses work. As Boyd J. stated in </w:t>
      </w:r>
      <w:r>
        <w:rPr>
          <w:rFonts w:ascii="arial" w:eastAsia="arial" w:hAnsi="arial" w:cs="arial"/>
          <w:b/>
          <w:i/>
          <w:color w:val="000000"/>
          <w:sz w:val="20"/>
          <w:lang w:val="en-US" w:eastAsia="en-US" w:bidi="ar-SA"/>
        </w:rPr>
        <w:t>Guerineau (Guardian ad litem of) v. Seger</w:t>
      </w:r>
      <w:r>
        <w:rPr>
          <w:rFonts w:ascii="arial" w:eastAsia="arial" w:hAnsi="arial" w:cs="arial"/>
          <w:color w:val="000000"/>
          <w:sz w:val="20"/>
          <w:lang w:val="en-US" w:eastAsia="en-US" w:bidi="ar-SA"/>
        </w:rPr>
        <w:t xml:space="preserve">, </w:t>
      </w:r>
      <w:hyperlink r:id="rId288" w:history="1">
        <w:r>
          <w:rPr>
            <w:rFonts w:ascii="arial" w:eastAsia="arial" w:hAnsi="arial" w:cs="arial"/>
            <w:i/>
            <w:color w:val="0077CC"/>
            <w:sz w:val="20"/>
            <w:u w:val="single"/>
            <w:shd w:val="clear" w:color="auto" w:fill="FFFFFF"/>
            <w:lang w:val="en-US" w:eastAsia="en-US" w:bidi="ar-SA"/>
          </w:rPr>
          <w:t>2001 BCSC 291</w:t>
        </w:r>
      </w:hyperlink>
      <w:r>
        <w:rPr>
          <w:rFonts w:ascii="arial" w:eastAsia="arial" w:hAnsi="arial" w:cs="arial"/>
          <w:color w:val="000000"/>
          <w:sz w:val="20"/>
          <w:lang w:val="en-US" w:eastAsia="en-US" w:bidi="ar-SA"/>
        </w:rPr>
        <w:t xml:space="preserve"> at para. 59: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While the treating doctors' expectations will not set the applicable standard of care, I find that those expectations are highly relevant and probative in determining whether the nurses' standard of care has been met. This is particularly so in the context of an obstetrical ward where the physicians and nurses work together as a close team.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60 That dynamic was eloquently articulated by Cunningham J. in </w:t>
      </w:r>
      <w:r>
        <w:rPr>
          <w:rFonts w:ascii="arial" w:eastAsia="arial" w:hAnsi="arial" w:cs="arial"/>
          <w:b/>
          <w:i/>
          <w:color w:val="000000"/>
          <w:sz w:val="20"/>
          <w:lang w:val="en-US" w:eastAsia="en-US" w:bidi="ar-SA"/>
        </w:rPr>
        <w:t>Granger v. Ottawa General Hospital</w:t>
      </w:r>
      <w:r>
        <w:rPr>
          <w:rFonts w:ascii="arial" w:eastAsia="arial" w:hAnsi="arial" w:cs="arial"/>
          <w:color w:val="000000"/>
          <w:sz w:val="20"/>
          <w:lang w:val="en-US" w:eastAsia="en-US" w:bidi="ar-SA"/>
        </w:rPr>
        <w:t xml:space="preserve">, </w:t>
      </w:r>
      <w:hyperlink r:id="rId289" w:history="1">
        <w:r>
          <w:rPr>
            <w:rFonts w:ascii="arial" w:eastAsia="arial" w:hAnsi="arial" w:cs="arial"/>
            <w:i/>
            <w:color w:val="0077CC"/>
            <w:sz w:val="20"/>
            <w:u w:val="single"/>
            <w:shd w:val="clear" w:color="auto" w:fill="FFFFFF"/>
            <w:lang w:val="en-US" w:eastAsia="en-US" w:bidi="ar-SA"/>
          </w:rPr>
          <w:t>[1996] O.J. No. 2129</w:t>
        </w:r>
      </w:hyperlink>
      <w:r>
        <w:rPr>
          <w:rFonts w:ascii="arial" w:eastAsia="arial" w:hAnsi="arial" w:cs="arial"/>
          <w:color w:val="000000"/>
          <w:sz w:val="20"/>
          <w:lang w:val="en-US" w:eastAsia="en-US" w:bidi="ar-SA"/>
        </w:rPr>
        <w:t xml:space="preserve"> at 16-17:</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Whether or not this relationship exists elsewhere, more particularly in some parts of the United States, it seems to me that one of the hallmarks of the Canadian health system in a tertiary care hospital such as the Ottawa General Hospital with all of its attendant teaching responsibilities, is that those involved in obstetrics work as a team and that the interaction between members of the team is vitally important particularly in terms of reliance on one another for the provision of accurate information. Looking carefully at the evidence of all obstetrical experts called, I have little doubt that our system of health care, with its obvious concerns for patient care as well as its defined budget considerations, could not function in any other way. We simply do not have the financial resources to enable every professional to double check the work of other professional and because each professional within the obstetrical team has a defined role, it is essential that each person's role be carried out within a standard of care and training appropriate to the professional involved.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If staff obstetricians, for example, cannot rely upon the staff obstetrical nurses to provide accurate assessments, given all the constraints under which they are operating, I am satisfied our system would fail ... It is not the responsibility of the staff obstetrician, assigned, during a particular shift, coverage of a number of patients including labouring mothers to sit with the mother and monitor her throughout her labour and then deliver the child. We simply do not have the resources nor would it be necessary for this to be done. That is why we have presumably well-trained and competent staff nurses who have a defined role within the obstetrical team. It is not for the obstetrical nurse to fully understand all of the subtleties that may be determined on a fetal heart monitor strip, but it is the responsibility of that nurse to understand and report problems to someone else on the obstetrical team, problems such as severe persistent variable decelerations.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Claims Against Dr. Yue - Malpractice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The next issue is whether Dr. Yue fell below the standard expected of her in recommending VBAC as an option open to Ms. Cojocaru, given the uncertainties associated with the orientation of the scar from her first caesarean 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The medical evidence is clear that VBAC is only appropriately recommended as an option for a patient who has had a prior caesarean section when the orientation of the original scar is known to be low transverse caesarean section, or at least where there is sufficient information to allow the attending physician to determine with a very high degree of accuracy that the original surgery was done with a low transverse incision. It is here that the plaintiffs allege Dr. Yue fell below the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Analysis of this issue starts with the absence of the operative report from the initial caesarean section in Romania. There is no dispute in the evidence that the report was an important document which should have been obtained if at all possible. This was confirmed by Dr. Yue, Dr. Steele, Dr. Pendleton, and Dr. Pairaudeau. Other than Dr. Yue's suggestion that it was part of her "invariable routine" to ask the patient to obtain the operative report, no effort appears to have been made to obtain it. I have already commented on the weaknesses of Dr. Yue's evidence regarding her "invariable routine".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Dr. Yue attempted to justify recommending VBAC as an option on the basis of her "invariable routine" and her notes. With respect, this simply does not stand up to careful scrutiny. Again, there is reference above to demonstrate why Dr. Yue's testimony on this point ought not to be accepted.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Ms. Cojocaru's evidence, and the independent evidence of Ms. Geller, Mr. and Mrs. Sarban and Mr. Cojocaru, verify that when she arrived in Canada in December 2000, her English was very poor. Ms. Geller attended at least the first appointment with Dr. Yue and acted as a translator.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Dr. Yue testified that she did not remember the details of the meeting, nor did she recall there being a translator/friend present.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xml:space="preserve">  Dr. Yue agreed in cross-examination that asking her patient what advice she had received from her prior obstetrician was very important. Dr. Clepce and Ms. Cojocaru testified that he advised her that her next delivery should be by way of caesarean section. Dr. Yue charted nothing of her inquiry regarding what Dr. Clepce may have advised her. This suggests that she failed to ask the question: see </w:t>
      </w:r>
      <w:r>
        <w:rPr>
          <w:rFonts w:ascii="arial" w:eastAsia="arial" w:hAnsi="arial" w:cs="arial"/>
          <w:b/>
          <w:i/>
          <w:color w:val="000000"/>
          <w:sz w:val="20"/>
          <w:lang w:val="en-US" w:eastAsia="en-US" w:bidi="ar-SA"/>
        </w:rPr>
        <w:t>Kolesar v. Jeffries</w:t>
      </w:r>
      <w:r>
        <w:rPr>
          <w:rFonts w:ascii="arial" w:eastAsia="arial" w:hAnsi="arial" w:cs="arial"/>
          <w:color w:val="000000"/>
          <w:sz w:val="20"/>
          <w:lang w:val="en-US" w:eastAsia="en-US" w:bidi="ar-SA"/>
        </w:rPr>
        <w:t xml:space="preserve"> </w:t>
      </w:r>
      <w:hyperlink r:id="rId290" w:history="1">
        <w:r>
          <w:rPr>
            <w:rFonts w:ascii="arial" w:eastAsia="arial" w:hAnsi="arial" w:cs="arial"/>
            <w:i/>
            <w:color w:val="0077CC"/>
            <w:sz w:val="20"/>
            <w:u w:val="single"/>
            <w:shd w:val="clear" w:color="auto" w:fill="FFFFFF"/>
            <w:lang w:val="en-US" w:eastAsia="en-US" w:bidi="ar-SA"/>
          </w:rPr>
          <w:t>(1976), 9 O.R. (2d) 41</w:t>
        </w:r>
      </w:hyperlink>
      <w:r>
        <w:rPr>
          <w:rFonts w:ascii="arial" w:eastAsia="arial" w:hAnsi="arial" w:cs="arial"/>
          <w:color w:val="000000"/>
          <w:sz w:val="20"/>
          <w:lang w:val="en-US" w:eastAsia="en-US" w:bidi="ar-SA"/>
        </w:rPr>
        <w:t xml:space="preserve">, </w:t>
      </w:r>
      <w:hyperlink r:id="rId290" w:history="1">
        <w:r>
          <w:rPr>
            <w:rFonts w:ascii="arial" w:eastAsia="arial" w:hAnsi="arial" w:cs="arial"/>
            <w:i/>
            <w:color w:val="0077CC"/>
            <w:sz w:val="20"/>
            <w:u w:val="single"/>
            <w:shd w:val="clear" w:color="auto" w:fill="FFFFFF"/>
            <w:lang w:val="en-US" w:eastAsia="en-US" w:bidi="ar-SA"/>
          </w:rPr>
          <w:t>59 D.L.R. (3d) 367</w:t>
        </w:r>
      </w:hyperlink>
      <w:r>
        <w:rPr>
          <w:rFonts w:ascii="arial" w:eastAsia="arial" w:hAnsi="arial" w:cs="arial"/>
          <w:color w:val="000000"/>
          <w:sz w:val="20"/>
          <w:lang w:val="en-US" w:eastAsia="en-US" w:bidi="ar-SA"/>
        </w:rPr>
        <w:t xml:space="preserve"> (H.C.J.), aff'd </w:t>
      </w:r>
      <w:hyperlink r:id="rId291" w:history="1">
        <w:r>
          <w:rPr>
            <w:rFonts w:ascii="arial" w:eastAsia="arial" w:hAnsi="arial" w:cs="arial"/>
            <w:i/>
            <w:color w:val="0077CC"/>
            <w:sz w:val="20"/>
            <w:u w:val="single"/>
            <w:shd w:val="clear" w:color="auto" w:fill="FFFFFF"/>
            <w:lang w:val="en-US" w:eastAsia="en-US" w:bidi="ar-SA"/>
          </w:rPr>
          <w:t>[1978] 1 S.C.R. 491</w:t>
        </w:r>
      </w:hyperlink>
      <w:r>
        <w:rPr>
          <w:rFonts w:ascii="arial" w:eastAsia="arial" w:hAnsi="arial" w:cs="arial"/>
          <w:color w:val="000000"/>
          <w:sz w:val="20"/>
          <w:lang w:val="en-US" w:eastAsia="en-US" w:bidi="ar-SA"/>
        </w:rPr>
        <w:t xml:space="preserve">, </w:t>
      </w:r>
      <w:hyperlink r:id="rId291" w:history="1">
        <w:r>
          <w:rPr>
            <w:rFonts w:ascii="arial" w:eastAsia="arial" w:hAnsi="arial" w:cs="arial"/>
            <w:i/>
            <w:color w:val="0077CC"/>
            <w:sz w:val="20"/>
            <w:u w:val="single"/>
            <w:shd w:val="clear" w:color="auto" w:fill="FFFFFF"/>
            <w:lang w:val="en-US" w:eastAsia="en-US" w:bidi="ar-SA"/>
          </w:rPr>
          <w:t>77 D.L.R. (3d) 161</w:t>
        </w:r>
      </w:hyperlink>
      <w:r>
        <w:rPr>
          <w:rFonts w:ascii="arial" w:eastAsia="arial" w:hAnsi="arial" w:cs="arial"/>
          <w:color w:val="000000"/>
          <w:sz w:val="20"/>
          <w:lang w:val="en-US" w:eastAsia="en-US" w:bidi="ar-SA"/>
        </w:rPr>
        <w:t>. Had she asked the question, as she should have, Dr. Yue probably would not have left VBAC open as an option for Ms. Cojocaru, as she testified that such a recommendation from a prior obstetrician would likely indicate that the patient was not a suitable candidate for VBAC. She agreed that where the orientation of the prior scar is unknown, and the prior obstetrician has recommended against VBAC, having recommended a repeat caesarean section, VBAC is contraindicated. The fact that VBAC is contraindicated is verified by the Alarm Course Syllabus, which outlines the contraindications for VBAC. These include previous classical caesarean section, unknown scar and the opinion of the previous surgeon.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Ms. Cojocaru confirmed in evidence that she had requested on numerous occasions that she wanted a caesarean section. This alone should have prompted Dr. Yue to make arrangements for a repeat caesarean section. Instead, she assured Ms. Cojocaru that VBAC was a safe alternative and that she should have a trial of labour. The request for a repeat caesarean section is verified by the evidence that Ms. Cojocaru requested anaesthetic information from Dr. Yue in relation to having a caesarean section. Additionally, on the last appointment with Dr. Yue, Ms. Cojocaru asked again when the appointment could be made for the caesarean 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Ms. Geller's testimony verifies that Ms. Cojocaru asked for a repeat caesarean section and Dr. Yue essentially refused, emphasizing again the benefits of VBAC over a caesarean. In addition, Ms. Cojocaru, her brother Calan Sarban, and Alina Sarban confirmed that Ms. Cojocaru had always wanted a caesarean 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Finally, Ms. Cojocaru having concluded that she had to at least try VBAC, she sought some more information from Dr. Yue regarding when and how she could obtain her desired caesarean section. She testified that she was told by Dr. Yue that she would have to wait for a while and when the pain was bad that she could have a caesarean section within three minutes. Ms. Cojocaru believed that she had no other option of getting into the BC Women's Hospital, where there are doctors who are trained to do caesarean sections. She had heard that the BC Women's Hospital was the best and she wanted to be in the best.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xml:space="preserve">  The SOGC Clinical Practice Guidelines, December 1997 entitled "Vaginal Birth after Previous Caesarean Birth" states on page 2 point 4 the following: "contraindications to labour following previous Caesarean section include previous classical, inverted T incision or </w:t>
      </w:r>
      <w:r>
        <w:rPr>
          <w:rFonts w:ascii="arial" w:eastAsia="arial" w:hAnsi="arial" w:cs="arial"/>
          <w:color w:val="000000"/>
          <w:sz w:val="20"/>
          <w:u w:val="single"/>
          <w:lang w:val="en-US" w:eastAsia="en-US" w:bidi="ar-SA"/>
        </w:rPr>
        <w:t>unknown incision scar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The Compendium of Pharmaceuticals and Specialties 2000 and 2001 confirms that labour should not be induced by Prostin in patients with a history of caesarean 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xml:space="preserve">  The BCRCP, Obstetric Guideline 1, Induction of Labour, April 1999, states that previous classical, inverted T, or unknown uterine incision is an </w:t>
      </w:r>
      <w:r>
        <w:rPr>
          <w:rFonts w:ascii="arial" w:eastAsia="arial" w:hAnsi="arial" w:cs="arial"/>
          <w:color w:val="000000"/>
          <w:sz w:val="20"/>
          <w:u w:val="single"/>
          <w:lang w:val="en-US" w:eastAsia="en-US" w:bidi="ar-SA"/>
        </w:rPr>
        <w:t>absolute</w:t>
      </w:r>
      <w:r>
        <w:rPr>
          <w:rFonts w:ascii="arial" w:eastAsia="arial" w:hAnsi="arial" w:cs="arial"/>
          <w:color w:val="000000"/>
          <w:sz w:val="20"/>
          <w:lang w:val="en-US" w:eastAsia="en-US" w:bidi="ar-SA"/>
        </w:rPr>
        <w:t xml:space="preserve"> contraindication to induction of labour.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By the time Ms. Cojocaru went into hospital, ten days past her due date, she had two delivery options - repeat caesarean section or induced VBAC. Since induction was contraindicated, Dr. Yue owed her patient a duty to remove VBAC as an option. Instead, she arranged for it and left her in the hands of Dr. Steele, who knew nothing about her case and who assumed, according to his testimony, that Dr. Yue had carefully worked up her patient and ensured that she was an appropriate candidate for VBAC. Ms. Cojocaru and her baby were entitled to better.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xml:space="preserve">  In light of all the above, I conclude that Dr. Yue was negligent in recommending VBAC as a delivery option where she failed to properly verify the orientation of the previous caesarean scar. On all the evidence, Ms. Cojocaru was not a suitable candidate for a VBAC, especially when she went past her due date. Initially, there were language barriers affecting Ms. Cojocaru's ability to understand and communicate with Dr. Yue, and Dr. Yue should have recognized this problem. Dr. Yue did not properly investigate an essential element of the process for recommending VBAC, and while she herself may have been "satisfied" that Ms. Cojocaru's initial scar was a low transverse scar, she utterly failed to gather enough information to allow her to </w:t>
      </w:r>
      <w:r>
        <w:rPr>
          <w:rFonts w:ascii="arial" w:eastAsia="arial" w:hAnsi="arial" w:cs="arial"/>
          <w:color w:val="000000"/>
          <w:sz w:val="20"/>
          <w:u w:val="single"/>
          <w:lang w:val="en-US" w:eastAsia="en-US" w:bidi="ar-SA"/>
        </w:rPr>
        <w:t>safely</w:t>
      </w:r>
      <w:r>
        <w:rPr>
          <w:rFonts w:ascii="arial" w:eastAsia="arial" w:hAnsi="arial" w:cs="arial"/>
          <w:color w:val="000000"/>
          <w:sz w:val="20"/>
          <w:lang w:val="en-US" w:eastAsia="en-US" w:bidi="ar-SA"/>
        </w:rPr>
        <w:t xml:space="preserve"> draw that conclusion. She made a life-threatening decision in a situation where the information being provided was not properly verified, not communicated effectively and not properly understood. She made an incorrect assumption in relation to the reason for the previous caesarean section, and then based on this assumption, a decision to have Ms. Cojocaru undergo a VBAC. In doing so, she breached the standard of care expected of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Claims Against Dr. Edris &amp; Dr. Steele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The claim against Dr. Edris is, in many respects, an alternative to the claim against Dr. Steele. If Dr. Edris actually communicated everything relevant regarding Ms. Cojocaru's case to Dr. Steele, as he suggested, then the responsibility for what happened falls on Dr. Steele. If, on the other hand, Dr. Edris failed to effectively communicate the relevant facts to Dr. Steele, then he is responsible.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When Ms. Cojocaru came into the hospital on May 21, 2001 it was Dr. Edris' responsibility to assess her, to obtain all of the necessary information regarding her case, to communicate that information to Dr. Steele and to formulate a care plan in conjunction with Dr. Steele. He agreed with all of this in cross-examination. The question then becomes - what did he actually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We have limited information regarding his actions because Dr. Edris has no recollection of what he did, and indeed no recollection of Ms. Cojocaru. Dr. Steele has no recollection of his encounter with Dr. Edris, beyond the fact that he got a call from him in the morning. Dr. Edris does has some notes of his encounter. These notes, and their proper interpretation, are of some significance.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The critical note made by Dr. Edris is "? LTCS". He has written this note in two separate places in his notes. He agrees that the initials LTCS mean "lower transverse caesarean section". The issue is thus - what does the question mark mean?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xml:space="preserve">  A number of medical witnesses in this case have confirmed that the use of a question mark before a clinical note means "query </w:t>
      </w:r>
      <w:r>
        <w:rPr>
          <w:rFonts w:ascii="arial" w:eastAsia="arial" w:hAnsi="arial" w:cs="arial"/>
          <w:i/>
          <w:color w:val="000000"/>
          <w:sz w:val="20"/>
          <w:lang w:val="en-US" w:eastAsia="en-US" w:bidi="ar-SA"/>
        </w:rPr>
        <w:t>whatever follows</w:t>
      </w:r>
      <w:r>
        <w:rPr>
          <w:rFonts w:ascii="arial" w:eastAsia="arial" w:hAnsi="arial" w:cs="arial"/>
          <w:color w:val="000000"/>
          <w:sz w:val="20"/>
          <w:lang w:val="en-US" w:eastAsia="en-US" w:bidi="ar-SA"/>
        </w:rPr>
        <w:t>". Thus, "? VBAC" would mean "query VBAC". This means that the normal medical interpretation of Dr. Edris' note is "query lower transverse caesarean 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In the context of this case, that is a very important note. The evidence indicates two things:</w:t>
      </w:r>
      <w:r>
        <w:rPr>
          <w:rFonts w:ascii="arial" w:eastAsia="arial" w:hAnsi="arial" w:cs="arial"/>
          <w:sz w:val="20"/>
          <w:lang w:val="en-US" w:eastAsia="en-US" w:bidi="ar-SA"/>
        </w:rPr>
        <w:cr/>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no proper documentation regarding the orientation of the prior caesarean section scar. (Again, without verification of the orientation, VBAC was contraindicated).</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Ms. Cojocaru was, at best, very ambivalent regarding VBAC. She had been advised by her Romanian obstetrician to have a repeat caesarean section and made this clear to Dr. Yue.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The first note followed the "? LTCS" with the notation "according to patient". In determining what that note means, there is rationally only one conclusion. That is that Dr. Edris noticed that there was no proper documentation of the uterine scar, wondered about it and the patient was not able to confirm the orientation of the previous caesarean 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As such, either Dr. Edris fell below the standard expected of him in failing to pass this information on to Dr. Steele, or Dr. Steele fell below the standard expected of him in authorizing Dr. Edris to proceed with the induction in the face of uncertainty regarding the orientation of the prior scar. Again, the medical evidence is clear that knowledge of the orientation of the prior scar is essential to determining that this patient can safely undergo a VBAC.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In his evidence, Dr. Edris attempted to avoid the consequences of his note by purporting to say that his "usual way" of writing this kind of note meant that the patient had told him that she had had a low transverse caesarean section. With respect, this evidence make no sense whatsoever. If that were the case, the "?" would make no sense. Normal medical terminology, and normal use of the English language, denotes the word "query" to the "?". If the patient had told him that she had had a prior low transverse caesarean section, then the "?" would not have been used. He would have written "according to patient, LTCS" or "LTCS according to patient". He certainly would not have used the "?". Similarly, if the patient had told him that she had had a LTCS, he would not have repeated his notation "? LTCS" further down the page when he was outlining Ms. Cojocaru's obstetrical history. He would have written "LTCS - Romania - 1992" or some such similar note. Again, he certainly would not have used the "?" before the note "LTCS". It simply makes no sense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The question arises - why would Dr. Edris have proceeded with the induction if there was concern regarding orientation of the original scar? The answer to this question lies in the evidence of the nursing staff and Dr. Steele. The evidence of what was happening on the ward that day demonstrates that this was a very hectic day for all concerned. They were short-staffed because of the HEU job action. They had too few staff to care for all the patients who were in labour on the unit that day. Dr. Edris himself, it is clear, was with Ms. Cojocaru for only approximately six minutes. I accept the evidence of Nurse MacQueen on this point, who testified that she notified Dr. Edris of Ms. Cojocaru's arrival at 10:15 a.m., he arrived at 10:44 a.m., and she noted this on the strip. She would have charted it if he had left to call Dr. Steele before administering the Prostin gel - there is no such notation either on the strip nor in her notes. As such, Dr. Edris' call that morning to Dr. Steele was before he met with Ms. Cojocaru, or after he had applied the induction.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The evidence I accept makes clear that Dr. Edris was very busy and that at a minimum he did not do what was expected of him in terms of leaving the room to call Dr. Steele to discuss the case with him. In addition, the evidence also makes clear that all of the medical defendants in this case considered the risk of uterine rupture to be very small. None had actually been involved in a case where the patient who ruptured was under their direct care. In circumstances such as this, it is easy to understand how Dr. Edris could succumb to the temptation to simply proceed with the induction rather than do everything "by the book".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Dr. Steele, who testified as to how busy he was that day, fell to the same temptation in relying upon the assumption that Dr. Yue had properly worked up this patient. He conceded in his evidence that he had no communication with Dr. Yue about this patient before May 21, 2001. He had not reviewed her chart at any point before the rupture. In the circumstances, given his concession on cross-examination that uterine rupture was a life-threatening complication, and that the consequences of being wrong regarding any assumptions vis-à-vis the uterine scar was potentially death or permanent injury to his patient, simply relying upon such an assumption was below the standard of care expected of him. This is especially so given his concession that as the obstetrician on call, he had control of her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There are also the issues relating to Dr. Steele's attendance (or, more correctly, his non-attendance) upon Ms. Cojocaru.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Dr. Steele admitted that he was the person in charge of Ms. Cojocaru's induction and delivery. He was the only medical witness to balk at the suggestion that she was a high risk patient. I conclude that she was a high risk patient. All of the other medical witnesses agreed that because of her status, she was a high risk patient. Perhaps his misapprehension regarding her risk status accounts for his lackadaisical attitude, but the evidence makes it clear that:</w:t>
      </w:r>
      <w:r>
        <w:rPr>
          <w:rFonts w:ascii="arial" w:eastAsia="arial" w:hAnsi="arial" w:cs="arial"/>
          <w:sz w:val="20"/>
          <w:lang w:val="en-US" w:eastAsia="en-US" w:bidi="ar-SA"/>
        </w:rPr>
        <w:cr/>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Steele sought no information from Dr. Yue about this patient, even though he had never seen her before and knew nothing about her;</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made no effort to see her when he was advised that she was in for induction;</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made no effort at any time during the day to come and assess her, notwithstanding her status as, at a minimum, his assessment, a "medium high risk" patient; and by any reasonable assessment, a high risk patient.</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made no effort to come and assess her when it was reported to him that she was having difficulties in coping with her labour;</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left the hospital and attended, for reasons which are not clear, at Mount Saint Joseph Hospital knowing that the only person who could attend to any emergencies was the third year resident Dr. Green, even though he was the person who was responsible for the health and welfare of all the patients of his call group;</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did not even check on Ms. Cojocaru's status before leaving the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xml:space="preserve">  A similar situation arose in Alberta a number of years ago. In </w:t>
      </w:r>
      <w:r>
        <w:rPr>
          <w:rFonts w:ascii="arial" w:eastAsia="arial" w:hAnsi="arial" w:cs="arial"/>
          <w:b/>
          <w:i/>
          <w:color w:val="000000"/>
          <w:sz w:val="20"/>
          <w:lang w:val="en-US" w:eastAsia="en-US" w:bidi="ar-SA"/>
        </w:rPr>
        <w:t>Edmison v. Boyd</w:t>
      </w:r>
      <w:r>
        <w:rPr>
          <w:rFonts w:ascii="arial" w:eastAsia="arial" w:hAnsi="arial" w:cs="arial"/>
          <w:color w:val="000000"/>
          <w:sz w:val="20"/>
          <w:lang w:val="en-US" w:eastAsia="en-US" w:bidi="ar-SA"/>
        </w:rPr>
        <w:t xml:space="preserve"> </w:t>
      </w:r>
      <w:hyperlink r:id="rId292" w:history="1">
        <w:r>
          <w:rPr>
            <w:rFonts w:ascii="arial" w:eastAsia="arial" w:hAnsi="arial" w:cs="arial"/>
            <w:i/>
            <w:color w:val="0077CC"/>
            <w:sz w:val="20"/>
            <w:u w:val="single"/>
            <w:shd w:val="clear" w:color="auto" w:fill="FFFFFF"/>
            <w:lang w:val="en-US" w:eastAsia="en-US" w:bidi="ar-SA"/>
          </w:rPr>
          <w:t>(1985), 62 A.R. 118</w:t>
        </w:r>
      </w:hyperlink>
      <w:r>
        <w:rPr>
          <w:rFonts w:ascii="arial" w:eastAsia="arial" w:hAnsi="arial" w:cs="arial"/>
          <w:color w:val="000000"/>
          <w:sz w:val="20"/>
          <w:lang w:val="en-US" w:eastAsia="en-US" w:bidi="ar-SA"/>
        </w:rPr>
        <w:t xml:space="preserve"> (Q.B.), aff'd </w:t>
      </w:r>
      <w:hyperlink r:id="rId293" w:history="1">
        <w:r>
          <w:rPr>
            <w:rFonts w:ascii="arial" w:eastAsia="arial" w:hAnsi="arial" w:cs="arial"/>
            <w:i/>
            <w:color w:val="0077CC"/>
            <w:sz w:val="20"/>
            <w:u w:val="single"/>
            <w:shd w:val="clear" w:color="auto" w:fill="FFFFFF"/>
            <w:lang w:val="en-US" w:eastAsia="en-US" w:bidi="ar-SA"/>
          </w:rPr>
          <w:t>(1987) 77 A.R. 321</w:t>
        </w:r>
      </w:hyperlink>
      <w:r>
        <w:rPr>
          <w:rFonts w:ascii="arial" w:eastAsia="arial" w:hAnsi="arial" w:cs="arial"/>
          <w:color w:val="000000"/>
          <w:sz w:val="20"/>
          <w:lang w:val="en-US" w:eastAsia="en-US" w:bidi="ar-SA"/>
        </w:rPr>
        <w:t xml:space="preserve">, </w:t>
      </w:r>
      <w:hyperlink r:id="rId293" w:history="1">
        <w:r>
          <w:rPr>
            <w:rFonts w:ascii="arial" w:eastAsia="arial" w:hAnsi="arial" w:cs="arial"/>
            <w:i/>
            <w:color w:val="0077CC"/>
            <w:sz w:val="20"/>
            <w:u w:val="single"/>
            <w:shd w:val="clear" w:color="auto" w:fill="FFFFFF"/>
            <w:lang w:val="en-US" w:eastAsia="en-US" w:bidi="ar-SA"/>
          </w:rPr>
          <w:t>51 Alta. L.R. (2d) 43</w:t>
        </w:r>
      </w:hyperlink>
      <w:r>
        <w:rPr>
          <w:rFonts w:ascii="arial" w:eastAsia="arial" w:hAnsi="arial" w:cs="arial"/>
          <w:color w:val="000000"/>
          <w:sz w:val="20"/>
          <w:lang w:val="en-US" w:eastAsia="en-US" w:bidi="ar-SA"/>
        </w:rPr>
        <w:t xml:space="preserve"> (C.A.), the defendant was entrusted with the care of a high risk patient during her labour and delivery. She was high risk because she was very short, had renal rickets and a heart murmur. Her situation was somewhat unique in that very few patients presented with that constellation. The trial judge found, that relying upon the judgment in </w:t>
      </w:r>
      <w:r>
        <w:rPr>
          <w:rFonts w:ascii="arial" w:eastAsia="arial" w:hAnsi="arial" w:cs="arial"/>
          <w:b/>
          <w:i/>
          <w:color w:val="000000"/>
          <w:sz w:val="20"/>
          <w:lang w:val="en-US" w:eastAsia="en-US" w:bidi="ar-SA"/>
        </w:rPr>
        <w:t>Anderson v. Chasney</w:t>
      </w:r>
      <w:r>
        <w:rPr>
          <w:rFonts w:ascii="arial" w:eastAsia="arial" w:hAnsi="arial" w:cs="arial"/>
          <w:color w:val="000000"/>
          <w:sz w:val="20"/>
          <w:lang w:val="en-US" w:eastAsia="en-US" w:bidi="ar-SA"/>
        </w:rPr>
        <w:t xml:space="preserve">, </w:t>
      </w:r>
      <w:hyperlink r:id="rId294" w:history="1">
        <w:r>
          <w:rPr>
            <w:rFonts w:ascii="arial" w:eastAsia="arial" w:hAnsi="arial" w:cs="arial"/>
            <w:i/>
            <w:color w:val="0077CC"/>
            <w:sz w:val="20"/>
            <w:u w:val="single"/>
            <w:shd w:val="clear" w:color="auto" w:fill="FFFFFF"/>
            <w:lang w:val="en-US" w:eastAsia="en-US" w:bidi="ar-SA"/>
          </w:rPr>
          <w:t>[1949] 2 W.W.R. 337</w:t>
        </w:r>
      </w:hyperlink>
      <w:r>
        <w:rPr>
          <w:rFonts w:ascii="arial" w:eastAsia="arial" w:hAnsi="arial" w:cs="arial"/>
          <w:color w:val="000000"/>
          <w:sz w:val="20"/>
          <w:lang w:val="en-US" w:eastAsia="en-US" w:bidi="ar-SA"/>
        </w:rPr>
        <w:t xml:space="preserve">, </w:t>
      </w:r>
      <w:hyperlink r:id="rId294" w:history="1">
        <w:r>
          <w:rPr>
            <w:rFonts w:ascii="arial" w:eastAsia="arial" w:hAnsi="arial" w:cs="arial"/>
            <w:i/>
            <w:color w:val="0077CC"/>
            <w:sz w:val="20"/>
            <w:u w:val="single"/>
            <w:shd w:val="clear" w:color="auto" w:fill="FFFFFF"/>
            <w:lang w:val="en-US" w:eastAsia="en-US" w:bidi="ar-SA"/>
          </w:rPr>
          <w:t>[1949] 4 D.L.R. 71</w:t>
        </w:r>
      </w:hyperlink>
      <w:r>
        <w:rPr>
          <w:rFonts w:ascii="arial" w:eastAsia="arial" w:hAnsi="arial" w:cs="arial"/>
          <w:color w:val="000000"/>
          <w:sz w:val="20"/>
          <w:lang w:val="en-US" w:eastAsia="en-US" w:bidi="ar-SA"/>
        </w:rPr>
        <w:t xml:space="preserve"> (Man. C.A.), which held that expert evidence is not necessary in cases where common sense dictates what the standard of care should be, it was obvious that there had been a want of care with respect to the defendant's conduct. He was aware that there were some issues with respect to the health of the baby and yet treated her as a routine patient who could be monitored as usual by the nursing staff. The court found that given his knowledge of the potential for problems with this labour and delivery, he should have gone and assessed the patient when she arrived in hospital in order to satisfy himself that all was well. Instead, he waited until he was called. The court found that this fell below the standard of care. The Alberta Court of Appeal upheld the trial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The same analysis applies in this case, but for slightly different reasons. Here, Dr. Steele knew nothing about Ms. Cojocaru other than the fact that she was a VBAC patient who was being induced. He sought no information from Dr. Yue and he made no effort at any time to come and assess her. When he was called at 18:00 hours with news that his patient, whom he knew or should have known had not seen a physician at all during the day, was having problems with her pain levels, he should have come to assess her. Had he done so, he would have realized that she was having continuous pain and realized that she was facing an impending rupture. Instead, he left the hospital, without checking on her. With respect, this simply cannot be in keeping with the standard expected of a reasonably competent obstetrician who is in charge of a high risk patient.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Of particular concern regarding Dr. Steele is, even at trial, his continuous demonstration of the worst aspects of medical arrogance. Under questioning, he stated how he, while at Mount Saint Joseph, got a call about Ms. Cojocaru's uterine rupture. He emphasized in his evidence and demeanour how quickly he reacted. He testified that he dropped everything at Mount Saint Joseph Hospital and rushed off to BC Women's Hospital, suggesting, it appears, that this was a gallant thing for him to do. With respect, Ms. Cojocaru was his patient, his high risk patient, who he had not bothered to check on all day, who was now experiencing extreme trauma. No accolades are due to Dr. Steele for his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I conclude that Dr. Edris breached his duty of care and the standard of care expected of him when he proceeded with an induction when faced with an unknown or uncertain orientation of the uterine scar. He did not communicate with Dr. Steele prior to being faced with this fact and proceeded on the induction.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xml:space="preserve">  I conclude that Dr. Steele breached his duty of care and the standard of care expected of him when he failed to attend to a high risk patient in his care. He should have assessed </w:t>
      </w:r>
      <w:r>
        <w:rPr>
          <w:rFonts w:ascii="arial" w:eastAsia="arial" w:hAnsi="arial" w:cs="arial"/>
          <w:color w:val="000000"/>
          <w:sz w:val="20"/>
          <w:u w:val="single"/>
          <w:lang w:val="en-US" w:eastAsia="en-US" w:bidi="ar-SA"/>
        </w:rPr>
        <w:t>his</w:t>
      </w:r>
      <w:r>
        <w:rPr>
          <w:rFonts w:ascii="arial" w:eastAsia="arial" w:hAnsi="arial" w:cs="arial"/>
          <w:color w:val="000000"/>
          <w:sz w:val="20"/>
          <w:lang w:val="en-US" w:eastAsia="en-US" w:bidi="ar-SA"/>
        </w:rPr>
        <w:t xml:space="preserve"> patient. When advised that </w:t>
      </w:r>
      <w:r>
        <w:rPr>
          <w:rFonts w:ascii="arial" w:eastAsia="arial" w:hAnsi="arial" w:cs="arial"/>
          <w:color w:val="000000"/>
          <w:sz w:val="20"/>
          <w:u w:val="single"/>
          <w:lang w:val="en-US" w:eastAsia="en-US" w:bidi="ar-SA"/>
        </w:rPr>
        <w:t>his</w:t>
      </w:r>
      <w:r>
        <w:rPr>
          <w:rFonts w:ascii="arial" w:eastAsia="arial" w:hAnsi="arial" w:cs="arial"/>
          <w:color w:val="000000"/>
          <w:sz w:val="20"/>
          <w:lang w:val="en-US" w:eastAsia="en-US" w:bidi="ar-SA"/>
        </w:rPr>
        <w:t xml:space="preserve"> patient, a high risk patient, was experiencing trouble such that a nurse placed a call to him, he did not attend. Rather, he left the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Claim against the Nursing Staff - Nurse MacQueen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In regards to the claim against Nurse MacQueen, I have concluded that the claim must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As to the suggestion that Nurse MacQueen fell below the standard of care by failing to notify the attending physician of the unknown orientation of the uterine scar, clearly Dr. Edris, by his notes, noted this lack of certainty regarding the uterine scar, and whether it represented a lower transverse caesarean section. The responsibility as such shift to Dr. Edris. It was in his mind when he examined Ms. Cojocaru in Nurse MacQueen's presence.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With respect to Ms. Cojocaru's communication to the effect that she desired a repeat caesarean section, that I conclude was the responsibility of the doctors, not Nurse MacQueen as an admitting nurse.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Claims against the Nursing Staff - Nurse Bellini and Nurse Voerwold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The central allegations against these two nurses relate to their failure to properly monitor Ms. Cojocaru after she arrived in the labour and delivery suite.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With respect to this aspect of the plaintiffs' case, there are serious credibility issues as between the defendants and witnesses called on behalf of the plaintiffs. These issues include:</w:t>
      </w:r>
      <w:r>
        <w:rPr>
          <w:rFonts w:ascii="arial" w:eastAsia="arial" w:hAnsi="arial" w:cs="arial"/>
          <w:sz w:val="20"/>
          <w:lang w:val="en-US" w:eastAsia="en-US" w:bidi="ar-SA"/>
        </w:rPr>
        <w:cr/>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Nurse Bellini in the room the whole time as she suggested, or was she only in the room infrequently as testified to by Mr. and Ms. Cojocaru and Mr. and Mrs. Sarban;</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Ms. Cojocaru suffer from constant pain for the half hour or so prior to 18:00 or was she comfortable and relaxed between contractions as suggested by Nurse Bellini; and</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Mr. Cojocaru in the room with his wife or was she alone as suggested by Nurse Bellini?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xml:space="preserve">  In assessing the witnesses, and determining these credibility issues, it is important that the court assess credibility keeping in mind the comments of O'Halloran J. in </w:t>
      </w:r>
      <w:r>
        <w:rPr>
          <w:rFonts w:ascii="arial" w:eastAsia="arial" w:hAnsi="arial" w:cs="arial"/>
          <w:b/>
          <w:i/>
          <w:color w:val="000000"/>
          <w:sz w:val="20"/>
          <w:lang w:val="en-US" w:eastAsia="en-US" w:bidi="ar-SA"/>
        </w:rPr>
        <w:t>Faryna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Nurse Bellini testified, in the main, on the basis of her notes. The credibility of the notes therefore becomes critical. With respect to those notes, a number of critical flaws were demonstrated during Nurse Bellini's testimony. Of significant note, Nurse Bellini did not follow the appropriate protocols for entering late entries. Dr. Keith testified that the proper way of entering a late entry is to date and time it when it is actually entered, and then to indicate "at such-and-such a time, X happened". Nurse Bellini, in her notes which she actually identified as late entries, dated and timed them as of the time the events purportedly happened.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In addition, and much more importantly, all of the entries made after 17:45 were made after she realized there was a problem. The entries which were marked as "late entries" were made after the delivery of the infant plaintiff and therefore after she knew that he had likely suffered a serious injury. They were not in any way the independent routine entries which are the hallmark of reliable medical records. It is also apparent from her testimony that the entries following 17:45, and before 18:41, were made after she realized that something was wrong. She testified that her practice was to make a note and sign or initial it at the end. Her initials appear after the 17:45 note and then not again until after the 18:28 entry. She testified in cross-examination that the initial which appears in the 18:10 note is simply to initial the alteration to the note - the word that had been scratched out. Thus, not only is it clear that the notes were likely late entries, they are not so marked, which raises immediate concerns about their reliability, but they were likely made at a time when Nurse Bellini knew that she had missed vital information about Ms. Cojocaru's labour and delivery and therefore had likely contributed to her injury and that of her baby. Again, they are a long way from the independent routine notes which form the basis of reliable and credible medical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Nurse Bellini created two separate sets of notes, aside from the chart late entries, regarding what happened in this case. Her only explanation for creating these notes was that she wanted a record of what had happened. This makes no sense. First, the partogram entries stand as her official record of what happened. There is no need for these extra sets of notes. The notes do not contain any information which is not in the partogram. They cannot assist her recollection in any manner beyond what is in the partogram. There is no purpose to be served by creating them. Secondly, the suggested reason for making the notes, to have a record of what happened, does not explain in any way why she would create two sets of notes. Again, there is no new or unrecorded information. It is simply another rendition of what happened. It makes no sense to create two separate copies, one much longer than the other, if you were trying to simply have a record of what happened.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I reluctantly conclude, having listened to the testimony of Nurse Bellini, and assessing her demeanour and her words carefully, that Nurse Bellini, in making separate sets of notes, was practicing how to construct what to put in the partogram, after realizing that the baby had likely suffered a serious injury on her watch. That is the best explanation for her actions, and it points to knowledge on her part of her role in the injury suffered by the infant plaintiff. It points to her attempts to cover her involvement.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On a perhaps collateral point, Nurse Bellini did not even recall Mr. Cojocaru being in the room, although his presence was confirmed by Ms. Cojocaru, Mr. and Mrs. Sarban and even Nurse Voerwold. This, plus what is noted above, has led me to conclude I can put no weight on the evidence of Nurse Bellini.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Ms. Cojocaru's testimony regarding what happened is backed up by the testimony of three witnesses - her husband Marcel, her brother Calin Sarban and his wife Alina Sarban. No real challenge to their credibility was made in cross-examination by defence counsel. They were steadfast in their recollection of events. In a situation like this, where there are real questions regarding the reliability of the nursing notes, and no physician notes are available because no physician came to see Ms. Cojocaru before Dr. Green arrived at 18:20 hours, the ability of the witnesses to recall the events becomes critical.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For those present, this was an extremely important event in their lives. They were being forced to live through a very trying and difficult experience. The events will likely stay with them for the rest of their lives. For the nurses, however, this was, until the crisis, just another busy day at the hospital. There is nothing to suggest the events were other than routine up to the rupture. Indeed, that was the thrust of the nurses' evidence - until the rupture, they detected nothing unusual at all. Afterwards, they purport to recall vivid details regarding abdominal palpations between contractions, etc., none of which are charted.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I have concluded that the evidence of the family is to be preferred wherever there is a conflict with the evidence of the nurses.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As previously discussed, uterine rupture is a life-threatening complication for both the mother and the baby. As already noted, the signs and symptoms associated with a uterine rupture, or an impending rupture, are set out in the Guidelines published by the British Columbian Reproductive Care Program. These Guidelines are followed in the BC Women's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xml:space="preserve">  With respect to an </w:t>
      </w:r>
      <w:r>
        <w:rPr>
          <w:rFonts w:ascii="arial" w:eastAsia="arial" w:hAnsi="arial" w:cs="arial"/>
          <w:color w:val="000000"/>
          <w:sz w:val="20"/>
          <w:u w:val="single"/>
          <w:lang w:val="en-US" w:eastAsia="en-US" w:bidi="ar-SA"/>
        </w:rPr>
        <w:t>impending</w:t>
      </w:r>
      <w:r>
        <w:rPr>
          <w:rFonts w:ascii="arial" w:eastAsia="arial" w:hAnsi="arial" w:cs="arial"/>
          <w:color w:val="000000"/>
          <w:sz w:val="20"/>
          <w:lang w:val="en-US" w:eastAsia="en-US" w:bidi="ar-SA"/>
        </w:rPr>
        <w:t xml:space="preserve"> rupture, one must look for:</w:t>
      </w:r>
      <w:r>
        <w:rPr>
          <w:rFonts w:ascii="arial" w:eastAsia="arial" w:hAnsi="arial" w:cs="arial"/>
          <w:sz w:val="20"/>
          <w:lang w:val="en-US" w:eastAsia="en-US" w:bidi="ar-SA"/>
        </w:rPr>
        <w:cr/>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Inadequate labour progress (cervical dilation, fetal descent) despite good contractions;</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Incoordinate uterine activity;</w:t>
      </w:r>
    </w:p>
    <w:p>
      <w:pPr>
        <w:numPr>
          <w:numId w:val="4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Restlessness and anxiety; and</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Lower abdominal pain between contractions.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Nurse Bellini agreed in cross-examination that she understood in May 2001 that when she acts in the capacity of a high risk nurse, she is working as part of a team and that she was to be the eyes and ears of the attending physician. She agreed that as Dr. Steele was not there, it was very important for her to pay attention and to give him reports of what was going on to maximize the care for the mother and the baby. She agreed that giving accurate and timely reports to the attending physician is critical and that in a VBAC, her primary role is to alert the physician to anything that could be a potential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The evidence reveals that Ms. Cojocaru was showing signs of an impending rupture as noted above. Her labour was not progressing and she was showing signs of restlessness and anxiety soon after her admission to the labour and delivery suite. She was also demonstrating clear signs of lower abdominal pain between contractions. She was unable to converse.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Clearly, it was important to the health of both mother and baby to catch this as an impending rupture if at all possible. It is here that Nurse Bellini fell below the standard expected of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xml:space="preserve">  The signs and symptoms that may be associated with a </w:t>
      </w:r>
      <w:r>
        <w:rPr>
          <w:rFonts w:ascii="arial" w:eastAsia="arial" w:hAnsi="arial" w:cs="arial"/>
          <w:color w:val="000000"/>
          <w:sz w:val="20"/>
          <w:u w:val="single"/>
          <w:lang w:val="en-US" w:eastAsia="en-US" w:bidi="ar-SA"/>
        </w:rPr>
        <w:t>complete</w:t>
      </w:r>
      <w:r>
        <w:rPr>
          <w:rFonts w:ascii="arial" w:eastAsia="arial" w:hAnsi="arial" w:cs="arial"/>
          <w:color w:val="000000"/>
          <w:sz w:val="20"/>
          <w:lang w:val="en-US" w:eastAsia="en-US" w:bidi="ar-SA"/>
        </w:rPr>
        <w:t xml:space="preserve"> uterine rupture can be distinguished from the above signs, in that the rupture now has already occurred, and are as follows:</w:t>
      </w:r>
      <w:r>
        <w:rPr>
          <w:rFonts w:ascii="arial" w:eastAsia="arial" w:hAnsi="arial" w:cs="arial"/>
          <w:sz w:val="20"/>
          <w:lang w:val="en-US" w:eastAsia="en-US" w:bidi="ar-SA"/>
        </w:rPr>
        <w:cr/>
      </w:r>
    </w:p>
    <w:p>
      <w:pPr>
        <w:numPr>
          <w:numId w:val="4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Sudden non-reassuring fetal heart pattern;</w:t>
      </w:r>
    </w:p>
    <w:p>
      <w:pPr>
        <w:numPr>
          <w:numId w:val="4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Unusual abdominal/uterine pain;</w:t>
      </w:r>
    </w:p>
    <w:p>
      <w:pPr>
        <w:numPr>
          <w:numId w:val="4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Cessation of contractions or incoordinate uterine activity;</w:t>
      </w:r>
    </w:p>
    <w:p>
      <w:pPr>
        <w:numPr>
          <w:numId w:val="4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Unexplained vaginal bleeding;</w:t>
      </w:r>
    </w:p>
    <w:p>
      <w:pPr>
        <w:numPr>
          <w:numId w:val="4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sudden onset of maternal tachycardia and hypotension;</w:t>
      </w:r>
    </w:p>
    <w:p>
      <w:pPr>
        <w:numPr>
          <w:numId w:val="4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Excessive fetal movement;</w:t>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Fetal parts palpated through the abdominal wall; and</w:t>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Presenting part higher than found previously.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All of the medical witnesses who testified on this point, including Dr. Pendleton, and Nurse Bellini, agreed that by the time the situation reaches this point, both mother and baby are in serious trouble.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Upon a review of the evidence it is clear that the possibility of an emergency or even a serious situation was not considered until the fetal heart rate dropped (fetal bradycardia). This is a late sign of uterine rupture. As the events showed, it was too late to wait until this point to react.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Dr. Mitchell's report dated July 16, 2007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all labours involving a trial VBAC, the obstetrical team must be especially vigilant for signs or symptoms that might indicate imminent or actual uterine rupture. One such symptom is an excessive amount of abdominal pain or a change in the nature of this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He goes on to say: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nursing notes from 17:45 until Dr. Green arrived at 18:20 are written out of sequence and several 'late entries' have been added. At 17:45 Nurse Bellini noted that the cervix was effacing well, soft and one centimetre dilated. Contractions were 5-6 per 10 minutes and described as 'moderate' and the patient was 'coping fairly well'. Over the next 20 minutes, Ms. Cojocaru's pain changed rapidly to 'more distressed' then 'very distressed'. This discordance between the palpable strength of the contractions by an experienced labour and delivery nurse and the apparent change in degree of pain induced distress warranted further diagnostic action. This would include a physical assessment of the patient by the nurse or an immediate call to the attending physician or on-call resident. At the very least, this would include assessment of pulse and blood pressure as well as an abdominal examination to assess for signs of tenderness, guarding and rebound tenderness that, in these circumstances, would suggest uterine rupture. Notation of this assessment would be a very important part of the record. There is no record that such an assessment was performed or that a physician was notified. Indeed, the physician was not called until there was persistent fetal bradycardia. In my opinion, this also fell below the expected standard of care in 2001.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believe that more careful attention to any or all of these points would have prevented or ameliorated the fetal asphyxia that led to the adverse outcome for Eric Cojocaru.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In his report dated July 20, 2007, Dr. Mitchell confirms: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believe that the uterine rupture occurred between 17:45 and 18:05, during the period of time when Nurse Bellini noted the rapidly escalating nature of Ms. Cojocaru's pain. Had Dr. Greene been called during that time frame, I believe he would have examined the patient and found clinical evidence of uterine rupture, most notably signs of intraperitoneal hemorrhage. Having made the diagnosis of uterine rupture, I believe he would have proceeded to emergency caesarean section at that time. This would have resulted in delivery of the baby 10-20 minutes earlier than what actually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It is to be noted here that in stating this conclusion, Dr. Mitchell's opinion proceeded on the assumption that the nursing notes were accurate. I accept the family evidence that the constant uterine pain began much sooner. Nurse Bellini should have picked up on the constant uterine pain sooner, and the intervention would have occurred that much sooner. She failed to do so because she was not, as directed, in the hospital room with Ms. Cojocaru. I accept the evidence of the family members on this point, and reject the evidence of Nurse Bellini as to her attendance.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Nurse Radmanovic also testified, and her report confirms that, in her view, the attending physician should have been called in much sooner than he was. When the membranes rupture there can be blood but the nurse should check especially in a VBAC. It must be distinguished from active bleeding which could be placental separation. She confirmed that an experienced nurse should be able to distinguish between "show" and "active bleeding". She would notify the obstetrician if there was any kind of bright red bleeding in a VBAC patient.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Nurse Radmanovic also stated that there was hyperstimulation and that she would have told Dr. Steele that there were very frequent contractions and it was a VBAC patient. She confirmed that it is prudent in a VBAC situation to do the labs sooner rather than later. Dr. Steele said "later". This indicates that he was not fully apprised of the current situation. A VBAC patient who cannot speak due to pain, and who is having very frequent contractions, ought to be assessed.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Dr. Pendleton explained that the scar is a weak point and that there is a continuum of separations which can occur - from a minimal separation of the scar with little or no consequence to a full blown rupture such as occurred in this case. More importantly, he testified that a patient can move along that continuum as a scar begins to separate, causing constant pain between contractions until it finally blows and the uterus ruptures completely. That is what appears to have happened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Dr. Pendleton rejected that as a conclusion here, but based his opinion on the premise that the pain of an impending uterine rupture would not have allowed Ms. Cojocaru to have gone to the bathroom alone. He was not aware of the evidence that she was helped to the bathroom by her husband and her sister-in-law, evidence I accept.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He confirmed that, if there is constant pain even in the period when the uterus is finished the contraction, is either a sign that the mother is not coping well or there is something of concern happening. In this context, he confirmed that the nurse must act as an advocate for her patients, both mother and baby. He also assumed for the purpose of his report that the notes are made contemporaneously until 18:14. Dr. Pendleton confirmed that a small percentage of patients suffer pain in early labour but that he would not expect the vast majority of patients to be in significant pain when at one centimetre dilation.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Therefore, had the nursing staff noted and reported these signs, the resident Dr. Green would have been able to act sooner and Dr. Steele would have been contacted sooner allowing for the earlier delivery of Eric Cojocaru, therefore preventing his catastrophic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Dr. Keith agreed that Ms. Cojocaru should have had one-to-one nursing care. Her opinion that the nurses here had met the standard expected of them was based on the premise that Ms. Cojocaru's labour was uneventful until it took a dramatic and unexpected turn at 18:18 hours with the fetal bradycardia. That is not what happened in this case. The evidence indicates a deteriorating situation which was missed by Nurse Bellini, as she was absent. Ms. Cojocaru did not have one-to-one nursing care. She was left alone.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Ms. Cojocaru's evidence confirms what was going on. She testified that for most of the day, she was having "normal" contractions (pain with relief between contractions) but that all changed sometime after arrival in the labour and delivery suite. Then she started having constant pain, with no relief between contractions. This most important clinical symptom was missed by Nurse Bellini, who was not present in the room, and if present, perhaps periodically, did not properly assess the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Nurse Bellini also missed another important sign, blood. Mrs. Sarban and Mr. Cojocaru both testified that when they got Ms. Cojocaru up to go to the bathroom, there was blood on the blue pad which had been placed underneath her on the bed and there was blood on the floor leading to the bathroom. Mr. Cojocaru testified that it looked like the blood which you get when you cut your finger - bright red blood. This is the same description given by the various medical witnesses regarding how you distinguish "show" from bleeding. Show is old brown blood mixed with mucus. Bleeding is bright red blood. Bleeding must be reported as it is an indication of an impending rupture. It was missed by Nurse Bellini because she was not in the room and was not paying attention to what was going on with her patient.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The evidence of Mrs. Sarban verifies that Nurse Bellini was absent for most of the afternoon, and that even when confronted with a request for a caesarean section, she declined to even contact the doctor. She dismissed the request as "not necessary". In cross-examination of Mr. Cojocaru and some of the other witnesses, it was suggested that a second nurse (presumably Nurse Voerwold) was in the room continuously from 17:45 to 18:05. Nurse Voerwold herself rejected this. Clearly, no one was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There was evidence in this case that the nurses were monitoring the fetal heart rate from the nursing station. It is uncontested that until the fetal bradycardia, the fetal heart rate was not a concern. The evidence indicates that changes in the fetal heart rate are a late sign of uterine rupture. It would appear that Nurse Bellini relied upon the strip to determine that all was well, and failed to notice the important signs and symptoms which were indicative of the impending rupture, which she would have noticed had she been attentive to her duties and present in the room.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I conclude that: there was a clear failure on the part of Nurse Bellini to communicate regarding the status of her patient; a clear failure on the part of Nurse Bellini to monitor/supervise Ms. Cojocaru; and a failure on the part of Nurse Bellini to notice and report unusual signs potentially indicative of a uterine rupture/dehiscence. Finally, there was a failure by Nurse Bellini to communicate the concerns of the patient and patient's family to the patient's doctor and to investigate the repeated requests for a caesarean 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The care of Nurse Bellini clearly falls below the standard of care expected of a nurse in this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I, however, make no such finding against Nurse Voerwold, who assigned Nurse Bellini her responsibilities and who assumed Nurse Bellini would attend to them. Nurse Voerwold assigned Nurse Bellini to the care of Ms. Cojocaru before any of the significant signs of pending uterine rupture happened.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Causation - 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xml:space="preserve">  The issue of causation came before the Supreme Court of Canada in </w:t>
      </w:r>
      <w:r>
        <w:rPr>
          <w:rFonts w:ascii="arial" w:eastAsia="arial" w:hAnsi="arial" w:cs="arial"/>
          <w:b/>
          <w:i/>
          <w:color w:val="000000"/>
          <w:sz w:val="20"/>
          <w:lang w:val="en-US" w:eastAsia="en-US" w:bidi="ar-SA"/>
        </w:rPr>
        <w:t>Hanke v. Resurfice Corp.</w:t>
      </w:r>
      <w:r>
        <w:rPr>
          <w:rFonts w:ascii="arial" w:eastAsia="arial" w:hAnsi="arial" w:cs="arial"/>
          <w:color w:val="000000"/>
          <w:sz w:val="20"/>
          <w:lang w:val="en-US" w:eastAsia="en-US" w:bidi="ar-SA"/>
        </w:rPr>
        <w:t xml:space="preserve">, </w:t>
      </w:r>
      <w:hyperlink r:id="rId77"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xml:space="preserve">, </w:t>
      </w:r>
      <w:hyperlink r:id="rId77" w:history="1">
        <w:r>
          <w:rPr>
            <w:rFonts w:ascii="arial" w:eastAsia="arial" w:hAnsi="arial" w:cs="arial"/>
            <w:i/>
            <w:color w:val="0077CC"/>
            <w:sz w:val="20"/>
            <w:u w:val="single"/>
            <w:shd w:val="clear" w:color="auto" w:fill="FFFFFF"/>
            <w:lang w:val="en-US" w:eastAsia="en-US" w:bidi="ar-SA"/>
          </w:rPr>
          <w:t>[2007] 1 S.C.R. 333</w:t>
        </w:r>
      </w:hyperlink>
      <w:r>
        <w:rPr>
          <w:rFonts w:ascii="arial" w:eastAsia="arial" w:hAnsi="arial" w:cs="arial"/>
          <w:color w:val="000000"/>
          <w:sz w:val="20"/>
          <w:lang w:val="en-US" w:eastAsia="en-US" w:bidi="ar-SA"/>
        </w:rPr>
        <w:t xml:space="preserve">. In that case, the plaintiff, the operator of a ice-resurfacing machine, was badly burned when hot water overfilled the gasoline tank of the machine, releasing vapourized gasoline which was then ignited by an overhead heater, causing an explosion and fire. The plaintiff sued the manufacturer and distributor of the machine for damages, alleging that the gasoline and water tanks were similar in appearance and placed close together on the machine, making it easy to confuse the two. The trial judge dismissed the action. He found that the plaintiff did not establish that the accident was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manufacturer or distributor. The Alberta Court of Appeal ordered a new trial, concluding that the trial judge had erred in both his foreseeability and causation analyses. The Supreme Court restored the trial judgment. In dealing with the causation aspect of the case, McLachlin C.J.C., speaking for the court, stated:</w:t>
      </w:r>
      <w:r>
        <w:rPr>
          <w:rFonts w:ascii="arial" w:eastAsia="arial" w:hAnsi="arial" w:cs="arial"/>
          <w:sz w:val="20"/>
          <w:lang w:val="en-US" w:eastAsia="en-US" w:bidi="ar-SA"/>
        </w:rPr>
        <w:cr/>
      </w:r>
    </w:p>
    <w:p>
      <w:pPr>
        <w:numPr>
          <w:numId w:val="5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Much judicial and academic ink has been spilled over the proper test for causation in cases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It is neither necessary nor helpful to catalogue the various debates. It suffices at this juncture to simply assert the general principles that emerge from the cases.</w:t>
      </w:r>
    </w:p>
    <w:p>
      <w:pPr>
        <w:numPr>
          <w:numId w:val="5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First, the basic test for determining causation remains the 'but for' test. This applies to multi-cause injuries. The plaintiff bears the burden of showing that 'but for' the negligent act or omission of each defendant, the injury would not have occurred. Having done this,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may be apportioned, as permitted by statute.</w:t>
      </w:r>
    </w:p>
    <w:p>
      <w:pPr>
        <w:numPr>
          <w:numId w:val="5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fundamental rule has never been displaced and remains the primary test for causation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actions. As stated in </w:t>
      </w:r>
      <w:r>
        <w:rPr>
          <w:rFonts w:ascii="arial" w:eastAsia="arial" w:hAnsi="arial" w:cs="arial"/>
          <w:b/>
          <w:i/>
          <w:color w:val="000000"/>
          <w:sz w:val="20"/>
          <w:lang w:val="en-US" w:eastAsia="en-US" w:bidi="ar-SA"/>
        </w:rPr>
        <w:t>Athey v. Leonati</w:t>
      </w:r>
      <w:r>
        <w:rPr>
          <w:rFonts w:ascii="arial" w:eastAsia="arial" w:hAnsi="arial" w:cs="arial"/>
          <w:color w:val="000000"/>
          <w:sz w:val="20"/>
          <w:lang w:val="en-US" w:eastAsia="en-US" w:bidi="ar-SA"/>
        </w:rPr>
        <w:t xml:space="preserve">, at para. 14,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Major J., "a[t]he general, but not conclusive, test for causation is the 'but for' test, which requires the plaintiff to show that the injury would not have occurred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Similarly, as I noted in </w:t>
      </w:r>
      <w:r>
        <w:rPr>
          <w:rFonts w:ascii="arial" w:eastAsia="arial" w:hAnsi="arial" w:cs="arial"/>
          <w:b/>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75" w:history="1">
        <w:r>
          <w:rPr>
            <w:rFonts w:ascii="arial" w:eastAsia="arial" w:hAnsi="arial" w:cs="arial"/>
            <w:i/>
            <w:color w:val="0077CC"/>
            <w:sz w:val="20"/>
            <w:u w:val="single"/>
            <w:shd w:val="clear" w:color="auto" w:fill="FFFFFF"/>
            <w:lang w:val="en-US" w:eastAsia="en-US" w:bidi="ar-SA"/>
          </w:rPr>
          <w:t>[2005] 3 S.C.R. 3</w:t>
        </w:r>
      </w:hyperlink>
      <w:r>
        <w:rPr>
          <w:rFonts w:ascii="arial" w:eastAsia="arial" w:hAnsi="arial" w:cs="arial"/>
          <w:color w:val="000000"/>
          <w:sz w:val="20"/>
          <w:lang w:val="en-US" w:eastAsia="en-US" w:bidi="ar-SA"/>
        </w:rPr>
        <w:t>, at para. 78, "a[t]he rules of causation consider generally whether 'but for' the defendant's acts, the plaintiff's damages would have been incurred on a balance of probabilities".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Causation -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With respect to Dr. Yue, recommending VBAC to Ms. Cojocaru as a delivery option, without verifying the location of the previous uterine scar, was a breach of the standard expected of her. The issue is - did this breach cause the injury complained 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xml:space="preserve">  The test for causation is the "but for" test. That is,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Dr. Yue in recommending VBAC as a delivery option, would the plaintiff have suffered the injuries complained of? Dr. Yue seeks to avoid liability in this case by arguing that since the operative report by Dr. Clepce indicates that Ms. Cojocaru had a low transverse caesarean section, the failure to obtain the report is unrelated to the injury suffered. This, however, misses the point.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complained of 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recommending VBAC as a delivery option. Had Dr. Yue not done this, Ms. Cojocaru would have had a repeat caesarean section and the injury would indeed have been avoided.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xml:space="preserve">  It is not sufficient to say "had she properly investigated the original operative report, Dr. Yue may well have recommended VBAC". The fact is that she did not investigate it, and her recommendation was made without obtaining the operative report and without properly investigating the issue.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in the recommendation. Causation flows from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proven.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xml:space="preserve">  With respect to Dr. Edris,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in proceeding with a VBAC induction in the face of indications that the issue of the orientation of the scar had not been established, and in the face of indications from the patient that she wanted a repeat caesarean section. Dr. Edris' notes indicate he knew or ought to have known of the deficiencies in the medical records regarding the orientation of the uterine scar.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xml:space="preserve">  As for Dr. Steele, he had no contact at all with Dr. Yue. Dr. Steele had no contact with his patient. If he had, he would have been informed of Ms. Cojocaru's desire for a repeat caesarean section. When faced with phone calls concerning </w:t>
      </w:r>
      <w:r>
        <w:rPr>
          <w:rFonts w:ascii="arial" w:eastAsia="arial" w:hAnsi="arial" w:cs="arial"/>
          <w:color w:val="000000"/>
          <w:sz w:val="20"/>
          <w:u w:val="single"/>
          <w:lang w:val="en-US" w:eastAsia="en-US" w:bidi="ar-SA"/>
        </w:rPr>
        <w:t>his</w:t>
      </w:r>
      <w:r>
        <w:rPr>
          <w:rFonts w:ascii="arial" w:eastAsia="arial" w:hAnsi="arial" w:cs="arial"/>
          <w:color w:val="000000"/>
          <w:sz w:val="20"/>
          <w:lang w:val="en-US" w:eastAsia="en-US" w:bidi="ar-SA"/>
        </w:rPr>
        <w:t xml:space="preserve"> high risk patient, he chose, rather than to attend, to leave the hospital. If Dr. Steele had done any aspect of care expected of a physician, it is clear Ms. Cojocaru's situation would have been averted in time so that no damage was done to Eric.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With respect to Nurse Bellini, the causation issue is slightly different. Nurse Bellini was faced with a patient who had already been induced. Her task, which she failed to properly perform, was to carefully monitor and report changes in her condition which might indicate a possible problem. Had Nurse Bellini done her job, it is likely that Dr. Green would have been called in no later than 18:00 hours. The uncontested evidence of Dr. MacNab, Dr. Armstrong and Dr. Solimano is that when a fetus suffers from an acute asphyxial insult, he has 10-15 minutes to be rescued, beyond which brain damage begins to set in. Dr. Green arrived immediately upon being called. He did a very good job of recognizing what was going on and reacting to the emergency in place of the missing Dr. Steele. He organized an emergency caesarean section and had the baby delivered by 18:41. Had he been called by 18:00, the baby likely would have been delivered by 18:20, well before brain damage set 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xml:space="preserve">  In other words,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these noted defendants, Eric Cojocaru would have been delivered by repeat caesarean section without induction, or he would have been delivered by emergency caesarean section well before 18:41. In either case, he would not have suffered his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Turning to the issues raised earlier in these reasons, I conclude the following: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1.</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As against Dr. Yue:</w:t>
            </w:r>
            <w:r>
              <w:rPr>
                <w:rFonts w:ascii="arial" w:eastAsia="arial" w:hAnsi="arial" w:cs="arial"/>
                <w:color w:val="000000"/>
                <w:sz w:val="18"/>
                <w:lang w:val="en-US" w:eastAsia="en-US" w:bidi="ar-SA"/>
              </w:rPr>
              <w:t xml:space="preserve"> Dr. Yue fell below the standard expected of her in recommending VBAC as an option available to Ms. Cojocaru given the uncertainties associated with the orientation of her scar from the 1992 caesarean section.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54"/>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Monica Cojocaru did not provide an informed consent to having a prostaglandin induction.</w:t>
      </w:r>
    </w:p>
    <w:p>
      <w:pPr>
        <w:numPr>
          <w:numId w:val="55"/>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Monica Cojocaru did not provide an informed consent to having a VBAC delivery.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2.</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As against Dr. Edris:</w:t>
            </w:r>
            <w:r>
              <w:rPr>
                <w:rFonts w:ascii="arial" w:eastAsia="arial" w:hAnsi="arial" w:cs="arial"/>
                <w:color w:val="000000"/>
                <w:sz w:val="18"/>
                <w:lang w:val="en-US" w:eastAsia="en-US" w:bidi="ar-SA"/>
              </w:rPr>
              <w:t xml:space="preserve"> Dr. Edris fell below the standard of care expected of him when he proceeded with prostaglandin induction in the face of an unknown uterine scar orientation.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3.</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As against Dr. Steele:</w:t>
            </w:r>
            <w:r>
              <w:rPr>
                <w:rFonts w:ascii="arial" w:eastAsia="arial" w:hAnsi="arial" w:cs="arial"/>
                <w:color w:val="000000"/>
                <w:sz w:val="18"/>
                <w:lang w:val="en-US" w:eastAsia="en-US" w:bidi="ar-SA"/>
              </w:rPr>
              <w:t xml:space="preserve"> Dr. Steele fell below the standard of care expected of him to attend upon Ms. Cojocaru generally, and specifically when it was reported to him that she was very distressed with her contractions and having frequent contractions. In failing to do so, he fell below the standard of care expected of him.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Dr. Steele additionally fell below the standard of care expected of him by failing to remain at BC Women's Hospital to be available to respond to emergencies given that he was the on call physician responsible for providing emergency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4.</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As against nursing staff:</w:t>
            </w:r>
            <w:r>
              <w:rPr>
                <w:rFonts w:ascii="arial" w:eastAsia="arial" w:hAnsi="arial" w:cs="arial"/>
                <w:color w:val="000000"/>
                <w:sz w:val="18"/>
                <w:lang w:val="en-US" w:eastAsia="en-US" w:bidi="ar-SA"/>
              </w:rPr>
              <w:t xml:space="preserve"> Nurse Bellini fell below the standard of care expected of her in failing to properly monitor Monica Cojocaru during her labour, by failing to communicate the concerns of the patient and the patient's family and to investigate the repeated requests for repeat caesarean section and failing to notice and report unusual signs potentially indicative of uterine rupture/dehiscience.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5.</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With respect to causation:</w:t>
            </w:r>
            <w:r>
              <w:rPr>
                <w:rFonts w:ascii="arial" w:eastAsia="arial" w:hAnsi="arial" w:cs="arial"/>
                <w:color w:val="000000"/>
                <w:sz w:val="18"/>
                <w:lang w:val="en-US" w:eastAsia="en-US" w:bidi="ar-SA"/>
              </w:rPr>
              <w:t xml:space="preserve"> The </w:t>
            </w:r>
            <w:r>
              <w:rPr>
                <w:rFonts w:ascii="arial" w:eastAsia="arial" w:hAnsi="arial" w:cs="arial"/>
                <w:b/>
                <w:i/>
                <w:color w:val="000000"/>
                <w:sz w:val="18"/>
                <w:u w:val="single"/>
                <w:lang w:val="en-US" w:eastAsia="en-US" w:bidi="ar-SA"/>
              </w:rPr>
              <w:t>negligence</w:t>
            </w:r>
            <w:r>
              <w:rPr>
                <w:rFonts w:ascii="arial" w:eastAsia="arial" w:hAnsi="arial" w:cs="arial"/>
                <w:color w:val="000000"/>
                <w:sz w:val="18"/>
                <w:lang w:val="en-US" w:eastAsia="en-US" w:bidi="ar-SA"/>
              </w:rPr>
              <w:t xml:space="preserve"> of the defendants caused and contributed to the injuries suffered by Eric Cojocaru and Monica Cojocaru.</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DOES THE LAW BAR A CLAIM TO DAMAGE DONE WHILE ERIC WAS A FETUS?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xml:space="preserve">  After final submissions, counsel raised in separate written submissions the issue of a physician's duty of care to a fetus. It was argued by the defendant doctors, based on a recent decision of the Ontario Court of Appeal in </w:t>
      </w:r>
      <w:r>
        <w:rPr>
          <w:rFonts w:ascii="arial" w:eastAsia="arial" w:hAnsi="arial" w:cs="arial"/>
          <w:b/>
          <w:i/>
          <w:color w:val="000000"/>
          <w:sz w:val="20"/>
          <w:lang w:val="en-US" w:eastAsia="en-US" w:bidi="ar-SA"/>
        </w:rPr>
        <w:t>Paxton v. Ramji</w:t>
      </w:r>
      <w:r>
        <w:rPr>
          <w:rFonts w:ascii="arial" w:eastAsia="arial" w:hAnsi="arial" w:cs="arial"/>
          <w:color w:val="000000"/>
          <w:sz w:val="20"/>
          <w:lang w:val="en-US" w:eastAsia="en-US" w:bidi="ar-SA"/>
        </w:rPr>
        <w:t xml:space="preserve">, </w:t>
      </w:r>
      <w:hyperlink r:id="rId295" w:history="1">
        <w:r>
          <w:rPr>
            <w:rFonts w:ascii="arial" w:eastAsia="arial" w:hAnsi="arial" w:cs="arial"/>
            <w:i/>
            <w:color w:val="0077CC"/>
            <w:sz w:val="20"/>
            <w:u w:val="single"/>
            <w:shd w:val="clear" w:color="auto" w:fill="FFFFFF"/>
            <w:lang w:val="en-US" w:eastAsia="en-US" w:bidi="ar-SA"/>
          </w:rPr>
          <w:t>2008 ONCA 697</w:t>
        </w:r>
      </w:hyperlink>
      <w:r>
        <w:rPr>
          <w:rFonts w:ascii="arial" w:eastAsia="arial" w:hAnsi="arial" w:cs="arial"/>
          <w:color w:val="000000"/>
          <w:sz w:val="20"/>
          <w:lang w:val="en-US" w:eastAsia="en-US" w:bidi="ar-SA"/>
        </w:rPr>
        <w:t xml:space="preserve">, </w:t>
      </w:r>
      <w:hyperlink r:id="rId296" w:history="1">
        <w:r>
          <w:rPr>
            <w:rFonts w:ascii="arial" w:eastAsia="arial" w:hAnsi="arial" w:cs="arial"/>
            <w:i/>
            <w:color w:val="0077CC"/>
            <w:sz w:val="20"/>
            <w:u w:val="single"/>
            <w:shd w:val="clear" w:color="auto" w:fill="FFFFFF"/>
            <w:lang w:val="en-US" w:eastAsia="en-US" w:bidi="ar-SA"/>
          </w:rPr>
          <w:t>92 O.R. (3d) 401</w:t>
        </w:r>
      </w:hyperlink>
      <w:r>
        <w:rPr>
          <w:rFonts w:ascii="arial" w:eastAsia="arial" w:hAnsi="arial" w:cs="arial"/>
          <w:color w:val="000000"/>
          <w:sz w:val="20"/>
          <w:lang w:val="en-US" w:eastAsia="en-US" w:bidi="ar-SA"/>
        </w:rPr>
        <w:t>, that it is no longer clear in law whether a physician owes a duty of care to a fetus.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xml:space="preserve">  Since receiving the written argument, I have had the benefit of reviewing a recent decision of this court, </w:t>
      </w:r>
      <w:r>
        <w:rPr>
          <w:rFonts w:ascii="arial" w:eastAsia="arial" w:hAnsi="arial" w:cs="arial"/>
          <w:b/>
          <w:i/>
          <w:color w:val="000000"/>
          <w:sz w:val="20"/>
          <w:lang w:val="en-US" w:eastAsia="en-US" w:bidi="ar-SA"/>
        </w:rPr>
        <w:t>Ediger (Guardian ad litem of) v. Johnston</w:t>
      </w:r>
      <w:r>
        <w:rPr>
          <w:rFonts w:ascii="arial" w:eastAsia="arial" w:hAnsi="arial" w:cs="arial"/>
          <w:color w:val="000000"/>
          <w:sz w:val="20"/>
          <w:lang w:val="en-US" w:eastAsia="en-US" w:bidi="ar-SA"/>
        </w:rPr>
        <w:t xml:space="preserve">, </w:t>
      </w:r>
      <w:hyperlink r:id="rId297" w:history="1">
        <w:r>
          <w:rPr>
            <w:rFonts w:ascii="arial" w:eastAsia="arial" w:hAnsi="arial" w:cs="arial"/>
            <w:i/>
            <w:color w:val="0077CC"/>
            <w:sz w:val="20"/>
            <w:u w:val="single"/>
            <w:shd w:val="clear" w:color="auto" w:fill="FFFFFF"/>
            <w:lang w:val="en-US" w:eastAsia="en-US" w:bidi="ar-SA"/>
          </w:rPr>
          <w:t>2009 BCSC 386</w:t>
        </w:r>
      </w:hyperlink>
      <w:r>
        <w:rPr>
          <w:rFonts w:ascii="arial" w:eastAsia="arial" w:hAnsi="arial" w:cs="arial"/>
          <w:color w:val="000000"/>
          <w:sz w:val="20"/>
          <w:lang w:val="en-US" w:eastAsia="en-US" w:bidi="ar-SA"/>
        </w:rPr>
        <w:t xml:space="preserve">, a decision of Madam Justice H. Holmes. I agree with her conclusion, at para. 213, that </w:t>
      </w:r>
      <w:r>
        <w:rPr>
          <w:rFonts w:ascii="arial" w:eastAsia="arial" w:hAnsi="arial" w:cs="arial"/>
          <w:b/>
          <w:i/>
          <w:color w:val="000000"/>
          <w:sz w:val="20"/>
          <w:lang w:val="en-US" w:eastAsia="en-US" w:bidi="ar-SA"/>
        </w:rPr>
        <w:t>Paxton</w:t>
      </w:r>
      <w:r>
        <w:rPr>
          <w:rFonts w:ascii="arial" w:eastAsia="arial" w:hAnsi="arial" w:cs="arial"/>
          <w:color w:val="000000"/>
          <w:sz w:val="20"/>
          <w:lang w:val="en-US" w:eastAsia="en-US" w:bidi="ar-SA"/>
        </w:rPr>
        <w:t xml:space="preserve"> does not require a "reconsideration of the law in this province that a physician's duty of care to a pregnant woman encompasses her fetus". I adopt her reasoning. There is no bar to Eric Cojocaru's claim to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Nature of the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Many experts have testified regarding the nature of Eric's brain injury. It has been described as diffuse, focal, global, profound, severe, static and non-progressive. There has been a great deal of debate regarding the exact location of the damage. What is not in dispute, however, is that the damage to Eric's brain is permanent, it will not get better and that it will effect every single aspect of his life now and until the day he dies.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Hypoxic ischaemic encephalopathy ("HIE"), refers to an acute incident during which a lack of oxygen and nutrients to the infant brain causes depressed neurological functioning. When Ms. Cojocaru's uterus ruptured, Eric was extruded into her abdomen causing a placental abruption. In essence, Eric's brain was starved of oxygen and nutrients for over 30 minutes. The impact was immediate, the effects permanent and the results devastating.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The damage to Eric's brain has caused a condition commonly referred to as hypotonic cerebral palsy. The term cerebral palsy simply refers to the myriad of motor and physical problems that relate to a brain injury. In Eric's case, his cerebral palsy is also characterized by floppy, low muscle tone or hypotonia. The damage has also significantly impaired Eric's ability to think, to learn and to develop social skills.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The medical experts who gave evidence on behalf of both the plaintiff and the defendants have identified that the areas of Eric's brain that sustained the most damage are in the subcortical region of the brain, namely, the basal ganglia, the brain stem, the hippocampus and the multicortex. These are the areas of the brain that control, amongst other things, gross and fine motor skills, speech, movement and memory. They also act as a relay station between various subcortical regions of the brain and the cerebral hemispheres, including the frontal lobe.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The most obvious damage to Eric's brain has been sustained in the areas outlined above. This conclusion is supported by the objective findings of the various experts who have assessed Eric, who have reviewed his radiological images and who have observed him at school and in his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Less obvious, but also important, is the damage that likely occurred to the cerebral hemispheres, as well as how damage to one part of the brain impacts upon other parts of the brain.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Dr. Hill, the paediatric neurologist who testified for the defendants, was asked in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Dr. Hill, if - - if Eric's deficits are limited to motor functioning deficits, you would expect him to react, would you not, to the cognitive challenges he faces in school in a similar manner as his peers do?</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don't remember ever saying that I thought that his problems were only motor. I said they were principally motor.</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you agree that Eric does have cognitive functioning difficulties?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what I said was that Eric had injury to his hypocampi and the - - the hippocampus, plurally hypocampi, are parts of the brain that are associated with memory and the laying down of memory. So I would imagine that would have some impact on his learning ability. Of course whenever you get injury to one part of the brain, it may well influence to a certain extent the function of other parts. Because most of these parts of the brain are interconnected.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Regarding damage to the cerebral hemispheres and the frontal lobes in particular, Dr. Hill explained that such damage does not necessarily show up on magnetic resonance imaging, despite the current state of their technological sophistication. Regarding damage to Eric's frontal lobes he simply said "maybe there is and maybe there isn't. I don't know and nobody knows".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Dealing first with Dr. Hill's assertion that all parts of the brain are interconnected, Dr. Hahn's evidence was very instructive. Dr. Hahn has assessed, treated and managed the care of more children suffering from cerebral palsy than any other expert who testified in this case. He has dealt with thousands of such children over the past 33 years. According to Dr. Hahn: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what sets us apart and enables these higher-order functions is the sophisticated development, particularly of our frontal lobes and how they interconnect, very, very dependently, really, with all the parts of the brain really except perhaps the brain stem. So there is a very active interplay between the old brain (ie. </w:t>
      </w:r>
      <w:r>
        <w:rPr>
          <w:rFonts w:ascii="arial" w:eastAsia="arial" w:hAnsi="arial" w:cs="arial"/>
          <w:i/>
          <w:color w:val="000000"/>
          <w:sz w:val="20"/>
          <w:lang w:val="en-US" w:eastAsia="en-US" w:bidi="ar-SA"/>
        </w:rPr>
        <w:t>subcortical region</w:t>
      </w:r>
      <w:r>
        <w:rPr>
          <w:rFonts w:ascii="arial" w:eastAsia="arial" w:hAnsi="arial" w:cs="arial"/>
          <w:color w:val="000000"/>
          <w:sz w:val="20"/>
          <w:lang w:val="en-US" w:eastAsia="en-US" w:bidi="ar-SA"/>
        </w:rPr>
        <w:t>) and the new brain (ie. cerebral hemisphere).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Then during cross-examination 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also know that to achieve full language function and full intelligence, a child needs to be absolutely efficiently connected between the cerebellum, for example, the central grey tissue, and the cerebral hemispheres, particularly the part of the cerebral hemisphere that is most involved in language function. And that is most involved in language function. And this is where, as we discussed already, his primary deficit in terms of brain structure exists as a result of this deprivation of oxygen glucose. So even if he did not have what I suspect he has, a partial loss of tissue mass through the cerebral hemispheres, I know that he will not have efficient connection just by virtue of his pattern of pathology.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There were attempts in cross-examination to move Dr. Hahn off this position by trying to reinforce the defence view that Eric's most obvious disabilities are limited to damage in the subcortical regions of the brain. Again Dr. Hahn explained that these obvious disabilities, fine and gross motor function, speech and so on are linked to the damage in the subcortical region but went further and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But I'd like to add to that that the central brain is really a relay station through which all ascending and descending pathways go and sign up. So there is no brain function that doesn't involve the central brain.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In addition to the interplay between the subcortical regions of the brain and the cerebral hemispheres (i.e. frontal lobe), there is also a high likelihood that there has been direct damage to the cerebral hemispheres caused by the HIE.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According to the defendants' expert, Dr. Hill, as already stated above, "maybe there is and maybe there isn't". He simply could not say one way or the other. Dr. Hahn, however, is more definitive in his views. Dr. Hahn testified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abrupt onset of oxygen deprivation and lack of autoregulation caused a great loss of central grey tissue functioning, but fortunately there was preservation of at least a considerable part of the cerebral hemispheres.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But I also believe that there will have been a bit of a diffuse component affecting the cerebellum brain stem and cerebral hemispheres.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He went on to say: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One has to look at the whole child here, and particularly one wants to pay attention to the overall gross of the brain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to be among one hundred children within the lower five in terms of overall head circumferences is a clinical marker that one pays attention to that suggests that the cerebral hemispheres may not be progressing in their trajectory in accumulate possessing a brain mass toward adult maturation at the rate that they should.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So that's another cautionary flag for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Later again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Because I do suspect that he will have had a mild tissue deficit in the development of the cerebral hemispheres based on his prolonged oxygen deprivation.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I accept the clear and uncontradicted evidence, in terms of Eric's current behaviour and test results, that support the following medical findings:</w:t>
      </w:r>
      <w:r>
        <w:rPr>
          <w:rFonts w:ascii="arial" w:eastAsia="arial" w:hAnsi="arial" w:cs="arial"/>
          <w:sz w:val="20"/>
          <w:lang w:val="en-US" w:eastAsia="en-US" w:bidi="ar-SA"/>
        </w:rPr>
        <w:cr/>
      </w:r>
    </w:p>
    <w:p>
      <w:pPr>
        <w:numPr>
          <w:numId w:val="5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has been significant damage to the subcortical regions of Eric's brain;</w:t>
      </w:r>
    </w:p>
    <w:p>
      <w:pPr>
        <w:numPr>
          <w:numId w:val="5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has been direct damage to Eric's cerebral hemispheres; and</w:t>
      </w:r>
    </w:p>
    <w:p>
      <w:pPr>
        <w:numPr>
          <w:numId w:val="5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damage to the subcortical regions of Eric's brain have had a profound impact upon the functionality of Eric's cerebral hemispheres (i.e. effect of interconnectivity).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There are a number of significant impacts this brain damage has had upon Eric's life, and will have on his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At six years of age, Eric struggles with simple tasks. He was shown to hit himself out of frustration because he cannot put his own socks. Eric has to be fed foods like an infant. He has to be cleaned after attempts at feeding himself, and generally after eating. This is no doubt particularly frustrating at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Eric does not walk or talk or do anything else remotely like his peers. He is a severely disabled young boy.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Adolescence is a time when "fitting in" and making meaningful friendships means a great deal. It is a time of more complex learning or abstract thinking. Adulthood is a time likely for partnerships, careers, work that is meaningful and satisfying, the comfort and security of his own home, and possibly a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Because of his brain injury, the reality of Eric's life will be radically different from the "normal" life outlined and the life that most take for granted.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Eric Cojocaru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As already stated, the effects of Eric's injury are permanent and their impact will be devastating. His disabilities will affect every single interaction Eric has with the world.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Spehar (Guardian ad litem of) v. Beazley</w:t>
      </w:r>
      <w:r>
        <w:rPr>
          <w:rFonts w:ascii="arial" w:eastAsia="arial" w:hAnsi="arial" w:cs="arial"/>
          <w:color w:val="000000"/>
          <w:sz w:val="20"/>
          <w:lang w:val="en-US" w:eastAsia="en-US" w:bidi="ar-SA"/>
        </w:rPr>
        <w:t xml:space="preserve">, </w:t>
      </w:r>
      <w:hyperlink r:id="rId114" w:history="1">
        <w:r>
          <w:rPr>
            <w:rFonts w:ascii="arial" w:eastAsia="arial" w:hAnsi="arial" w:cs="arial"/>
            <w:i/>
            <w:color w:val="0077CC"/>
            <w:sz w:val="20"/>
            <w:u w:val="single"/>
            <w:shd w:val="clear" w:color="auto" w:fill="FFFFFF"/>
            <w:lang w:val="en-US" w:eastAsia="en-US" w:bidi="ar-SA"/>
          </w:rPr>
          <w:t>2002 BCSC 1104</w:t>
        </w:r>
      </w:hyperlink>
      <w:r>
        <w:rPr>
          <w:rFonts w:ascii="arial" w:eastAsia="arial" w:hAnsi="arial" w:cs="arial"/>
          <w:color w:val="000000"/>
          <w:sz w:val="20"/>
          <w:lang w:val="en-US" w:eastAsia="en-US" w:bidi="ar-SA"/>
        </w:rPr>
        <w:t xml:space="preserve">, aff'd </w:t>
      </w:r>
      <w:hyperlink r:id="rId298" w:history="1">
        <w:r>
          <w:rPr>
            <w:rFonts w:ascii="arial" w:eastAsia="arial" w:hAnsi="arial" w:cs="arial"/>
            <w:i/>
            <w:color w:val="0077CC"/>
            <w:sz w:val="20"/>
            <w:u w:val="single"/>
            <w:shd w:val="clear" w:color="auto" w:fill="FFFFFF"/>
            <w:lang w:val="en-US" w:eastAsia="en-US" w:bidi="ar-SA"/>
          </w:rPr>
          <w:t>2004 BCCA 290</w:t>
        </w:r>
      </w:hyperlink>
      <w:r>
        <w:rPr>
          <w:rFonts w:ascii="arial" w:eastAsia="arial" w:hAnsi="arial" w:cs="arial"/>
          <w:color w:val="000000"/>
          <w:sz w:val="20"/>
          <w:lang w:val="en-US" w:eastAsia="en-US" w:bidi="ar-SA"/>
        </w:rPr>
        <w:t xml:space="preserve">, </w:t>
      </w:r>
      <w:hyperlink r:id="rId298" w:history="1">
        <w:r>
          <w:rPr>
            <w:rFonts w:ascii="arial" w:eastAsia="arial" w:hAnsi="arial" w:cs="arial"/>
            <w:i/>
            <w:color w:val="0077CC"/>
            <w:sz w:val="20"/>
            <w:u w:val="single"/>
            <w:shd w:val="clear" w:color="auto" w:fill="FFFFFF"/>
            <w:lang w:val="en-US" w:eastAsia="en-US" w:bidi="ar-SA"/>
          </w:rPr>
          <w:t>31 B.C.L.R. (4th) 223</w:t>
        </w:r>
      </w:hyperlink>
      <w:r>
        <w:rPr>
          <w:rFonts w:ascii="arial" w:eastAsia="arial" w:hAnsi="arial" w:cs="arial"/>
          <w:color w:val="000000"/>
          <w:sz w:val="20"/>
          <w:lang w:val="en-US" w:eastAsia="en-US" w:bidi="ar-SA"/>
        </w:rPr>
        <w:t>, the trial judge awarded the maximum non-pecuniary damages, as set by the "trilogy". In that case, the plaintiff had sustained a brain injury but did not sustain any significant physical injuries. In affirming the trial judge's award, the British Columbia Court of Appeal said at paras. 14-15:</w:t>
      </w:r>
      <w:r>
        <w:rPr>
          <w:rFonts w:ascii="arial" w:eastAsia="arial" w:hAnsi="arial" w:cs="arial"/>
          <w:sz w:val="20"/>
          <w:lang w:val="en-US" w:eastAsia="en-US" w:bidi="ar-SA"/>
        </w:rPr>
        <w:cr/>
      </w:r>
    </w:p>
    <w:p>
      <w:pPr>
        <w:numPr>
          <w:numId w:val="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trial judge took no time thereafter in adopting the submissions made on behalf of Ms. Spehar that her injuries 'should attract the upper limit of non-pecuniary damages' of $280,000. The trial judge referred to </w:t>
      </w:r>
      <w:r>
        <w:rPr>
          <w:rFonts w:ascii="arial" w:eastAsia="arial" w:hAnsi="arial" w:cs="arial"/>
          <w:b/>
          <w:i/>
          <w:color w:val="000000"/>
          <w:sz w:val="20"/>
          <w:lang w:val="en-US" w:eastAsia="en-US" w:bidi="ar-SA"/>
        </w:rPr>
        <w:t>Lindal v. Lindal (No. 2)</w:t>
      </w:r>
      <w:r>
        <w:rPr>
          <w:rFonts w:ascii="arial" w:eastAsia="arial" w:hAnsi="arial" w:cs="arial"/>
          <w:color w:val="000000"/>
          <w:sz w:val="20"/>
          <w:lang w:val="en-US" w:eastAsia="en-US" w:bidi="ar-SA"/>
        </w:rPr>
        <w:t xml:space="preserve">, </w:t>
      </w:r>
      <w:hyperlink r:id="rId130" w:history="1">
        <w:r>
          <w:rPr>
            <w:rFonts w:ascii="arial" w:eastAsia="arial" w:hAnsi="arial" w:cs="arial"/>
            <w:i/>
            <w:color w:val="0077CC"/>
            <w:sz w:val="20"/>
            <w:u w:val="single"/>
            <w:shd w:val="clear" w:color="auto" w:fill="FFFFFF"/>
            <w:lang w:val="en-US" w:eastAsia="en-US" w:bidi="ar-SA"/>
          </w:rPr>
          <w:t>[1981] 2 S.C.R. 629</w:t>
        </w:r>
      </w:hyperlink>
      <w:r>
        <w:rPr>
          <w:rFonts w:ascii="arial" w:eastAsia="arial" w:hAnsi="arial" w:cs="arial"/>
          <w:color w:val="000000"/>
          <w:sz w:val="20"/>
          <w:lang w:val="en-US" w:eastAsia="en-US" w:bidi="ar-SA"/>
        </w:rPr>
        <w:t xml:space="preserve">, </w:t>
      </w:r>
      <w:hyperlink r:id="rId130" w:history="1">
        <w:r>
          <w:rPr>
            <w:rFonts w:ascii="arial" w:eastAsia="arial" w:hAnsi="arial" w:cs="arial"/>
            <w:i/>
            <w:color w:val="0077CC"/>
            <w:sz w:val="20"/>
            <w:u w:val="single"/>
            <w:shd w:val="clear" w:color="auto" w:fill="FFFFFF"/>
            <w:lang w:val="en-US" w:eastAsia="en-US" w:bidi="ar-SA"/>
          </w:rPr>
          <w:t>129 D.L.R. (3d) 263</w:t>
        </w:r>
      </w:hyperlink>
      <w:r>
        <w:rPr>
          <w:rFonts w:ascii="arial" w:eastAsia="arial" w:hAnsi="arial" w:cs="arial"/>
          <w:color w:val="000000"/>
          <w:sz w:val="20"/>
          <w:lang w:val="en-US" w:eastAsia="en-US" w:bidi="ar-SA"/>
        </w:rPr>
        <w:t xml:space="preserve">, </w:t>
      </w:r>
      <w:hyperlink r:id="rId130" w:history="1">
        <w:r>
          <w:rPr>
            <w:rFonts w:ascii="arial" w:eastAsia="arial" w:hAnsi="arial" w:cs="arial"/>
            <w:i/>
            <w:color w:val="0077CC"/>
            <w:sz w:val="20"/>
            <w:u w:val="single"/>
            <w:shd w:val="clear" w:color="auto" w:fill="FFFFFF"/>
            <w:lang w:val="en-US" w:eastAsia="en-US" w:bidi="ar-SA"/>
          </w:rPr>
          <w:t>34 B.C.L.R. 273</w:t>
        </w:r>
      </w:hyperlink>
      <w:r>
        <w:rPr>
          <w:rFonts w:ascii="arial" w:eastAsia="arial" w:hAnsi="arial" w:cs="arial"/>
          <w:color w:val="000000"/>
          <w:sz w:val="20"/>
          <w:lang w:val="en-US" w:eastAsia="en-US" w:bidi="ar-SA"/>
        </w:rPr>
        <w:t xml:space="preserve"> wherein the court, in refining the reasoning in the 'trilogy' (</w:t>
      </w:r>
      <w:r>
        <w:rPr>
          <w:rFonts w:ascii="arial" w:eastAsia="arial" w:hAnsi="arial" w:cs="arial"/>
          <w:b/>
          <w:i/>
          <w:color w:val="000000"/>
          <w:sz w:val="20"/>
          <w:lang w:val="en-US" w:eastAsia="en-US" w:bidi="ar-SA"/>
        </w:rPr>
        <w:t>Andrews v. Grand &amp; Toy Alberta Ltd.</w:t>
      </w:r>
      <w:r>
        <w:rPr>
          <w:rFonts w:ascii="arial" w:eastAsia="arial" w:hAnsi="arial" w:cs="arial"/>
          <w:color w:val="000000"/>
          <w:sz w:val="20"/>
          <w:lang w:val="en-US" w:eastAsia="en-US" w:bidi="ar-SA"/>
        </w:rPr>
        <w:t xml:space="preserve">, </w:t>
      </w:r>
      <w:hyperlink r:id="rId181"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Thornton v. School District 57 (Prince George)</w:t>
      </w:r>
      <w:r>
        <w:rPr>
          <w:rFonts w:ascii="arial" w:eastAsia="arial" w:hAnsi="arial" w:cs="arial"/>
          <w:color w:val="000000"/>
          <w:sz w:val="20"/>
          <w:lang w:val="en-US" w:eastAsia="en-US" w:bidi="ar-SA"/>
        </w:rPr>
        <w:t xml:space="preserve">, </w:t>
      </w:r>
      <w:hyperlink r:id="rId299" w:history="1">
        <w:r>
          <w:rPr>
            <w:rFonts w:ascii="arial" w:eastAsia="arial" w:hAnsi="arial" w:cs="arial"/>
            <w:i/>
            <w:color w:val="0077CC"/>
            <w:sz w:val="20"/>
            <w:u w:val="single"/>
            <w:shd w:val="clear" w:color="auto" w:fill="FFFFFF"/>
            <w:lang w:val="en-US" w:eastAsia="en-US" w:bidi="ar-SA"/>
          </w:rPr>
          <w:t>[1978] 2 S.C.R. 267</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Arnold v. Teno</w:t>
      </w:r>
      <w:r>
        <w:rPr>
          <w:rFonts w:ascii="arial" w:eastAsia="arial" w:hAnsi="arial" w:cs="arial"/>
          <w:color w:val="000000"/>
          <w:sz w:val="20"/>
          <w:lang w:val="en-US" w:eastAsia="en-US" w:bidi="ar-SA"/>
        </w:rPr>
        <w:t xml:space="preserve">, </w:t>
      </w:r>
      <w:hyperlink r:id="rId300" w:history="1">
        <w:r>
          <w:rPr>
            <w:rFonts w:ascii="arial" w:eastAsia="arial" w:hAnsi="arial" w:cs="arial"/>
            <w:i/>
            <w:color w:val="0077CC"/>
            <w:sz w:val="20"/>
            <w:u w:val="single"/>
            <w:shd w:val="clear" w:color="auto" w:fill="FFFFFF"/>
            <w:lang w:val="en-US" w:eastAsia="en-US" w:bidi="ar-SA"/>
          </w:rPr>
          <w:t>[1978] 2 S.C.R. 287</w:t>
        </w:r>
      </w:hyperlink>
      <w:r>
        <w:rPr>
          <w:rFonts w:ascii="arial" w:eastAsia="arial" w:hAnsi="arial" w:cs="arial"/>
          <w:color w:val="000000"/>
          <w:sz w:val="20"/>
          <w:lang w:val="en-US" w:eastAsia="en-US" w:bidi="ar-SA"/>
        </w:rPr>
        <w:t xml:space="preserve">), noted that the injuries suffered by the plaintiffs in the trilogy were not identical, but each received an award of the upper limit. The trial judge also noted this Court's comments in </w:t>
      </w:r>
      <w:r>
        <w:rPr>
          <w:rFonts w:ascii="arial" w:eastAsia="arial" w:hAnsi="arial" w:cs="arial"/>
          <w:b/>
          <w:i/>
          <w:color w:val="000000"/>
          <w:sz w:val="20"/>
          <w:lang w:val="en-US" w:eastAsia="en-US" w:bidi="ar-SA"/>
        </w:rPr>
        <w:t>Blackstock v. Patterson</w:t>
      </w:r>
      <w:r>
        <w:rPr>
          <w:rFonts w:ascii="arial" w:eastAsia="arial" w:hAnsi="arial" w:cs="arial"/>
          <w:color w:val="000000"/>
          <w:sz w:val="20"/>
          <w:lang w:val="en-US" w:eastAsia="en-US" w:bidi="ar-SA"/>
        </w:rPr>
        <w:t xml:space="preserve"> </w:t>
      </w:r>
      <w:hyperlink r:id="rId301" w:history="1">
        <w:r>
          <w:rPr>
            <w:rFonts w:ascii="arial" w:eastAsia="arial" w:hAnsi="arial" w:cs="arial"/>
            <w:i/>
            <w:color w:val="0077CC"/>
            <w:sz w:val="20"/>
            <w:u w:val="single"/>
            <w:shd w:val="clear" w:color="auto" w:fill="FFFFFF"/>
            <w:lang w:val="en-US" w:eastAsia="en-US" w:bidi="ar-SA"/>
          </w:rPr>
          <w:t>(1982), 35 B.C.L.R. 231</w:t>
        </w:r>
      </w:hyperlink>
      <w:r>
        <w:rPr>
          <w:rFonts w:ascii="arial" w:eastAsia="arial" w:hAnsi="arial" w:cs="arial"/>
          <w:color w:val="000000"/>
          <w:sz w:val="20"/>
          <w:lang w:val="en-US" w:eastAsia="en-US" w:bidi="ar-SA"/>
        </w:rPr>
        <w:t xml:space="preserve"> (C.A.) at 237-38, </w:t>
      </w:r>
      <w:hyperlink r:id="rId301" w:history="1">
        <w:r>
          <w:rPr>
            <w:rFonts w:ascii="arial" w:eastAsia="arial" w:hAnsi="arial" w:cs="arial"/>
            <w:i/>
            <w:color w:val="0077CC"/>
            <w:sz w:val="20"/>
            <w:u w:val="single"/>
            <w:shd w:val="clear" w:color="auto" w:fill="FFFFFF"/>
            <w:lang w:val="en-US" w:eastAsia="en-US" w:bidi="ar-SA"/>
          </w:rPr>
          <w:t>[1982] 4 W.W.R. 519</w:t>
        </w:r>
      </w:hyperlink>
      <w:r>
        <w:rPr>
          <w:rFonts w:ascii="arial" w:eastAsia="arial" w:hAnsi="arial" w:cs="arial"/>
          <w:color w:val="000000"/>
          <w:sz w:val="20"/>
          <w:lang w:val="en-US" w:eastAsia="en-US" w:bidi="ar-SA"/>
        </w:rPr>
        <w:t xml:space="preserve"> (B.C.C.A.):</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Once it was determined that the plaintiffs suffered severe personal injuries, the court concluded as a matter of policy that the limit for non-pecuniary damages should be fixed at $100,000. This conclusion ... was based on the premise that in the case of all 'severely injured plaintiffs', in order to avoid extravagant claims, an upper limit of $100,000 should be imposed. It follows, that even if the respondent's injuries could be said to be different from or not quite as severe as those suffered by the plaintiff in the trilogy cases, her injuries were found by the trial judge to be 'devastating', and, therefore, fell within the $100,000 category fixed in </w:t>
      </w:r>
      <w:r>
        <w:rPr>
          <w:rFonts w:ascii="arial" w:eastAsia="arial" w:hAnsi="arial" w:cs="arial"/>
          <w:b/>
          <w:i/>
          <w:color w:val="000000"/>
          <w:sz w:val="20"/>
          <w:lang w:val="en-US" w:eastAsia="en-US" w:bidi="ar-SA"/>
        </w:rPr>
        <w:t>Lindal</w:t>
      </w:r>
      <w:r>
        <w:rPr>
          <w:rFonts w:ascii="arial" w:eastAsia="arial" w:hAnsi="arial" w:cs="arial"/>
          <w:color w:val="000000"/>
          <w:sz w:val="20"/>
          <w:lang w:val="en-US" w:eastAsia="en-US" w:bidi="ar-SA"/>
        </w:rPr>
        <w:t xml:space="preserve"> and the trilogy cases.</w:t>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case at bar, the appellants draw a distinction between the injuries suffered by Ms. Spehar and the injuries suffered by the plaintiffs in the trilogy. They also cite cases in this jurisdiction wherein trial judges have awarded less than the judicial cap for extremely serious injuries. On the former, I point to the above quotation from </w:t>
      </w:r>
      <w:r>
        <w:rPr>
          <w:rFonts w:ascii="arial" w:eastAsia="arial" w:hAnsi="arial" w:cs="arial"/>
          <w:b/>
          <w:i/>
          <w:color w:val="000000"/>
          <w:sz w:val="20"/>
          <w:lang w:val="en-US" w:eastAsia="en-US" w:bidi="ar-SA"/>
        </w:rPr>
        <w:t>Blackstock</w:t>
      </w:r>
      <w:r>
        <w:rPr>
          <w:rFonts w:ascii="arial" w:eastAsia="arial" w:hAnsi="arial" w:cs="arial"/>
          <w:color w:val="000000"/>
          <w:sz w:val="20"/>
          <w:lang w:val="en-US" w:eastAsia="en-US" w:bidi="ar-SA"/>
        </w:rPr>
        <w:t xml:space="preserve"> as an answer. On the latter, lesser awards in other cases do not dilute the principle enunciated in </w:t>
      </w:r>
      <w:r>
        <w:rPr>
          <w:rFonts w:ascii="arial" w:eastAsia="arial" w:hAnsi="arial" w:cs="arial"/>
          <w:b/>
          <w:i/>
          <w:color w:val="000000"/>
          <w:sz w:val="20"/>
          <w:lang w:val="en-US" w:eastAsia="en-US" w:bidi="ar-SA"/>
        </w:rPr>
        <w:t>Blackstock</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Audet (Guardian ad litem of) v. Bates</w:t>
      </w:r>
      <w:r>
        <w:rPr>
          <w:rFonts w:ascii="arial" w:eastAsia="arial" w:hAnsi="arial" w:cs="arial"/>
          <w:color w:val="000000"/>
          <w:sz w:val="20"/>
          <w:lang w:val="en-US" w:eastAsia="en-US" w:bidi="ar-SA"/>
        </w:rPr>
        <w:t xml:space="preserve">, </w:t>
      </w:r>
      <w:hyperlink r:id="rId302" w:history="1">
        <w:r>
          <w:rPr>
            <w:rFonts w:ascii="arial" w:eastAsia="arial" w:hAnsi="arial" w:cs="arial"/>
            <w:i/>
            <w:color w:val="0077CC"/>
            <w:sz w:val="20"/>
            <w:u w:val="single"/>
            <w:shd w:val="clear" w:color="auto" w:fill="FFFFFF"/>
            <w:lang w:val="en-US" w:eastAsia="en-US" w:bidi="ar-SA"/>
          </w:rPr>
          <w:t>[1998] B.C.J. No. 678</w:t>
        </w:r>
      </w:hyperlink>
      <w:r>
        <w:rPr>
          <w:rFonts w:ascii="arial" w:eastAsia="arial" w:hAnsi="arial" w:cs="arial"/>
          <w:color w:val="000000"/>
          <w:sz w:val="20"/>
          <w:lang w:val="en-US" w:eastAsia="en-US" w:bidi="ar-SA"/>
        </w:rPr>
        <w:t xml:space="preserve"> (S.C.), the parties agreed on the maximum amount of $260,000 for non-pecuniary damages for a five year old child with cerebral palsy. In that case, at para. 69, the infant plaintiff was described as a "sociable child with above average intelligence", but in recognizing that she would never overcome her physical disabilities and that she would always "be both aware and reminded of them", the court agreed that she should be compensated to the maximum for the loss of amenities of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In her evidence, Ms. Cojocaru described the humiliation Eric feels in trying to be independent with his toileting. He was only out of diapers at around three years and three months. Now he is able to go to the toilet alone but he does not have good balance so tends to make a mess. He will pull up his pants on his own but they will often have to be adjusted.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Eric's kindergarten teacher, Kate Wejr, described how she "kept an eye on him" when he went to the toilet and how she would often help him to re-arrange his clothing when he returned. His special needs support worker, Nova Erickson, described the difficulties Eric has with eating and how she will try to delay cleaning him up until after the other children have left the lunch room, so as not to humiliate him in front of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Mr. Hilliard, the physiotherapist assigned to Eric through his Independent Education Program spoke of his experiences of watching Eric eat, how long it took Eric to eat and the mess he made. Even with what should be easy food for a child to handle, a slice of pizza, Eric cannot eat without making a mess of himself.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251</w:t>
      </w:r>
      <w:r>
        <w:rPr>
          <w:rFonts w:ascii="arial" w:eastAsia="arial" w:hAnsi="arial" w:cs="arial"/>
          <w:color w:val="000000"/>
          <w:sz w:val="20"/>
          <w:lang w:val="en-US" w:eastAsia="en-US" w:bidi="ar-SA"/>
        </w:rPr>
        <w:t>  A DVD of Eric undertaking a number of activities was shown to the court. Eric's frustration became evident as he tried and failed to put on his socks, and then later his shoes. This small task requires enormous energy and concentration. The evidence suggests that it often results in failure and exhaustion.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252</w:t>
      </w:r>
      <w:r>
        <w:rPr>
          <w:rFonts w:ascii="arial" w:eastAsia="arial" w:hAnsi="arial" w:cs="arial"/>
          <w:color w:val="000000"/>
          <w:sz w:val="20"/>
          <w:lang w:val="en-US" w:eastAsia="en-US" w:bidi="ar-SA"/>
        </w:rPr>
        <w:t>  The evidence from Eric's mother and from his teachers suggests Eric strives to be independent, wants to do things for himself and wants to be included in the games and activities of his classmates. His special needs support worker Ms. Erickson said Eric was a "sweet-natured and likeable child", but that Eric's lack of impulse control and inappropriate behaviour annoys the other children. She warned that things would get worse as the group gets older, for, as she put it, "children become less and less forgiving".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253</w:t>
      </w:r>
      <w:r>
        <w:rPr>
          <w:rFonts w:ascii="arial" w:eastAsia="arial" w:hAnsi="arial" w:cs="arial"/>
          <w:color w:val="000000"/>
          <w:sz w:val="20"/>
          <w:lang w:val="en-US" w:eastAsia="en-US" w:bidi="ar-SA"/>
        </w:rPr>
        <w:t>  Dr. Hahn, Dr. Kaushansky, Dr. Hill and Dr. Joschko all agree that as he grows older, the gap between Eric and his peers will widen. In his evidence, Dr. Hahn emphasized the lack of "learning challenges" that are contained within the kindergarten curriculum and spoke of the much greater challenges that Eric will face as numbers and letters become a more significant component of his school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254</w:t>
      </w:r>
      <w:r>
        <w:rPr>
          <w:rFonts w:ascii="arial" w:eastAsia="arial" w:hAnsi="arial" w:cs="arial"/>
          <w:color w:val="000000"/>
          <w:sz w:val="20"/>
          <w:lang w:val="en-US" w:eastAsia="en-US" w:bidi="ar-SA"/>
        </w:rPr>
        <w:t>  After two years of patient and dedicated coaching, Eric still cannot write his own name or even remember the four letters that are in it. He cannot keep up with his peers, he cannot play with them, he cannot effectively communicate with them, and he will never be like them. Eric will always be the child on the edge of the playground, the teenager who is shunned, or the adult who is ignored.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255</w:t>
      </w:r>
      <w:r>
        <w:rPr>
          <w:rFonts w:ascii="arial" w:eastAsia="arial" w:hAnsi="arial" w:cs="arial"/>
          <w:color w:val="000000"/>
          <w:sz w:val="20"/>
          <w:lang w:val="en-US" w:eastAsia="en-US" w:bidi="ar-SA"/>
        </w:rPr>
        <w:t>  Eric's brain injury is devastating. In many ways, the intellectual functioning he has retained (according to Dr. Kaushansky and Dr. Joschko) renders his pain and suffering all the more acute. Unlike those who have little or no cognitive awareness of their predicament, Eric is only too aware, even at six, of his differences. He will experience the humiliation of rejection and the misery of his situation every day of his life and in every aspect of his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256</w:t>
      </w:r>
      <w:r>
        <w:rPr>
          <w:rFonts w:ascii="arial" w:eastAsia="arial" w:hAnsi="arial" w:cs="arial"/>
          <w:color w:val="000000"/>
          <w:sz w:val="20"/>
          <w:lang w:val="en-US" w:eastAsia="en-US" w:bidi="ar-SA"/>
        </w:rPr>
        <w:t>  Eric has sustained a severe and permanent injury. The British Columbia Court of Appeal has made it clear that the upper limit of non-pecuniary damages is appropriate in any case in which the plaintiff has sustained "devastating" injuries. There is no basis for drawing fine distinctions between different types of severe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257</w:t>
      </w:r>
      <w:r>
        <w:rPr>
          <w:rFonts w:ascii="arial" w:eastAsia="arial" w:hAnsi="arial" w:cs="arial"/>
          <w:color w:val="000000"/>
          <w:sz w:val="20"/>
          <w:lang w:val="en-US" w:eastAsia="en-US" w:bidi="ar-SA"/>
        </w:rPr>
        <w:t>  I have concluded that the plaintiff Eric Cojocaru should be awarded non-pecuniary damages in the amount of $321,000, which is the current value of the upper limit, adjusted for inflation.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Monica Cojocaru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258</w:t>
      </w:r>
      <w:r>
        <w:rPr>
          <w:rFonts w:ascii="arial" w:eastAsia="arial" w:hAnsi="arial" w:cs="arial"/>
          <w:color w:val="000000"/>
          <w:sz w:val="20"/>
          <w:lang w:val="en-US" w:eastAsia="en-US" w:bidi="ar-SA"/>
        </w:rPr>
        <w:t>  Ms. Cojocaru has also undergone significant pain and suffering as a result of the defendants' tortious conduct. She too is entitled to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259</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Cherry (Guardian ad litem of) v. Borsman</w:t>
      </w:r>
      <w:r>
        <w:rPr>
          <w:rFonts w:ascii="arial" w:eastAsia="arial" w:hAnsi="arial" w:cs="arial"/>
          <w:color w:val="000000"/>
          <w:sz w:val="20"/>
          <w:lang w:val="en-US" w:eastAsia="en-US" w:bidi="ar-SA"/>
        </w:rPr>
        <w:t xml:space="preserve"> </w:t>
      </w:r>
      <w:hyperlink r:id="rId303" w:history="1">
        <w:r>
          <w:rPr>
            <w:rFonts w:ascii="arial" w:eastAsia="arial" w:hAnsi="arial" w:cs="arial"/>
            <w:i/>
            <w:color w:val="0077CC"/>
            <w:sz w:val="20"/>
            <w:u w:val="single"/>
            <w:shd w:val="clear" w:color="auto" w:fill="FFFFFF"/>
            <w:lang w:val="en-US" w:eastAsia="en-US" w:bidi="ar-SA"/>
          </w:rPr>
          <w:t>(1992), 70 B.C.L.R. (2d) 273</w:t>
        </w:r>
      </w:hyperlink>
      <w:r>
        <w:rPr>
          <w:rFonts w:ascii="arial" w:eastAsia="arial" w:hAnsi="arial" w:cs="arial"/>
          <w:color w:val="000000"/>
          <w:sz w:val="20"/>
          <w:lang w:val="en-US" w:eastAsia="en-US" w:bidi="ar-SA"/>
        </w:rPr>
        <w:t xml:space="preserve">, </w:t>
      </w:r>
      <w:hyperlink r:id="rId303" w:history="1">
        <w:r>
          <w:rPr>
            <w:rFonts w:ascii="arial" w:eastAsia="arial" w:hAnsi="arial" w:cs="arial"/>
            <w:i/>
            <w:color w:val="0077CC"/>
            <w:sz w:val="20"/>
            <w:u w:val="single"/>
            <w:shd w:val="clear" w:color="auto" w:fill="FFFFFF"/>
            <w:lang w:val="en-US" w:eastAsia="en-US" w:bidi="ar-SA"/>
          </w:rPr>
          <w:t>94 D.L.R. (4th) 487</w:t>
        </w:r>
      </w:hyperlink>
      <w:r>
        <w:rPr>
          <w:rFonts w:ascii="arial" w:eastAsia="arial" w:hAnsi="arial" w:cs="arial"/>
          <w:color w:val="000000"/>
          <w:sz w:val="20"/>
          <w:lang w:val="en-US" w:eastAsia="en-US" w:bidi="ar-SA"/>
        </w:rPr>
        <w:t xml:space="preserve"> (C.A.), an obstetrician was sued for conduct that led to a failed abortion and ultimately the birth of a severely handicapped child. At trial, the adult plaintiff, the mother, was awarded $75,000 for non-pecuniary damages. This award was upheld by the Court of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260</w:t>
      </w:r>
      <w:r>
        <w:rPr>
          <w:rFonts w:ascii="arial" w:eastAsia="arial" w:hAnsi="arial" w:cs="arial"/>
          <w:color w:val="000000"/>
          <w:sz w:val="20"/>
          <w:lang w:val="en-US" w:eastAsia="en-US" w:bidi="ar-SA"/>
        </w:rPr>
        <w:t>  Ms. Cojocaru had to suffer throughout a painful process and the aftermath of same which she should never had to have gone through. She suffered considerably.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261</w:t>
      </w:r>
      <w:r>
        <w:rPr>
          <w:rFonts w:ascii="arial" w:eastAsia="arial" w:hAnsi="arial" w:cs="arial"/>
          <w:color w:val="000000"/>
          <w:sz w:val="20"/>
          <w:lang w:val="en-US" w:eastAsia="en-US" w:bidi="ar-SA"/>
        </w:rPr>
        <w:t>  In the circumstances, Ms. Cojocaru is entitled to non-pecuniary damages of $40,000.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Future Income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262</w:t>
      </w:r>
      <w:r>
        <w:rPr>
          <w:rFonts w:ascii="arial" w:eastAsia="arial" w:hAnsi="arial" w:cs="arial"/>
          <w:color w:val="000000"/>
          <w:sz w:val="20"/>
          <w:lang w:val="en-US" w:eastAsia="en-US" w:bidi="ar-SA"/>
        </w:rPr>
        <w:t>  The plaintiff claims damages for future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263</w:t>
      </w:r>
      <w:r>
        <w:rPr>
          <w:rFonts w:ascii="arial" w:eastAsia="arial" w:hAnsi="arial" w:cs="arial"/>
          <w:color w:val="000000"/>
          <w:sz w:val="20"/>
          <w:lang w:val="en-US" w:eastAsia="en-US" w:bidi="ar-SA"/>
        </w:rPr>
        <w:t xml:space="preserve">  As Eric was injured at birth, the court cannot assess his loss of income from an evaluation of past or present vocational or educational patterns or achievements. In the circumstances, it is appropriate to consider the levels of education of Eric's parents and the "achievement orientation" in the household: see </w:t>
      </w:r>
      <w:r>
        <w:rPr>
          <w:rFonts w:ascii="arial" w:eastAsia="arial" w:hAnsi="arial" w:cs="arial"/>
          <w:b/>
          <w:i/>
          <w:color w:val="000000"/>
          <w:sz w:val="20"/>
          <w:lang w:val="en-US" w:eastAsia="en-US" w:bidi="ar-SA"/>
        </w:rPr>
        <w:t>Cherry</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264</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Cherry</w:t>
      </w:r>
      <w:r>
        <w:rPr>
          <w:rFonts w:ascii="arial" w:eastAsia="arial" w:hAnsi="arial" w:cs="arial"/>
          <w:color w:val="000000"/>
          <w:sz w:val="20"/>
          <w:lang w:val="en-US" w:eastAsia="en-US" w:bidi="ar-SA"/>
        </w:rPr>
        <w:t xml:space="preserve"> at para. 153, the Court of Appeal approved the approach taken by the trial judge with respect to the factors to be taken into account when assessing future income loss, referring to the evidence that had been before that court, in the form of an expert report from the neuropsychologist: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determining the educational ability and potential of a child, one must assess a number of indices in and around the child's environment:</w:t>
      </w:r>
    </w:p>
    <w:p>
      <w:pPr>
        <w:numPr>
          <w:numId w:val="5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Parental education; level of attainment and presence of any educational problems within the parents' history;</w:t>
      </w:r>
    </w:p>
    <w:p>
      <w:pPr>
        <w:numPr>
          <w:numId w:val="5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Present vocational status of parents and stability of work habits;</w:t>
      </w:r>
    </w:p>
    <w:p>
      <w:pPr>
        <w:numPr>
          <w:numId w:val="5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Achievement orientation in the household;</w:t>
      </w:r>
    </w:p>
    <w:p>
      <w:pPr>
        <w:numPr>
          <w:numId w:val="5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Sibling (if any) achievement.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Given the parental background, it is my opinion that Beth could well have finished an academic program in high school. Additionally, I would suggest that she would have been a candidate for a two-year post-secondary technical program at a community college. Additionally, there is the possibility that Beth could have gone on to complete a four-year university course.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265</w:t>
      </w:r>
      <w:r>
        <w:rPr>
          <w:rFonts w:ascii="arial" w:eastAsia="arial" w:hAnsi="arial" w:cs="arial"/>
          <w:color w:val="000000"/>
          <w:sz w:val="20"/>
          <w:lang w:val="en-US" w:eastAsia="en-US" w:bidi="ar-SA"/>
        </w:rPr>
        <w:t xml:space="preserve">  The law respecting the assessment of damages for loss of future earning capacity was also referred to in the trial judge's reasons in </w:t>
      </w:r>
      <w:r>
        <w:rPr>
          <w:rFonts w:ascii="arial" w:eastAsia="arial" w:hAnsi="arial" w:cs="arial"/>
          <w:b/>
          <w:i/>
          <w:color w:val="000000"/>
          <w:sz w:val="20"/>
          <w:lang w:val="en-US" w:eastAsia="en-US" w:bidi="ar-SA"/>
        </w:rPr>
        <w:t>Spehar</w:t>
      </w:r>
      <w:r>
        <w:rPr>
          <w:rFonts w:ascii="arial" w:eastAsia="arial" w:hAnsi="arial" w:cs="arial"/>
          <w:color w:val="000000"/>
          <w:sz w:val="20"/>
          <w:lang w:val="en-US" w:eastAsia="en-US" w:bidi="ar-SA"/>
        </w:rPr>
        <w:t xml:space="preserve"> at para. 42: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law which is relevant to this assessment is succinctly summarized in </w:t>
      </w:r>
      <w:r>
        <w:rPr>
          <w:rFonts w:ascii="arial" w:eastAsia="arial" w:hAnsi="arial" w:cs="arial"/>
          <w:b/>
          <w:i/>
          <w:color w:val="000000"/>
          <w:sz w:val="20"/>
          <w:lang w:val="en-US" w:eastAsia="en-US" w:bidi="ar-SA"/>
        </w:rPr>
        <w:t>Gray v. Macklin</w:t>
      </w:r>
      <w:r>
        <w:rPr>
          <w:rFonts w:ascii="arial" w:eastAsia="arial" w:hAnsi="arial" w:cs="arial"/>
          <w:color w:val="000000"/>
          <w:sz w:val="20"/>
          <w:lang w:val="en-US" w:eastAsia="en-US" w:bidi="ar-SA"/>
        </w:rPr>
        <w:t xml:space="preserve">, </w:t>
      </w:r>
      <w:hyperlink r:id="rId304" w:history="1">
        <w:r>
          <w:rPr>
            <w:rFonts w:ascii="arial" w:eastAsia="arial" w:hAnsi="arial" w:cs="arial"/>
            <w:i/>
            <w:color w:val="0077CC"/>
            <w:sz w:val="20"/>
            <w:u w:val="single"/>
            <w:shd w:val="clear" w:color="auto" w:fill="FFFFFF"/>
            <w:lang w:val="en-US" w:eastAsia="en-US" w:bidi="ar-SA"/>
          </w:rPr>
          <w:t>[2000] O.J. No. 4603</w:t>
        </w:r>
      </w:hyperlink>
      <w:r>
        <w:rPr>
          <w:rFonts w:ascii="arial" w:eastAsia="arial" w:hAnsi="arial" w:cs="arial"/>
          <w:color w:val="000000"/>
          <w:sz w:val="20"/>
          <w:lang w:val="en-US" w:eastAsia="en-US" w:bidi="ar-SA"/>
        </w:rPr>
        <w:t xml:space="preserve"> (Sup. Ct.) at paras. 183-185:</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trilogy of cases, </w:t>
      </w:r>
      <w:r>
        <w:rPr>
          <w:rFonts w:ascii="arial" w:eastAsia="arial" w:hAnsi="arial" w:cs="arial"/>
          <w:b/>
          <w:i/>
          <w:color w:val="000000"/>
          <w:sz w:val="20"/>
          <w:lang w:val="en-US" w:eastAsia="en-US" w:bidi="ar-SA"/>
        </w:rPr>
        <w:t>Andrews v. Grand and Toy (Alberta) Ltd.</w:t>
      </w:r>
      <w:r>
        <w:rPr>
          <w:rFonts w:ascii="arial" w:eastAsia="arial" w:hAnsi="arial" w:cs="arial"/>
          <w:color w:val="000000"/>
          <w:sz w:val="20"/>
          <w:lang w:val="en-US" w:eastAsia="en-US" w:bidi="ar-SA"/>
        </w:rPr>
        <w:t xml:space="preserve">, </w:t>
      </w:r>
      <w:hyperlink r:id="rId181"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Thornton v. School District 57</w:t>
      </w:r>
      <w:r>
        <w:rPr>
          <w:rFonts w:ascii="arial" w:eastAsia="arial" w:hAnsi="arial" w:cs="arial"/>
          <w:color w:val="000000"/>
          <w:sz w:val="20"/>
          <w:lang w:val="en-US" w:eastAsia="en-US" w:bidi="ar-SA"/>
        </w:rPr>
        <w:t xml:space="preserve">, </w:t>
      </w:r>
      <w:hyperlink r:id="rId299" w:history="1">
        <w:r>
          <w:rPr>
            <w:rFonts w:ascii="arial" w:eastAsia="arial" w:hAnsi="arial" w:cs="arial"/>
            <w:i/>
            <w:color w:val="0077CC"/>
            <w:sz w:val="20"/>
            <w:u w:val="single"/>
            <w:shd w:val="clear" w:color="auto" w:fill="FFFFFF"/>
            <w:lang w:val="en-US" w:eastAsia="en-US" w:bidi="ar-SA"/>
          </w:rPr>
          <w:t>[1978] 2 S.C.R. 267</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Teno v. Arnold</w:t>
      </w:r>
      <w:r>
        <w:rPr>
          <w:rFonts w:ascii="arial" w:eastAsia="arial" w:hAnsi="arial" w:cs="arial"/>
          <w:color w:val="000000"/>
          <w:sz w:val="20"/>
          <w:lang w:val="en-US" w:eastAsia="en-US" w:bidi="ar-SA"/>
        </w:rPr>
        <w:t xml:space="preserve">, </w:t>
      </w:r>
      <w:hyperlink r:id="rId300" w:history="1">
        <w:r>
          <w:rPr>
            <w:rFonts w:ascii="arial" w:eastAsia="arial" w:hAnsi="arial" w:cs="arial"/>
            <w:i/>
            <w:color w:val="0077CC"/>
            <w:sz w:val="20"/>
            <w:u w:val="single"/>
            <w:shd w:val="clear" w:color="auto" w:fill="FFFFFF"/>
            <w:lang w:val="en-US" w:eastAsia="en-US" w:bidi="ar-SA"/>
          </w:rPr>
          <w:t>[1978] 2 S.C.R. 287</w:t>
        </w:r>
      </w:hyperlink>
      <w:r>
        <w:rPr>
          <w:rFonts w:ascii="arial" w:eastAsia="arial" w:hAnsi="arial" w:cs="arial"/>
          <w:color w:val="000000"/>
          <w:sz w:val="20"/>
          <w:lang w:val="en-US" w:eastAsia="en-US" w:bidi="ar-SA"/>
        </w:rPr>
        <w:t xml:space="preserve">, (and as refined and elaborated in </w:t>
      </w:r>
      <w:r>
        <w:rPr>
          <w:rFonts w:ascii="arial" w:eastAsia="arial" w:hAnsi="arial" w:cs="arial"/>
          <w:b/>
          <w:i/>
          <w:color w:val="000000"/>
          <w:sz w:val="20"/>
          <w:lang w:val="en-US" w:eastAsia="en-US" w:bidi="ar-SA"/>
        </w:rPr>
        <w:t>Lindal v. Lindal</w:t>
      </w:r>
      <w:r>
        <w:rPr>
          <w:rFonts w:ascii="arial" w:eastAsia="arial" w:hAnsi="arial" w:cs="arial"/>
          <w:color w:val="000000"/>
          <w:sz w:val="20"/>
          <w:lang w:val="en-US" w:eastAsia="en-US" w:bidi="ar-SA"/>
        </w:rPr>
        <w:t xml:space="preserve">, </w:t>
      </w:r>
      <w:hyperlink r:id="rId130" w:history="1">
        <w:r>
          <w:rPr>
            <w:rFonts w:ascii="arial" w:eastAsia="arial" w:hAnsi="arial" w:cs="arial"/>
            <w:i/>
            <w:color w:val="0077CC"/>
            <w:sz w:val="20"/>
            <w:u w:val="single"/>
            <w:shd w:val="clear" w:color="auto" w:fill="FFFFFF"/>
            <w:lang w:val="en-US" w:eastAsia="en-US" w:bidi="ar-SA"/>
          </w:rPr>
          <w:t>[1981] 2 S.C.R. 629</w:t>
        </w:r>
      </w:hyperlink>
      <w:r>
        <w:rPr>
          <w:rFonts w:ascii="arial" w:eastAsia="arial" w:hAnsi="arial" w:cs="arial"/>
          <w:color w:val="000000"/>
          <w:sz w:val="20"/>
          <w:lang w:val="en-US" w:eastAsia="en-US" w:bidi="ar-SA"/>
        </w:rPr>
        <w:t>), the general principles governing the assessment of damages are set forth.</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relation to loss of future earning capacity, the trilogy of cases directs a Court to apply the principle that an injured person is to be restored to the position he/she would have been in, had the accident not occurred, insofar as this can be done with money. The Supreme Court of Canada has also enunciated the principle, that in determining an award for lost future earning capacity, where the evidence permits, the Court should compare what the Plaintiff would have earned had he/she not been injured with what he/she will earn in his/her injured state. Further, where evidence is not available, then statistics as to average earnings, adjusted as necessary for the individual situation of the Plaintiff, may serve as the basis of the award for lost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266</w:t>
      </w:r>
      <w:r>
        <w:rPr>
          <w:rFonts w:ascii="arial" w:eastAsia="arial" w:hAnsi="arial" w:cs="arial"/>
          <w:color w:val="000000"/>
          <w:sz w:val="20"/>
          <w:lang w:val="en-US" w:eastAsia="en-US" w:bidi="ar-SA"/>
        </w:rPr>
        <w:t xml:space="preserve">  The relevant principles are also summarized in </w:t>
      </w:r>
      <w:r>
        <w:rPr>
          <w:rFonts w:ascii="arial" w:eastAsia="arial" w:hAnsi="arial" w:cs="arial"/>
          <w:b/>
          <w:i/>
          <w:color w:val="000000"/>
          <w:sz w:val="20"/>
          <w:lang w:val="en-US" w:eastAsia="en-US" w:bidi="ar-SA"/>
        </w:rPr>
        <w:t>Reilly v. Lynn</w:t>
      </w:r>
      <w:r>
        <w:rPr>
          <w:rFonts w:ascii="arial" w:eastAsia="arial" w:hAnsi="arial" w:cs="arial"/>
          <w:color w:val="000000"/>
          <w:sz w:val="20"/>
          <w:lang w:val="en-US" w:eastAsia="en-US" w:bidi="ar-SA"/>
        </w:rPr>
        <w:t xml:space="preserve">, </w:t>
      </w:r>
      <w:hyperlink r:id="rId305" w:history="1">
        <w:r>
          <w:rPr>
            <w:rFonts w:ascii="arial" w:eastAsia="arial" w:hAnsi="arial" w:cs="arial"/>
            <w:i/>
            <w:color w:val="0077CC"/>
            <w:sz w:val="20"/>
            <w:u w:val="single"/>
            <w:shd w:val="clear" w:color="auto" w:fill="FFFFFF"/>
            <w:lang w:val="en-US" w:eastAsia="en-US" w:bidi="ar-SA"/>
          </w:rPr>
          <w:t>2003 BCCA 49</w:t>
        </w:r>
      </w:hyperlink>
      <w:r>
        <w:rPr>
          <w:rFonts w:ascii="arial" w:eastAsia="arial" w:hAnsi="arial" w:cs="arial"/>
          <w:color w:val="000000"/>
          <w:sz w:val="20"/>
          <w:lang w:val="en-US" w:eastAsia="en-US" w:bidi="ar-SA"/>
        </w:rPr>
        <w:t xml:space="preserve">, </w:t>
      </w:r>
      <w:hyperlink r:id="rId305" w:history="1">
        <w:r>
          <w:rPr>
            <w:rFonts w:ascii="arial" w:eastAsia="arial" w:hAnsi="arial" w:cs="arial"/>
            <w:i/>
            <w:color w:val="0077CC"/>
            <w:sz w:val="20"/>
            <w:u w:val="single"/>
            <w:shd w:val="clear" w:color="auto" w:fill="FFFFFF"/>
            <w:lang w:val="en-US" w:eastAsia="en-US" w:bidi="ar-SA"/>
          </w:rPr>
          <w:t>10 B.C.L.R. (4th) 16</w:t>
        </w:r>
      </w:hyperlink>
      <w:r>
        <w:rPr>
          <w:rFonts w:ascii="arial" w:eastAsia="arial" w:hAnsi="arial" w:cs="arial"/>
          <w:color w:val="000000"/>
          <w:sz w:val="20"/>
          <w:lang w:val="en-US" w:eastAsia="en-US" w:bidi="ar-SA"/>
        </w:rPr>
        <w:t xml:space="preserve"> at paras. 100-101: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 award for loss of earning capacity presents particular difficulties. As Dickson J. (as he then was) said, in </w:t>
      </w:r>
      <w:r>
        <w:rPr>
          <w:rFonts w:ascii="arial" w:eastAsia="arial" w:hAnsi="arial" w:cs="arial"/>
          <w:b/>
          <w:i/>
          <w:color w:val="000000"/>
          <w:sz w:val="20"/>
          <w:lang w:val="en-US" w:eastAsia="en-US" w:bidi="ar-SA"/>
        </w:rPr>
        <w:t>Andrews v. Grand &amp; Toy Alberta Ltd.</w:t>
      </w:r>
      <w:r>
        <w:rPr>
          <w:rFonts w:ascii="arial" w:eastAsia="arial" w:hAnsi="arial" w:cs="arial"/>
          <w:color w:val="000000"/>
          <w:sz w:val="20"/>
          <w:lang w:val="en-US" w:eastAsia="en-US" w:bidi="ar-SA"/>
        </w:rPr>
        <w:t xml:space="preserve">, </w:t>
      </w:r>
      <w:hyperlink r:id="rId181"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xml:space="preserve"> at 251:</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We must now gaze more deeply into the crystal ball. What sort of a career would the accident victim have had? What were his prospects and potential prior to the accident? It is not loss of earnings but, rather, loss of earning capacity for which compensation must be made: </w:t>
      </w:r>
      <w:r>
        <w:rPr>
          <w:rFonts w:ascii="arial" w:eastAsia="arial" w:hAnsi="arial" w:cs="arial"/>
          <w:b/>
          <w:i/>
          <w:color w:val="000000"/>
          <w:sz w:val="20"/>
          <w:lang w:val="en-US" w:eastAsia="en-US" w:bidi="ar-SA"/>
        </w:rPr>
        <w:t>The Queen v. Jennings</w:t>
      </w:r>
      <w:r>
        <w:rPr>
          <w:rFonts w:ascii="arial" w:eastAsia="arial" w:hAnsi="arial" w:cs="arial"/>
          <w:color w:val="000000"/>
          <w:sz w:val="20"/>
          <w:lang w:val="en-US" w:eastAsia="en-US" w:bidi="ar-SA"/>
        </w:rPr>
        <w:t xml:space="preserve">, </w:t>
      </w:r>
      <w:hyperlink r:id="rId306" w:history="1">
        <w:r>
          <w:rPr>
            <w:rFonts w:ascii="arial" w:eastAsia="arial" w:hAnsi="arial" w:cs="arial"/>
            <w:i/>
            <w:color w:val="0077CC"/>
            <w:sz w:val="20"/>
            <w:u w:val="single"/>
            <w:shd w:val="clear" w:color="auto" w:fill="FFFFFF"/>
            <w:lang w:val="en-US" w:eastAsia="en-US" w:bidi="ar-SA"/>
          </w:rPr>
          <w:t>[1965] 2 O.R. 285</w:t>
        </w:r>
      </w:hyperlink>
      <w:r>
        <w:rPr>
          <w:rFonts w:ascii="arial" w:eastAsia="arial" w:hAnsi="arial" w:cs="arial"/>
          <w:color w:val="000000"/>
          <w:sz w:val="20"/>
          <w:lang w:val="en-US" w:eastAsia="en-US" w:bidi="ar-SA"/>
        </w:rPr>
        <w:t>. A capital asset has been lost: what was its value?</w:t>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relevant principles may be briefly summarized. The standard of proof in relation to future events is simple probability, not the balance of probabilities, and hypothetical events are to be given weight according to their relative likelihood: </w:t>
      </w:r>
      <w:r>
        <w:rPr>
          <w:rFonts w:ascii="arial" w:eastAsia="arial" w:hAnsi="arial" w:cs="arial"/>
          <w:b/>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3"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 27. A plaintiff is entitled to compensation for real and substantial possibilities of loss, which are to be quantified by estimating the chance of the loss occurring: </w:t>
      </w:r>
      <w:r>
        <w:rPr>
          <w:rFonts w:ascii="arial" w:eastAsia="arial" w:hAnsi="arial" w:cs="arial"/>
          <w:b/>
          <w:i/>
          <w:color w:val="000000"/>
          <w:sz w:val="20"/>
          <w:lang w:val="en-US" w:eastAsia="en-US" w:bidi="ar-SA"/>
        </w:rPr>
        <w:t>Athey v. Leonati</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para. 27, </w:t>
      </w:r>
      <w:r>
        <w:rPr>
          <w:rFonts w:ascii="arial" w:eastAsia="arial" w:hAnsi="arial" w:cs="arial"/>
          <w:b/>
          <w:i/>
          <w:color w:val="000000"/>
          <w:sz w:val="20"/>
          <w:lang w:val="en-US" w:eastAsia="en-US" w:bidi="ar-SA"/>
        </w:rPr>
        <w:t>Steenblok v. Funk</w:t>
      </w:r>
      <w:r>
        <w:rPr>
          <w:rFonts w:ascii="arial" w:eastAsia="arial" w:hAnsi="arial" w:cs="arial"/>
          <w:color w:val="000000"/>
          <w:sz w:val="20"/>
          <w:lang w:val="en-US" w:eastAsia="en-US" w:bidi="ar-SA"/>
        </w:rPr>
        <w:t xml:space="preserve"> </w:t>
      </w:r>
      <w:hyperlink r:id="rId107" w:history="1">
        <w:r>
          <w:rPr>
            <w:rFonts w:ascii="arial" w:eastAsia="arial" w:hAnsi="arial" w:cs="arial"/>
            <w:i/>
            <w:color w:val="0077CC"/>
            <w:sz w:val="20"/>
            <w:u w:val="single"/>
            <w:shd w:val="clear" w:color="auto" w:fill="FFFFFF"/>
            <w:lang w:val="en-US" w:eastAsia="en-US" w:bidi="ar-SA"/>
          </w:rPr>
          <w:t>(1990), 46 B.C.L.R. (2d) 133</w:t>
        </w:r>
      </w:hyperlink>
      <w:r>
        <w:rPr>
          <w:rFonts w:ascii="arial" w:eastAsia="arial" w:hAnsi="arial" w:cs="arial"/>
          <w:color w:val="000000"/>
          <w:sz w:val="20"/>
          <w:lang w:val="en-US" w:eastAsia="en-US" w:bidi="ar-SA"/>
        </w:rPr>
        <w:t xml:space="preserve"> at 135 (C.A.). The valuation of the loss of earning capacity may involve a comparison of what the plaintiff would probably have earned but for the accident with what he will probably earn in his injured condition: </w:t>
      </w:r>
      <w:r>
        <w:rPr>
          <w:rFonts w:ascii="arial" w:eastAsia="arial" w:hAnsi="arial" w:cs="arial"/>
          <w:b/>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108"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at 93 (S.C.). However, that is not the end of the inquiry; the overall fairness and reasonableness of the award must be considered: </w:t>
      </w:r>
      <w:r>
        <w:rPr>
          <w:rFonts w:ascii="arial" w:eastAsia="arial" w:hAnsi="arial" w:cs="arial"/>
          <w:b/>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40" w:history="1">
        <w:r>
          <w:rPr>
            <w:rFonts w:ascii="arial" w:eastAsia="arial" w:hAnsi="arial" w:cs="arial"/>
            <w:i/>
            <w:color w:val="0077CC"/>
            <w:sz w:val="20"/>
            <w:u w:val="single"/>
            <w:shd w:val="clear" w:color="auto" w:fill="FFFFFF"/>
            <w:lang w:val="en-US" w:eastAsia="en-US" w:bidi="ar-SA"/>
          </w:rPr>
          <w:t>(2001), 84 B.C.L.R. (3d) 158</w:t>
        </w:r>
      </w:hyperlink>
      <w:r>
        <w:rPr>
          <w:rFonts w:ascii="arial" w:eastAsia="arial" w:hAnsi="arial" w:cs="arial"/>
          <w:color w:val="000000"/>
          <w:sz w:val="20"/>
          <w:lang w:val="en-US" w:eastAsia="en-US" w:bidi="ar-SA"/>
        </w:rPr>
        <w:t xml:space="preserve">, </w:t>
      </w:r>
      <w:hyperlink r:id="rId40"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at para. 11; </w:t>
      </w:r>
      <w:r>
        <w:rPr>
          <w:rFonts w:ascii="arial" w:eastAsia="arial" w:hAnsi="arial" w:cs="arial"/>
          <w:b/>
          <w:i/>
          <w:color w:val="000000"/>
          <w:sz w:val="20"/>
          <w:lang w:val="en-US" w:eastAsia="en-US" w:bidi="ar-SA"/>
        </w:rPr>
        <w:t>Ryder v. Paquette</w:t>
      </w:r>
      <w:r>
        <w:rPr>
          <w:rFonts w:ascii="arial" w:eastAsia="arial" w:hAnsi="arial" w:cs="arial"/>
          <w:color w:val="000000"/>
          <w:sz w:val="20"/>
          <w:lang w:val="en-US" w:eastAsia="en-US" w:bidi="ar-SA"/>
        </w:rPr>
        <w:t xml:space="preserve">, </w:t>
      </w:r>
      <w:hyperlink r:id="rId106" w:history="1">
        <w:r>
          <w:rPr>
            <w:rFonts w:ascii="arial" w:eastAsia="arial" w:hAnsi="arial" w:cs="arial"/>
            <w:i/>
            <w:color w:val="0077CC"/>
            <w:sz w:val="20"/>
            <w:u w:val="single"/>
            <w:shd w:val="clear" w:color="auto" w:fill="FFFFFF"/>
            <w:lang w:val="en-US" w:eastAsia="en-US" w:bidi="ar-SA"/>
          </w:rPr>
          <w:t>[1995] B.C.J. No. 644</w:t>
        </w:r>
      </w:hyperlink>
      <w:r>
        <w:rPr>
          <w:rFonts w:ascii="arial" w:eastAsia="arial" w:hAnsi="arial" w:cs="arial"/>
          <w:color w:val="000000"/>
          <w:sz w:val="20"/>
          <w:lang w:val="en-US" w:eastAsia="en-US" w:bidi="ar-SA"/>
        </w:rPr>
        <w:t xml:space="preserve"> (C.A.). Moreover, the task of the Court is to assess the losses, not to calculate them mathematically: </w:t>
      </w:r>
      <w:r>
        <w:rPr>
          <w:rFonts w:ascii="arial" w:eastAsia="arial" w:hAnsi="arial" w:cs="arial"/>
          <w:b/>
          <w:i/>
          <w:color w:val="000000"/>
          <w:sz w:val="20"/>
          <w:lang w:val="en-US" w:eastAsia="en-US" w:bidi="ar-SA"/>
        </w:rPr>
        <w:t>Mulholland (Guardian ad litem of) v. Riley Estate</w:t>
      </w:r>
      <w:r>
        <w:rPr>
          <w:rFonts w:ascii="arial" w:eastAsia="arial" w:hAnsi="arial" w:cs="arial"/>
          <w:color w:val="000000"/>
          <w:sz w:val="20"/>
          <w:lang w:val="en-US" w:eastAsia="en-US" w:bidi="ar-SA"/>
        </w:rPr>
        <w:t xml:space="preserve"> </w:t>
      </w:r>
      <w:hyperlink r:id="rId179" w:history="1">
        <w:r>
          <w:rPr>
            <w:rFonts w:ascii="arial" w:eastAsia="arial" w:hAnsi="arial" w:cs="arial"/>
            <w:i/>
            <w:color w:val="0077CC"/>
            <w:sz w:val="20"/>
            <w:u w:val="single"/>
            <w:shd w:val="clear" w:color="auto" w:fill="FFFFFF"/>
            <w:lang w:val="en-US" w:eastAsia="en-US" w:bidi="ar-SA"/>
          </w:rPr>
          <w:t>(1995), 12 B.C.L.R. (3d) 248</w:t>
        </w:r>
      </w:hyperlink>
      <w:r>
        <w:rPr>
          <w:rFonts w:ascii="arial" w:eastAsia="arial" w:hAnsi="arial" w:cs="arial"/>
          <w:color w:val="000000"/>
          <w:sz w:val="20"/>
          <w:lang w:val="en-US" w:eastAsia="en-US" w:bidi="ar-SA"/>
        </w:rPr>
        <w:t xml:space="preserve"> (C.A.). Finally, since the course of future events is unknown, allowance must be made for the contingency that the assumptions upon which the award is based may prove to be wrong: </w:t>
      </w:r>
      <w:r>
        <w:rPr>
          <w:rFonts w:ascii="arial" w:eastAsia="arial" w:hAnsi="arial" w:cs="arial"/>
          <w:b/>
          <w:i/>
          <w:color w:val="000000"/>
          <w:sz w:val="20"/>
          <w:lang w:val="en-US" w:eastAsia="en-US" w:bidi="ar-SA"/>
        </w:rPr>
        <w:t>Milina v. Bartsch</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79. In adjusting for contingencies, the remarks of Dickson J. in </w:t>
      </w:r>
      <w:r>
        <w:rPr>
          <w:rFonts w:ascii="arial" w:eastAsia="arial" w:hAnsi="arial" w:cs="arial"/>
          <w:b/>
          <w:i/>
          <w:color w:val="000000"/>
          <w:sz w:val="20"/>
          <w:lang w:val="en-US" w:eastAsia="en-US" w:bidi="ar-SA"/>
        </w:rPr>
        <w:t>Andrews v. Grand &amp; Toy Alberta Ltd.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at 253, are a useful guide: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First, in many respects, these contingencies implicitly are already contained in an assessment of the projected average level of earnings of the injured person, for one must assume that this figure is a projection with respect to the real world of work, vicissitudes and all. Second, not all contingencies are adverse ... Finally, in modern society there are many public and private schemes which cushion the individual against adverse contingencies. Clearly, the percentage deduction which is proper will depend on the facts of the individual case, particularly the nature of the plaintiff's occupation, but generally it will be small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267</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Brito (Guardian ad litem of) v. Woolley</w:t>
      </w:r>
      <w:r>
        <w:rPr>
          <w:rFonts w:ascii="arial" w:eastAsia="arial" w:hAnsi="arial" w:cs="arial"/>
          <w:color w:val="000000"/>
          <w:sz w:val="20"/>
          <w:lang w:val="en-US" w:eastAsia="en-US" w:bidi="ar-SA"/>
        </w:rPr>
        <w:t xml:space="preserve">, a case that also dealt with a plaintiff who had been injured at birth, the court confirmed, at para. 624 that awards for loss of earning capacity should be based on substantial possibilities and not on probabilities, referring to the decisions of the British Columbia Court of Appeal in </w:t>
      </w:r>
      <w:r>
        <w:rPr>
          <w:rFonts w:ascii="arial" w:eastAsia="arial" w:hAnsi="arial" w:cs="arial"/>
          <w:b/>
          <w:i/>
          <w:color w:val="000000"/>
          <w:sz w:val="20"/>
          <w:lang w:val="en-US" w:eastAsia="en-US" w:bidi="ar-SA"/>
        </w:rPr>
        <w:t>Anderson (Committee of) v. James</w:t>
      </w:r>
      <w:r>
        <w:rPr>
          <w:rFonts w:ascii="arial" w:eastAsia="arial" w:hAnsi="arial" w:cs="arial"/>
          <w:color w:val="000000"/>
          <w:sz w:val="20"/>
          <w:lang w:val="en-US" w:eastAsia="en-US" w:bidi="ar-SA"/>
        </w:rPr>
        <w:t xml:space="preserve"> </w:t>
      </w:r>
      <w:hyperlink r:id="rId307" w:history="1">
        <w:r>
          <w:rPr>
            <w:rFonts w:ascii="arial" w:eastAsia="arial" w:hAnsi="arial" w:cs="arial"/>
            <w:i/>
            <w:color w:val="0077CC"/>
            <w:sz w:val="20"/>
            <w:u w:val="single"/>
            <w:shd w:val="clear" w:color="auto" w:fill="FFFFFF"/>
            <w:lang w:val="en-US" w:eastAsia="en-US" w:bidi="ar-SA"/>
          </w:rPr>
          <w:t>(1992), 63 B.C.L.R. (2d) 176</w:t>
        </w:r>
      </w:hyperlink>
      <w:r>
        <w:rPr>
          <w:rFonts w:ascii="arial" w:eastAsia="arial" w:hAnsi="arial" w:cs="arial"/>
          <w:color w:val="000000"/>
          <w:sz w:val="20"/>
          <w:lang w:val="en-US" w:eastAsia="en-US" w:bidi="ar-SA"/>
        </w:rPr>
        <w:t xml:space="preserve">, </w:t>
      </w:r>
      <w:hyperlink r:id="rId307" w:history="1">
        <w:r>
          <w:rPr>
            <w:rFonts w:ascii="arial" w:eastAsia="arial" w:hAnsi="arial" w:cs="arial"/>
            <w:i/>
            <w:color w:val="0077CC"/>
            <w:sz w:val="20"/>
            <w:u w:val="single"/>
            <w:shd w:val="clear" w:color="auto" w:fill="FFFFFF"/>
            <w:lang w:val="en-US" w:eastAsia="en-US" w:bidi="ar-SA"/>
          </w:rPr>
          <w:t>87 D.L.R. (4th) 419</w:t>
        </w:r>
      </w:hyperlink>
      <w:r>
        <w:rPr>
          <w:rFonts w:ascii="arial" w:eastAsia="arial" w:hAnsi="arial" w:cs="arial"/>
          <w:color w:val="000000"/>
          <w:sz w:val="20"/>
          <w:lang w:val="en-US" w:eastAsia="en-US" w:bidi="ar-SA"/>
        </w:rPr>
        <w:t xml:space="preserve"> (C.A.), and </w:t>
      </w:r>
      <w:r>
        <w:rPr>
          <w:rFonts w:ascii="arial" w:eastAsia="arial" w:hAnsi="arial" w:cs="arial"/>
          <w:b/>
          <w:i/>
          <w:color w:val="000000"/>
          <w:sz w:val="20"/>
          <w:lang w:val="en-US" w:eastAsia="en-US" w:bidi="ar-SA"/>
        </w:rPr>
        <w:t>Steenblok v. Funk</w:t>
      </w:r>
      <w:r>
        <w:rPr>
          <w:rFonts w:ascii="arial" w:eastAsia="arial" w:hAnsi="arial" w:cs="arial"/>
          <w:color w:val="000000"/>
          <w:sz w:val="20"/>
          <w:lang w:val="en-US" w:eastAsia="en-US" w:bidi="ar-SA"/>
        </w:rPr>
        <w:t xml:space="preserve"> </w:t>
      </w:r>
      <w:hyperlink r:id="rId107" w:history="1">
        <w:r>
          <w:rPr>
            <w:rFonts w:ascii="arial" w:eastAsia="arial" w:hAnsi="arial" w:cs="arial"/>
            <w:i/>
            <w:color w:val="0077CC"/>
            <w:sz w:val="20"/>
            <w:u w:val="single"/>
            <w:shd w:val="clear" w:color="auto" w:fill="FFFFFF"/>
            <w:lang w:val="en-US" w:eastAsia="en-US" w:bidi="ar-SA"/>
          </w:rPr>
          <w:t>(1990), 46 B.C.L.R. (2d) 133</w:t>
        </w:r>
      </w:hyperlink>
      <w:r>
        <w:rPr>
          <w:rFonts w:ascii="arial" w:eastAsia="arial" w:hAnsi="arial" w:cs="arial"/>
          <w:color w:val="000000"/>
          <w:sz w:val="20"/>
          <w:lang w:val="en-US" w:eastAsia="en-US" w:bidi="ar-SA"/>
        </w:rPr>
        <w:t xml:space="preserve">, </w:t>
      </w:r>
      <w:hyperlink r:id="rId107" w:history="1">
        <w:r>
          <w:rPr>
            <w:rFonts w:ascii="arial" w:eastAsia="arial" w:hAnsi="arial" w:cs="arial"/>
            <w:i/>
            <w:color w:val="0077CC"/>
            <w:sz w:val="20"/>
            <w:u w:val="single"/>
            <w:shd w:val="clear" w:color="auto" w:fill="FFFFFF"/>
            <w:lang w:val="en-US" w:eastAsia="en-US" w:bidi="ar-SA"/>
          </w:rPr>
          <w:t>[1990] 5 W.W.R. 365</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268</w:t>
      </w:r>
      <w:r>
        <w:rPr>
          <w:rFonts w:ascii="arial" w:eastAsia="arial" w:hAnsi="arial" w:cs="arial"/>
          <w:color w:val="000000"/>
          <w:sz w:val="20"/>
          <w:lang w:val="en-US" w:eastAsia="en-US" w:bidi="ar-SA"/>
        </w:rPr>
        <w:t>  Eric's parents were both university educated in Romania. They left Romania in 2000 to pursue a better life for themselves and their children and, specifically, to ensure their children would have every opportunity life in Canada could offer. Since Eric's birth, Ms. Cojocaru has devoted her life to caring for her disabled son and in trying to procure the best rehabilitation therapies available to him at the expense of pursuing a career and meaningful employment for herself.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269</w:t>
      </w:r>
      <w:r>
        <w:rPr>
          <w:rFonts w:ascii="arial" w:eastAsia="arial" w:hAnsi="arial" w:cs="arial"/>
          <w:color w:val="000000"/>
          <w:sz w:val="20"/>
          <w:lang w:val="en-US" w:eastAsia="en-US" w:bidi="ar-SA"/>
        </w:rPr>
        <w:t>  Eric's maternal uncle, Calen Sarban and his wife, Alma Sarban, also gave evidence at the trial. They are Eric's only family living in Canada aside from his mother and brother. Both Mr. and Mrs. Sarban are university educated. Both work in their chosen professions.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270</w:t>
      </w:r>
      <w:r>
        <w:rPr>
          <w:rFonts w:ascii="arial" w:eastAsia="arial" w:hAnsi="arial" w:cs="arial"/>
          <w:color w:val="000000"/>
          <w:sz w:val="20"/>
          <w:lang w:val="en-US" w:eastAsia="en-US" w:bidi="ar-SA"/>
        </w:rPr>
        <w:t>  I agree with counsel for that plaintiff that the evidence suggests Eric's inability to become competitively employed is directly linked to the following factors:</w:t>
      </w:r>
      <w:r>
        <w:rPr>
          <w:rFonts w:ascii="arial" w:eastAsia="arial" w:hAnsi="arial" w:cs="arial"/>
          <w:sz w:val="20"/>
          <w:lang w:val="en-US" w:eastAsia="en-US" w:bidi="ar-SA"/>
        </w:rPr>
        <w:cr/>
      </w:r>
    </w:p>
    <w:p>
      <w:pPr>
        <w:numPr>
          <w:numId w:val="6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his permanent speech and language deficits;</w:t>
      </w:r>
    </w:p>
    <w:p>
      <w:pPr>
        <w:numPr>
          <w:numId w:val="6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his permanent gross and fine motor impairments;</w:t>
      </w:r>
    </w:p>
    <w:p>
      <w:pPr>
        <w:numPr>
          <w:numId w:val="6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his permanent and likely progressive stamina issues;</w:t>
      </w:r>
    </w:p>
    <w:p>
      <w:pPr>
        <w:numPr>
          <w:numId w:val="6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his impaired memory; and</w:t>
      </w:r>
    </w:p>
    <w:p>
      <w:pPr>
        <w:numPr>
          <w:numId w:val="6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his inability to apply and likely maintain his currently stated IQ.</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271</w:t>
      </w:r>
      <w:r>
        <w:rPr>
          <w:rFonts w:ascii="arial" w:eastAsia="arial" w:hAnsi="arial" w:cs="arial"/>
          <w:color w:val="000000"/>
          <w:sz w:val="20"/>
          <w:lang w:val="en-US" w:eastAsia="en-US" w:bidi="ar-SA"/>
        </w:rPr>
        <w:t>  Any one of these deficits alone would severely limit Eric's prospects from obtaining gainful employment. Together, they virtually assure his inability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272</w:t>
      </w:r>
      <w:r>
        <w:rPr>
          <w:rFonts w:ascii="arial" w:eastAsia="arial" w:hAnsi="arial" w:cs="arial"/>
          <w:color w:val="000000"/>
          <w:sz w:val="20"/>
          <w:lang w:val="en-US" w:eastAsia="en-US" w:bidi="ar-SA"/>
        </w:rPr>
        <w:t>  The only vocational expert to testify at trial was Mr. Derek Nordin of the Vocational Consulting Group, on behalf of the plaintiff. Mr. Nordin clearly explained why there will be no jobs available to an individual such as Eric. He looked primarily at physical factors, as well as anticipated levels of education in conducting his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273</w:t>
      </w:r>
      <w:r>
        <w:rPr>
          <w:rFonts w:ascii="arial" w:eastAsia="arial" w:hAnsi="arial" w:cs="arial"/>
          <w:color w:val="000000"/>
          <w:sz w:val="20"/>
          <w:lang w:val="en-US" w:eastAsia="en-US" w:bidi="ar-SA"/>
        </w:rPr>
        <w:t>  Mr. Nordin utilized a computer assisted vocational assessment program to identify the myriad of jobs available to healthy and well educated Canadians. Mr. Nordin applied a series of assumptions regarding Eric's anticipated level of disability and the extent to which each one of those assumptions would reduce the overall number of job titles available to Eric based on the successive application of the assumptions. The following chart summarizes his findings: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973"/>
        <w:gridCol w:w="48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89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Skill Set/Disability</w:t>
            </w:r>
          </w:p>
        </w:tc>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Job Availability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University Educated</w:t>
            </w:r>
          </w:p>
        </w:tc>
        <w:tc>
          <w:tcPr>
            <w:tcW w:w="47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Approx 3,000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973"/>
        <w:gridCol w:w="48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89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High School plus Job</w:t>
            </w:r>
          </w:p>
        </w:tc>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Approx 1,000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Training Only</w:t>
            </w:r>
          </w:p>
        </w:tc>
        <w:tc>
          <w:tcPr>
            <w:tcW w:w="47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973"/>
        <w:gridCol w:w="48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89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Motor Coordination</w:t>
            </w:r>
          </w:p>
        </w:tc>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Approx 242</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(below average)</w:t>
            </w:r>
          </w:p>
        </w:tc>
        <w:tc>
          <w:tcPr>
            <w:tcW w:w="47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973"/>
        <w:gridCol w:w="48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89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 Medium or Heavy</w:t>
            </w:r>
          </w:p>
        </w:tc>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Approx 86</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89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Strength (fatigue</w:t>
            </w:r>
          </w:p>
        </w:tc>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issue)</w:t>
            </w:r>
          </w:p>
        </w:tc>
        <w:tc>
          <w:tcPr>
            <w:tcW w:w="47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973"/>
        <w:gridCol w:w="48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Balance Issues</w:t>
            </w:r>
          </w:p>
        </w:tc>
        <w:tc>
          <w:tcPr>
            <w:tcW w:w="47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Approx 81</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973"/>
        <w:gridCol w:w="48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89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Working with</w:t>
            </w:r>
          </w:p>
        </w:tc>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Approx 79</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Hazardous Materials</w:t>
            </w:r>
          </w:p>
        </w:tc>
        <w:tc>
          <w:tcPr>
            <w:tcW w:w="47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973"/>
        <w:gridCol w:w="48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89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Low Average Verbal</w:t>
            </w:r>
          </w:p>
        </w:tc>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Approx 39</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Aptitude (dysarthria)</w:t>
            </w:r>
          </w:p>
        </w:tc>
        <w:tc>
          <w:tcPr>
            <w:tcW w:w="47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973"/>
        <w:gridCol w:w="48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89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Below Average Finger</w:t>
            </w:r>
          </w:p>
        </w:tc>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Approx 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Dexterity</w:t>
            </w:r>
          </w:p>
        </w:tc>
        <w:tc>
          <w:tcPr>
            <w:tcW w:w="47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274</w:t>
      </w:r>
      <w:r>
        <w:rPr>
          <w:rFonts w:ascii="arial" w:eastAsia="arial" w:hAnsi="arial" w:cs="arial"/>
          <w:color w:val="000000"/>
          <w:sz w:val="20"/>
          <w:lang w:val="en-US" w:eastAsia="en-US" w:bidi="ar-SA"/>
        </w:rPr>
        <w:t>  It is important to note that the foregoing analysis did not even consider an individual's hand/eye coordination, and did not take into account any cognitive dysfunction. Nor did the analysis take into account any psychosocial issues such as low self-esteem, or lack of confidence. Mr. Nordin states that to the extent such areas are problematic for Eric, they would further negatively impact his opportunities for employment. Based on Mr. Nordin's analysis, Eric will not be competitively employable.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275</w:t>
      </w:r>
      <w:r>
        <w:rPr>
          <w:rFonts w:ascii="arial" w:eastAsia="arial" w:hAnsi="arial" w:cs="arial"/>
          <w:color w:val="000000"/>
          <w:sz w:val="20"/>
          <w:lang w:val="en-US" w:eastAsia="en-US" w:bidi="ar-SA"/>
        </w:rPr>
        <w:t>  Darren Benning of PETA Consultants Ltd. has provided statistical evidence to assist in determining Eric's likely potential educational attainment level in the absence of his disabilities.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276</w:t>
      </w:r>
      <w:r>
        <w:rPr>
          <w:rFonts w:ascii="arial" w:eastAsia="arial" w:hAnsi="arial" w:cs="arial"/>
          <w:color w:val="000000"/>
          <w:sz w:val="20"/>
          <w:lang w:val="en-US" w:eastAsia="en-US" w:bidi="ar-SA"/>
        </w:rPr>
        <w:t>  The defendants did not require Mr. Benning to attend trial for the purposes of cross-examination. Mr. Benning states on page 2 of his report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data (from a 1991 Statistics Canada publication) suggests that the majority of children attained at least the same level of education as their parents and most acquired more education then their parents.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study relied upon by Mr. Benning suggested that between 65% and 89% of children attained at least the same level of education as their parents and in most instances more education.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277</w:t>
      </w:r>
      <w:r>
        <w:rPr>
          <w:rFonts w:ascii="arial" w:eastAsia="arial" w:hAnsi="arial" w:cs="arial"/>
          <w:color w:val="000000"/>
          <w:sz w:val="20"/>
          <w:lang w:val="en-US" w:eastAsia="en-US" w:bidi="ar-SA"/>
        </w:rPr>
        <w:t xml:space="preserve">  Mr. Benning cites a more recent study (Knighton and Mirza (2002), </w:t>
      </w:r>
      <w:r>
        <w:rPr>
          <w:rFonts w:ascii="arial" w:eastAsia="arial" w:hAnsi="arial" w:cs="arial"/>
          <w:i/>
          <w:color w:val="000000"/>
          <w:sz w:val="20"/>
          <w:lang w:val="en-US" w:eastAsia="en-US" w:bidi="ar-SA"/>
        </w:rPr>
        <w:t>Post-secondary Participation: The Effects of Parent's Education and Household Income</w:t>
      </w:r>
      <w:r>
        <w:rPr>
          <w:rFonts w:ascii="arial" w:eastAsia="arial" w:hAnsi="arial" w:cs="arial"/>
          <w:color w:val="000000"/>
          <w:sz w:val="20"/>
          <w:lang w:val="en-US" w:eastAsia="en-US" w:bidi="ar-SA"/>
        </w:rPr>
        <w:t>) which suggests that children are influenced by the level of education of their parents with respect to the level of attainment they achieve in post-secondary studies. As of 1998, Canadians aged 18 to 22 pursued post-secondary education approximately 20% more if at least one parent in the family had post-secondary education. Specifically, where at least one parent had post-secondary education, the propensity of their children to participate in post-secondary studies was in the 76% to 78% range. Even in the lowest income quartile the rate was still 68%.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278</w:t>
      </w:r>
      <w:r>
        <w:rPr>
          <w:rFonts w:ascii="arial" w:eastAsia="arial" w:hAnsi="arial" w:cs="arial"/>
          <w:color w:val="000000"/>
          <w:sz w:val="20"/>
          <w:lang w:val="en-US" w:eastAsia="en-US" w:bidi="ar-SA"/>
        </w:rPr>
        <w:t>  To ensure that the statistics Mr. Benning was referring to were not skewed by the fact that Eric is the child of immigrant parents, he was asked to consider whether there was statistical support or information which would assist the court in determining whether or not the foregoing statistics accurately reflected Eric's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279</w:t>
      </w:r>
      <w:r>
        <w:rPr>
          <w:rFonts w:ascii="arial" w:eastAsia="arial" w:hAnsi="arial" w:cs="arial"/>
          <w:color w:val="000000"/>
          <w:sz w:val="20"/>
          <w:lang w:val="en-US" w:eastAsia="en-US" w:bidi="ar-SA"/>
        </w:rPr>
        <w:t>  The first such study (</w:t>
      </w:r>
      <w:r>
        <w:rPr>
          <w:rFonts w:ascii="arial" w:eastAsia="arial" w:hAnsi="arial" w:cs="arial"/>
          <w:i/>
          <w:color w:val="000000"/>
          <w:sz w:val="20"/>
          <w:lang w:val="en-US" w:eastAsia="en-US" w:bidi="ar-SA"/>
        </w:rPr>
        <w:t>Intergenerational Earnings Mobility Among the Children of Canadian Immigrants</w:t>
      </w:r>
      <w:r>
        <w:rPr>
          <w:rFonts w:ascii="arial" w:eastAsia="arial" w:hAnsi="arial" w:cs="arial"/>
          <w:color w:val="000000"/>
          <w:sz w:val="20"/>
          <w:lang w:val="en-US" w:eastAsia="en-US" w:bidi="ar-SA"/>
        </w:rPr>
        <w:t>) suggested outcomes of second generation Canadians are at least no worse and in many ways better than those whose parents were born in Canada. Mr. Benning states on page 3 of his report that "second generation Canadians are less likely to lack high school credentials and are more likely to have a university degree" and further that their incidence of reliance on government transfer payments and rates of unemployment are no different then first generation Canadians and, in fact, their average earnings are greater.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280</w:t>
      </w:r>
      <w:r>
        <w:rPr>
          <w:rFonts w:ascii="arial" w:eastAsia="arial" w:hAnsi="arial" w:cs="arial"/>
          <w:color w:val="000000"/>
          <w:sz w:val="20"/>
          <w:lang w:val="en-US" w:eastAsia="en-US" w:bidi="ar-SA"/>
        </w:rPr>
        <w:t>  Additionally, Mr. Benning refers to a 2001 paper by Christopher Worswick (</w:t>
      </w:r>
      <w:r>
        <w:rPr>
          <w:rFonts w:ascii="arial" w:eastAsia="arial" w:hAnsi="arial" w:cs="arial"/>
          <w:i/>
          <w:color w:val="000000"/>
          <w:sz w:val="20"/>
          <w:lang w:val="en-US" w:eastAsia="en-US" w:bidi="ar-SA"/>
        </w:rPr>
        <w:t>School Performance of the Children of Immigrants in Canada 1994-1995</w:t>
      </w:r>
      <w:r>
        <w:rPr>
          <w:rFonts w:ascii="arial" w:eastAsia="arial" w:hAnsi="arial" w:cs="arial"/>
          <w:color w:val="000000"/>
          <w:sz w:val="20"/>
          <w:lang w:val="en-US" w:eastAsia="en-US" w:bidi="ar-SA"/>
        </w:rPr>
        <w:t>) which suggests that children of immigrants whose first language is neither English nor French perform at school equally to or greater than children of Canadian born parents.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281</w:t>
      </w:r>
      <w:r>
        <w:rPr>
          <w:rFonts w:ascii="arial" w:eastAsia="arial" w:hAnsi="arial" w:cs="arial"/>
          <w:color w:val="000000"/>
          <w:sz w:val="20"/>
          <w:lang w:val="en-US" w:eastAsia="en-US" w:bidi="ar-SA"/>
        </w:rPr>
        <w:t>  Based upon Mr. Benning's research; Ms. Cojocaru and Marcel Cojocaru's level of educational attainment (ie. they both have Romanian university degrees); their stated goal with respect to coming to Canada which was to make a better life for themselves and their children; and their stated expectations of their children namely, to become well-educated, to go on to university and to get good jobs, the plaintiffs argue Eric's future loss of income should be based upon the likelihood that he would have obtained either a masters degree or professional degree. The present value of Eric's income loss ranges from a low of $1,028,697 to a high of $1,512,165.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282</w:t>
      </w:r>
      <w:r>
        <w:rPr>
          <w:rFonts w:ascii="arial" w:eastAsia="arial" w:hAnsi="arial" w:cs="arial"/>
          <w:color w:val="000000"/>
          <w:sz w:val="20"/>
          <w:lang w:val="en-US" w:eastAsia="en-US" w:bidi="ar-SA"/>
        </w:rPr>
        <w:t>  The plaintiff argues that Eric would have followed in his parent's footsteps or exceeded same and obtained a professional degree. Accordingly, his loss of future income totals, it is argued, should be $1,512,165.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283</w:t>
      </w:r>
      <w:r>
        <w:rPr>
          <w:rFonts w:ascii="arial" w:eastAsia="arial" w:hAnsi="arial" w:cs="arial"/>
          <w:color w:val="000000"/>
          <w:sz w:val="20"/>
          <w:lang w:val="en-US" w:eastAsia="en-US" w:bidi="ar-SA"/>
        </w:rPr>
        <w:t>  The defendants, on the other hand, argue that given the educational attainment and work history of Monica and Marcel Cojocaru, it is reasonable to assume for the purpose of assessing a claim for loss of income earning potential, that Eric had the potential to complete some post-secondary education. The defendants argue that the university education of Monica and Marcel Cojocaru is more applicable on Canadian comparison to a trade certification. At most, they suggest that Eric would have received a first university degree. They rely on the evidence before the court in the report of Mr. Hildebrand that only 5% of British Columbian males, aged 39-49 have obtained Master or doctorate degrees and only 1% of males aged 39-49 have professional degrees. Their expert, Mr. Hildebrand, suggests that even if Eric's chances of obtaining a higher education were significantly higher than average, the expected education levels still fall short of a bachelor's degree. Mr. Hildebrand points out that the educational attainment of his parents, education at a technical institute and not a university, suggests that it is more likely that Eric would have pursued post-secondary studies, but that the circumstances do not warrant the extremely remote prospect of completion of a masters or professional degree as a matter of probability.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284</w:t>
      </w:r>
      <w:r>
        <w:rPr>
          <w:rFonts w:ascii="arial" w:eastAsia="arial" w:hAnsi="arial" w:cs="arial"/>
          <w:color w:val="000000"/>
          <w:sz w:val="20"/>
          <w:lang w:val="en-US" w:eastAsia="en-US" w:bidi="ar-SA"/>
        </w:rPr>
        <w:t>  In his report of August 24, 2007, Mr. Hildebrand calculated Eric's loss of future income. This report suggests that if Eric's future income earning capacity is that of a British Columbian male with a complete high school education but with a relative handicap, he would suffer an income loss in the range of 20% of the income earned by his peers. If, absent the incident, he would have completed a university degree, then Eric's income loss would be assessed at $365,195. The defence also raises the issue of residual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285</w:t>
      </w:r>
      <w:r>
        <w:rPr>
          <w:rFonts w:ascii="arial" w:eastAsia="arial" w:hAnsi="arial" w:cs="arial"/>
          <w:color w:val="000000"/>
          <w:sz w:val="20"/>
          <w:lang w:val="en-US" w:eastAsia="en-US" w:bidi="ar-SA"/>
        </w:rPr>
        <w:t>  Based on the evidence before me, there is virtually no chance in my view that Eric Cojocaru would be competitively employable as an adult. His physical limitations and his struggle to even do basic age appropriate tasks at this stage make it so highly unlikely that he would be competitively employed to make it a completely false contingency. Although there is some suggestion in the evidence that Eric would be able to complete high school, this would no doubt be on a modified program of some sort and, even with a high school certification, that does not guarantee employment. There are significant and far reaching physical limitations which Eric suffers from on a daily basis. There is, based on the evidence, no prospect of substantial-if any-improvement in these limitations. To suggest that Eric would be employed in anything other than a structured and funded work program with modest or nominal remuneration would be, in my view, out of the realm of possibilities and into the realm of fantasy.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286</w:t>
      </w:r>
      <w:r>
        <w:rPr>
          <w:rFonts w:ascii="arial" w:eastAsia="arial" w:hAnsi="arial" w:cs="arial"/>
          <w:color w:val="000000"/>
          <w:sz w:val="20"/>
          <w:lang w:val="en-US" w:eastAsia="en-US" w:bidi="ar-SA"/>
        </w:rPr>
        <w:t>  In regards to Eric's future prospects, I preferred the evidence of Dr. Kaushansky over the seemingly highly optimistic opinion of Dr. Joschko. Both these doctors are neuropsychologists. Both are qualified as an expert in their field. Both assessed Eric. Both found him to have had at least average intelligence, but that he scored very poorly in those tests designed to assess memory.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287</w:t>
      </w:r>
      <w:r>
        <w:rPr>
          <w:rFonts w:ascii="arial" w:eastAsia="arial" w:hAnsi="arial" w:cs="arial"/>
          <w:color w:val="000000"/>
          <w:sz w:val="20"/>
          <w:lang w:val="en-US" w:eastAsia="en-US" w:bidi="ar-SA"/>
        </w:rPr>
        <w:t>  Dr. Kaushansky did not share Dr. Joschko's optimism regarding Eric's future, opining that notwithstanding his average intelligence, Eric is unlikely to graduate high school with academic skills commensurate with his peers.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288</w:t>
      </w:r>
      <w:r>
        <w:rPr>
          <w:rFonts w:ascii="arial" w:eastAsia="arial" w:hAnsi="arial" w:cs="arial"/>
          <w:color w:val="000000"/>
          <w:sz w:val="20"/>
          <w:lang w:val="en-US" w:eastAsia="en-US" w:bidi="ar-SA"/>
        </w:rPr>
        <w:t>  According to Dr. Kaushansky: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youngster has average intelligence but very specific difficulties, particularly memory. The intelligence quotient is divided into verbal and non-verbal and both were average. However, he has poor memory. For example, he was given a story and asked what he remembered and he was unable to recall details. Academically, he has just finished kindergarten but is 2 years behind his peer group in reading skills. He is at an age 4 level.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did not give any motor testing because of his cerebral palsy. With respect to adaptive functioning, his skills are around the age 4 level. That refers to his ability to use the phone, deliver a message, etc. I also performed tests for executive functioning. These are reasoning, planning, etc., and his scores were quite low. That concluded the testing. This is what we found regarding 'the now'.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think Eric will graduate high school but his academic skills will not be commensurate with his peers. He will be below Grade 8 when he graduates and that's being generous.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he graduates he will have specific difficulties with memory, speed of information processing, and attentional skills.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289</w:t>
      </w:r>
      <w:r>
        <w:rPr>
          <w:rFonts w:ascii="arial" w:eastAsia="arial" w:hAnsi="arial" w:cs="arial"/>
          <w:color w:val="000000"/>
          <w:sz w:val="20"/>
          <w:lang w:val="en-US" w:eastAsia="en-US" w:bidi="ar-SA"/>
        </w:rPr>
        <w:t>  Based upon Eric's physical deficits alone, as described above, and which the experts appear to agree are permanent and will not improve, Eric Cojocaru is precluded from competitive employment. Add to these Eric's cognitive issues, and his employment opportunities are nil. According to Dr. Hahn, at page 25 of his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sad reality is that, by virtue of his cerebral palsy, and its diverse impairments and disabilities, his vocational future will, as mentioned, be very narrow. Realistically, it will take a very motivated Eric and a very thorough vocational assessment and support for him, as a young adult, to become vocationally engaged, even part time. Indeed, the chance of Eric to be competitively employable in society, given cognitive, language and particularly dexterity impairments is, indeed, statistically very marginal.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290</w:t>
      </w:r>
      <w:r>
        <w:rPr>
          <w:rFonts w:ascii="arial" w:eastAsia="arial" w:hAnsi="arial" w:cs="arial"/>
          <w:color w:val="000000"/>
          <w:sz w:val="20"/>
          <w:lang w:val="en-US" w:eastAsia="en-US" w:bidi="ar-SA"/>
        </w:rPr>
        <w:t>  Dr. Kaushansky comes to a similar conclusion, "I do not envisage Eric working competitively within the community but within more sheltered (and safer) environments".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291</w:t>
      </w:r>
      <w:r>
        <w:rPr>
          <w:rFonts w:ascii="arial" w:eastAsia="arial" w:hAnsi="arial" w:cs="arial"/>
          <w:color w:val="000000"/>
          <w:sz w:val="20"/>
          <w:lang w:val="en-US" w:eastAsia="en-US" w:bidi="ar-SA"/>
        </w:rPr>
        <w:t>  Ms. Duke, in her report dated July 20, 2007, states at page 7, "in adulthood, I believe that Eric's speech and language difficulties alone will preclude him from competitive employability".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292</w:t>
      </w:r>
      <w:r>
        <w:rPr>
          <w:rFonts w:ascii="arial" w:eastAsia="arial" w:hAnsi="arial" w:cs="arial"/>
          <w:color w:val="000000"/>
          <w:sz w:val="20"/>
          <w:lang w:val="en-US" w:eastAsia="en-US" w:bidi="ar-SA"/>
        </w:rPr>
        <w:t>  Dr. Hahn also views Eric's cognitive functioning in memory as being poor and also stated how his information processing capabilities appeared to be slow and inefficient.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293</w:t>
      </w:r>
      <w:r>
        <w:rPr>
          <w:rFonts w:ascii="arial" w:eastAsia="arial" w:hAnsi="arial" w:cs="arial"/>
          <w:color w:val="000000"/>
          <w:sz w:val="20"/>
          <w:lang w:val="en-US" w:eastAsia="en-US" w:bidi="ar-SA"/>
        </w:rPr>
        <w:t>  Even Dr. Hill, the paediatric neurologist called on behalf of the defendants, stated that Eric's cognitive abilities were impaired.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294</w:t>
      </w:r>
      <w:r>
        <w:rPr>
          <w:rFonts w:ascii="arial" w:eastAsia="arial" w:hAnsi="arial" w:cs="arial"/>
          <w:color w:val="000000"/>
          <w:sz w:val="20"/>
          <w:lang w:val="en-US" w:eastAsia="en-US" w:bidi="ar-SA"/>
        </w:rPr>
        <w:t>  The "sad reality" as envisaged by Dr. Hahn, Dr. Kaushansky, and Ms. Duke is clearly borne out in the analysis of Mr. Nordin.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295</w:t>
      </w:r>
      <w:r>
        <w:rPr>
          <w:rFonts w:ascii="arial" w:eastAsia="arial" w:hAnsi="arial" w:cs="arial"/>
          <w:color w:val="000000"/>
          <w:sz w:val="20"/>
          <w:lang w:val="en-US" w:eastAsia="en-US" w:bidi="ar-SA"/>
        </w:rPr>
        <w:t>  Eric is not competitively employable and does not have any residual employment capabilities.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296</w:t>
      </w:r>
      <w:r>
        <w:rPr>
          <w:rFonts w:ascii="arial" w:eastAsia="arial" w:hAnsi="arial" w:cs="arial"/>
          <w:color w:val="000000"/>
          <w:sz w:val="20"/>
          <w:lang w:val="en-US" w:eastAsia="en-US" w:bidi="ar-SA"/>
        </w:rPr>
        <w:t>  I conclude that the plaintiff's position as to what Eric Cojocaru would have achieved absent an injury is an optimistic projection. In my view, Eric's future loss of income should be based on the likelihood of him obtaining some university education and perhaps completing a university degree. I would assess that loss of future income at $850,000.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Loss of Interdependent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297</w:t>
      </w:r>
      <w:r>
        <w:rPr>
          <w:rFonts w:ascii="arial" w:eastAsia="arial" w:hAnsi="arial" w:cs="arial"/>
          <w:color w:val="000000"/>
          <w:sz w:val="20"/>
          <w:lang w:val="en-US" w:eastAsia="en-US" w:bidi="ar-SA"/>
        </w:rPr>
        <w:t xml:space="preserve">  An important counterpart to diminished earning capacity is the loss of financial and other benefits that derive from an interdependent relationship. The loss of a permanent interdependent relationship was explained in Klar et al., eds., </w:t>
      </w:r>
      <w:r>
        <w:rPr>
          <w:rFonts w:ascii="arial" w:eastAsia="arial" w:hAnsi="arial" w:cs="arial"/>
          <w:i/>
          <w:color w:val="000000"/>
          <w:sz w:val="20"/>
          <w:lang w:val="en-US" w:eastAsia="en-US" w:bidi="ar-SA"/>
        </w:rPr>
        <w:t>Remedies in Tort</w:t>
      </w:r>
      <w:r>
        <w:rPr>
          <w:rFonts w:ascii="arial" w:eastAsia="arial" w:hAnsi="arial" w:cs="arial"/>
          <w:color w:val="000000"/>
          <w:sz w:val="20"/>
          <w:lang w:val="en-US" w:eastAsia="en-US" w:bidi="ar-SA"/>
        </w:rPr>
        <w:t>, Looseleaf (Vancouver: Carswell, 2006) vol. 4, 27:66.1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Loss of opportunity to earn family income has been recognized as a component of future pecuniary loss where an accident has caused the loss of an opportunity to form a permanent interdependent relationship that could be expected to produce financial benefits in the form of shared family income. This loss has both positive and negative consequences and is also closely associated with a person's employment status. It has been held that the court should make an effort to assess the net pecuniary effect of the interconnected financial consequences. Assessment will usually depend on both statistical evidence and particular assessment of the individual. Lost opportunity to form an interdependent relationship has been said to include three aspects: (1) loss of the benefit of increased income; (2) loss of the benefit of shared expenses; and (3) loss of the benefit of shared homemaking. Awards are generally reserved for catastrophic and more serious injury, and claims must be supported by expert as well as lay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298</w:t>
      </w:r>
      <w:r>
        <w:rPr>
          <w:rFonts w:ascii="arial" w:eastAsia="arial" w:hAnsi="arial" w:cs="arial"/>
          <w:color w:val="000000"/>
          <w:sz w:val="20"/>
          <w:lang w:val="en-US" w:eastAsia="en-US" w:bidi="ar-SA"/>
        </w:rPr>
        <w:t xml:space="preserve">  The leading case in British Columbia respecting loss of a permanent interdependent relationship is </w:t>
      </w:r>
      <w:r>
        <w:rPr>
          <w:rFonts w:ascii="arial" w:eastAsia="arial" w:hAnsi="arial" w:cs="arial"/>
          <w:b/>
          <w:i/>
          <w:color w:val="000000"/>
          <w:sz w:val="20"/>
          <w:lang w:val="en-US" w:eastAsia="en-US" w:bidi="ar-SA"/>
        </w:rPr>
        <w:t>Reekie v. Messervey</w:t>
      </w:r>
      <w:r>
        <w:rPr>
          <w:rFonts w:ascii="arial" w:eastAsia="arial" w:hAnsi="arial" w:cs="arial"/>
          <w:color w:val="000000"/>
          <w:sz w:val="20"/>
          <w:lang w:val="en-US" w:eastAsia="en-US" w:bidi="ar-SA"/>
        </w:rPr>
        <w:t xml:space="preserve"> </w:t>
      </w:r>
      <w:hyperlink r:id="rId308" w:history="1">
        <w:r>
          <w:rPr>
            <w:rFonts w:ascii="arial" w:eastAsia="arial" w:hAnsi="arial" w:cs="arial"/>
            <w:i/>
            <w:color w:val="0077CC"/>
            <w:sz w:val="20"/>
            <w:u w:val="single"/>
            <w:shd w:val="clear" w:color="auto" w:fill="FFFFFF"/>
            <w:lang w:val="en-US" w:eastAsia="en-US" w:bidi="ar-SA"/>
          </w:rPr>
          <w:t>(1989), 36 B.C.L.R. (2d) 316</w:t>
        </w:r>
      </w:hyperlink>
      <w:r>
        <w:rPr>
          <w:rFonts w:ascii="arial" w:eastAsia="arial" w:hAnsi="arial" w:cs="arial"/>
          <w:color w:val="000000"/>
          <w:sz w:val="20"/>
          <w:lang w:val="en-US" w:eastAsia="en-US" w:bidi="ar-SA"/>
        </w:rPr>
        <w:t xml:space="preserve">, </w:t>
      </w:r>
      <w:hyperlink r:id="rId308" w:history="1">
        <w:r>
          <w:rPr>
            <w:rFonts w:ascii="arial" w:eastAsia="arial" w:hAnsi="arial" w:cs="arial"/>
            <w:i/>
            <w:color w:val="0077CC"/>
            <w:sz w:val="20"/>
            <w:u w:val="single"/>
            <w:shd w:val="clear" w:color="auto" w:fill="FFFFFF"/>
            <w:lang w:val="en-US" w:eastAsia="en-US" w:bidi="ar-SA"/>
          </w:rPr>
          <w:t>59 D.L.R. (4th) 481</w:t>
        </w:r>
      </w:hyperlink>
      <w:r>
        <w:rPr>
          <w:rFonts w:ascii="arial" w:eastAsia="arial" w:hAnsi="arial" w:cs="arial"/>
          <w:color w:val="000000"/>
          <w:sz w:val="20"/>
          <w:lang w:val="en-US" w:eastAsia="en-US" w:bidi="ar-SA"/>
        </w:rPr>
        <w:t xml:space="preserve"> (C.A.). Lambert J.A. affirmed the trial judge's award of $50,000 for the loss of the opportunity to marry. He recognized the loss of on interdependent relationship as a component of future pecuniary losses and stated at 336: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end [the trial judge] awarded $250,000 for the totality of future losses on the income side of the equation. He broke that figure down into $200,000 for loss of earning capacity and $50,000 for loss of opportunity to form a permanent interdependency.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299</w:t>
      </w:r>
      <w:r>
        <w:rPr>
          <w:rFonts w:ascii="arial" w:eastAsia="arial" w:hAnsi="arial" w:cs="arial"/>
          <w:color w:val="000000"/>
          <w:sz w:val="20"/>
          <w:lang w:val="en-US" w:eastAsia="en-US" w:bidi="ar-SA"/>
        </w:rPr>
        <w:t>  Lambert J.A. set out who is generally entitled to an award for loss of a permanent interdependent relationship at 330: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aspect of the damage award was called 'loss of opportunity to marry' by counsel and by the trial judge. But marriage itself is not the significant point. The significance lies in the loss of an opportunity to form a permanent interdependency relationship which may be expected to produce financial benefits in the form of shared family income. Such an interdependency might have been formed with a close friend of either sex or with a person with whom a plaintiff might have lived as husband and wife, but without any marriage having taken place. Permanent financial interdependency, not marriage, is the gist of the claim. For the sake of simplicity and consistency, I will now usually call this head of loss: 'lost opportunity of family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300</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Reekie</w:t>
      </w:r>
      <w:r>
        <w:rPr>
          <w:rFonts w:ascii="arial" w:eastAsia="arial" w:hAnsi="arial" w:cs="arial"/>
          <w:color w:val="000000"/>
          <w:sz w:val="20"/>
          <w:lang w:val="en-US" w:eastAsia="en-US" w:bidi="ar-SA"/>
        </w:rPr>
        <w:t xml:space="preserve"> decision was followed by Finch J.A. (as he then was) in </w:t>
      </w:r>
      <w:r>
        <w:rPr>
          <w:rFonts w:ascii="arial" w:eastAsia="arial" w:hAnsi="arial" w:cs="arial"/>
          <w:b/>
          <w:i/>
          <w:color w:val="000000"/>
          <w:sz w:val="20"/>
          <w:lang w:val="en-US" w:eastAsia="en-US" w:bidi="ar-SA"/>
        </w:rPr>
        <w:t>Anderson v. Miner</w:t>
      </w:r>
      <w:r>
        <w:rPr>
          <w:rFonts w:ascii="arial" w:eastAsia="arial" w:hAnsi="arial" w:cs="arial"/>
          <w:color w:val="000000"/>
          <w:sz w:val="20"/>
          <w:lang w:val="en-US" w:eastAsia="en-US" w:bidi="ar-SA"/>
        </w:rPr>
        <w:t xml:space="preserve"> </w:t>
      </w:r>
      <w:hyperlink r:id="rId309" w:history="1">
        <w:r>
          <w:rPr>
            <w:rFonts w:ascii="arial" w:eastAsia="arial" w:hAnsi="arial" w:cs="arial"/>
            <w:i/>
            <w:color w:val="0077CC"/>
            <w:sz w:val="20"/>
            <w:u w:val="single"/>
            <w:shd w:val="clear" w:color="auto" w:fill="FFFFFF"/>
            <w:lang w:val="en-US" w:eastAsia="en-US" w:bidi="ar-SA"/>
          </w:rPr>
          <w:t>(1999), 57 B.C.L.R. (3d) 118</w:t>
        </w:r>
      </w:hyperlink>
      <w:r>
        <w:rPr>
          <w:rFonts w:ascii="arial" w:eastAsia="arial" w:hAnsi="arial" w:cs="arial"/>
          <w:color w:val="000000"/>
          <w:sz w:val="20"/>
          <w:lang w:val="en-US" w:eastAsia="en-US" w:bidi="ar-SA"/>
        </w:rPr>
        <w:t xml:space="preserve">, </w:t>
      </w:r>
      <w:hyperlink r:id="rId309" w:history="1">
        <w:r>
          <w:rPr>
            <w:rFonts w:ascii="arial" w:eastAsia="arial" w:hAnsi="arial" w:cs="arial"/>
            <w:i/>
            <w:color w:val="0077CC"/>
            <w:sz w:val="20"/>
            <w:u w:val="single"/>
            <w:shd w:val="clear" w:color="auto" w:fill="FFFFFF"/>
            <w:lang w:val="en-US" w:eastAsia="en-US" w:bidi="ar-SA"/>
          </w:rPr>
          <w:t>117 B.C.A.C. 39</w:t>
        </w:r>
      </w:hyperlink>
      <w:r>
        <w:rPr>
          <w:rFonts w:ascii="arial" w:eastAsia="arial" w:hAnsi="arial" w:cs="arial"/>
          <w:color w:val="000000"/>
          <w:sz w:val="20"/>
          <w:lang w:val="en-US" w:eastAsia="en-US" w:bidi="ar-SA"/>
        </w:rPr>
        <w:t xml:space="preserve"> (C.A.). Here, Finch J.A. considered a claim for loss of the opportunity to form an economically advantageous interdependent relationship. The plaintiff suffered from severe burns to her face and neck when she was on a school outing at the age of eight. The court found at para. 32: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Though physical appearance is never the measure of a person, we unfortunately do live in a society which puts a premium on physical appearance. The effect that disfigurement has on one's ability to achieve an economically advantageous permanent interdependent relationship is regrettable but nonetheless real due to the social mores governing the process of finding a mate. A damage award in this respect compensates the plaintiff for this diminished ability to operate within the sphere of social values that render physical appearance an asset of sorts. Because of the pressure such a premium puts on women the plaintiff has emotional scars which will also make it more difficult for her to meet new people, and which will inhibit her socially, and deter her from risking failure in new ventures. Those factors all support the plaintiff's claim that she is impaired in her ability to meet and form an economically advantageous permanent interdependent relationship with another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301</w:t>
      </w:r>
      <w:r>
        <w:rPr>
          <w:rFonts w:ascii="arial" w:eastAsia="arial" w:hAnsi="arial" w:cs="arial"/>
          <w:color w:val="000000"/>
          <w:sz w:val="20"/>
          <w:lang w:val="en-US" w:eastAsia="en-US" w:bidi="ar-SA"/>
        </w:rPr>
        <w:t xml:space="preserve">  The courts have also considered it proper to assume that a plaintiff would likely form a relationship with a person of similar education. In </w:t>
      </w:r>
      <w:r>
        <w:rPr>
          <w:rFonts w:ascii="arial" w:eastAsia="arial" w:hAnsi="arial" w:cs="arial"/>
          <w:b/>
          <w:i/>
          <w:color w:val="000000"/>
          <w:sz w:val="20"/>
          <w:lang w:val="en-US" w:eastAsia="en-US" w:bidi="ar-SA"/>
        </w:rPr>
        <w:t>Wassell (Guardian ad litem of) v. Pile</w:t>
      </w:r>
      <w:r>
        <w:rPr>
          <w:rFonts w:ascii="arial" w:eastAsia="arial" w:hAnsi="arial" w:cs="arial"/>
          <w:color w:val="000000"/>
          <w:sz w:val="20"/>
          <w:lang w:val="en-US" w:eastAsia="en-US" w:bidi="ar-SA"/>
        </w:rPr>
        <w:t xml:space="preserve">, </w:t>
      </w:r>
      <w:hyperlink r:id="rId310" w:history="1">
        <w:r>
          <w:rPr>
            <w:rFonts w:ascii="arial" w:eastAsia="arial" w:hAnsi="arial" w:cs="arial"/>
            <w:i/>
            <w:color w:val="0077CC"/>
            <w:sz w:val="20"/>
            <w:u w:val="single"/>
            <w:shd w:val="clear" w:color="auto" w:fill="FFFFFF"/>
            <w:lang w:val="en-US" w:eastAsia="en-US" w:bidi="ar-SA"/>
          </w:rPr>
          <w:t>[1994] B.C.J. No. 1837</w:t>
        </w:r>
      </w:hyperlink>
      <w:r>
        <w:rPr>
          <w:rFonts w:ascii="arial" w:eastAsia="arial" w:hAnsi="arial" w:cs="arial"/>
          <w:color w:val="000000"/>
          <w:sz w:val="20"/>
          <w:lang w:val="en-US" w:eastAsia="en-US" w:bidi="ar-SA"/>
        </w:rPr>
        <w:t xml:space="preserve"> (S.C.), the court considered the fact that the plaintiff's injuries would likely prevent her from marrying someone who had an educational status equivalent to what she would have had if not for the injury. Discussing the issue at paras. 165-178, the court's logic went as follows: if the plaintiff had not been injured, she would have gone to university. Because statistically "like marries like", if she went to university, she would have married a university educated man. University educated men make more than non-university educated men. Therefore, she should be awarded damages to compensate for loss of opportunity to many a university educated 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302</w:t>
      </w:r>
      <w:r>
        <w:rPr>
          <w:rFonts w:ascii="arial" w:eastAsia="arial" w:hAnsi="arial" w:cs="arial"/>
          <w:color w:val="000000"/>
          <w:sz w:val="20"/>
          <w:lang w:val="en-US" w:eastAsia="en-US" w:bidi="ar-SA"/>
        </w:rPr>
        <w:t>  The defendants dispute any claim for loss of interdependent relationship as being too uncertain. They note that Mr. Hildebrand indicates in his report that an interdependent relationship is not necessarily financially advantageous. The potential advantages are as a result of a shared relationship with another income earner without additional consumption. This is not necessarily the eventual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303</w:t>
      </w:r>
      <w:r>
        <w:rPr>
          <w:rFonts w:ascii="arial" w:eastAsia="arial" w:hAnsi="arial" w:cs="arial"/>
          <w:color w:val="000000"/>
          <w:sz w:val="20"/>
          <w:lang w:val="en-US" w:eastAsia="en-US" w:bidi="ar-SA"/>
        </w:rPr>
        <w:t>  In my view, there is some significant probability of cost sharing and financial advantages from an interdependent relationship. The evidence strongly suggests that as a result of his injuries, this opportunity is in all likelihood completely lost to Eric. Taking into account some contingency for the existence of an interindependent relationship and the further contingency of their not necessarily being a financial advantage from an interdependent relationship, I would assess this loss at $25,000.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Future Cost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304</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Krangle (Guardian ad litem of) v. Brisco</w:t>
      </w:r>
      <w:r>
        <w:rPr>
          <w:rFonts w:ascii="arial" w:eastAsia="arial" w:hAnsi="arial" w:cs="arial"/>
          <w:color w:val="000000"/>
          <w:sz w:val="20"/>
          <w:lang w:val="en-US" w:eastAsia="en-US" w:bidi="ar-SA"/>
        </w:rPr>
        <w:t xml:space="preserve">, </w:t>
      </w:r>
      <w:hyperlink r:id="rId44" w:history="1">
        <w:r>
          <w:rPr>
            <w:rFonts w:ascii="arial" w:eastAsia="arial" w:hAnsi="arial" w:cs="arial"/>
            <w:i/>
            <w:color w:val="0077CC"/>
            <w:sz w:val="20"/>
            <w:u w:val="single"/>
            <w:shd w:val="clear" w:color="auto" w:fill="FFFFFF"/>
            <w:lang w:val="en-US" w:eastAsia="en-US" w:bidi="ar-SA"/>
          </w:rPr>
          <w:t>2002 SCC 9</w:t>
        </w:r>
      </w:hyperlink>
      <w:r>
        <w:rPr>
          <w:rFonts w:ascii="arial" w:eastAsia="arial" w:hAnsi="arial" w:cs="arial"/>
          <w:color w:val="000000"/>
          <w:sz w:val="20"/>
          <w:lang w:val="en-US" w:eastAsia="en-US" w:bidi="ar-SA"/>
        </w:rPr>
        <w:t xml:space="preserve">, </w:t>
      </w:r>
      <w:hyperlink r:id="rId44" w:history="1">
        <w:r>
          <w:rPr>
            <w:rFonts w:ascii="arial" w:eastAsia="arial" w:hAnsi="arial" w:cs="arial"/>
            <w:i/>
            <w:color w:val="0077CC"/>
            <w:sz w:val="20"/>
            <w:u w:val="single"/>
            <w:shd w:val="clear" w:color="auto" w:fill="FFFFFF"/>
            <w:lang w:val="en-US" w:eastAsia="en-US" w:bidi="ar-SA"/>
          </w:rPr>
          <w:t>[2002] 1 S.C.R. 205</w:t>
        </w:r>
      </w:hyperlink>
      <w:r>
        <w:rPr>
          <w:rFonts w:ascii="arial" w:eastAsia="arial" w:hAnsi="arial" w:cs="arial"/>
          <w:color w:val="000000"/>
          <w:sz w:val="20"/>
          <w:lang w:val="en-US" w:eastAsia="en-US" w:bidi="ar-SA"/>
        </w:rPr>
        <w:t xml:space="preserve">, the Supreme Court of Canada reaffirmed the </w:t>
      </w:r>
      <w:r>
        <w:rPr>
          <w:rFonts w:ascii="arial" w:eastAsia="arial" w:hAnsi="arial" w:cs="arial"/>
          <w:i/>
          <w:color w:val="000000"/>
          <w:sz w:val="20"/>
          <w:lang w:val="en-US" w:eastAsia="en-US" w:bidi="ar-SA"/>
        </w:rPr>
        <w:t>restitutio in integrum</w:t>
      </w:r>
      <w:r>
        <w:rPr>
          <w:rFonts w:ascii="arial" w:eastAsia="arial" w:hAnsi="arial" w:cs="arial"/>
          <w:color w:val="000000"/>
          <w:sz w:val="20"/>
          <w:lang w:val="en-US" w:eastAsia="en-US" w:bidi="ar-SA"/>
        </w:rPr>
        <w:t xml:space="preserve"> theme as it relates to future care. That was also a case dealing with an infant plaintiff who had been injured at birth. At paras. 21-22, Madam Justice McLachlin stated:</w:t>
      </w:r>
      <w:r>
        <w:rPr>
          <w:rFonts w:ascii="arial" w:eastAsia="arial" w:hAnsi="arial" w:cs="arial"/>
          <w:sz w:val="20"/>
          <w:lang w:val="en-US" w:eastAsia="en-US" w:bidi="ar-SA"/>
        </w:rPr>
        <w:cr/>
      </w:r>
    </w:p>
    <w:p>
      <w:pPr>
        <w:numPr>
          <w:numId w:val="6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for cost of future care are a matter or prediction. No one knows the future. Yet the rule that damages must be assessed once and for all at the time of trial (subject to modification on appeal) requires courts to peer into the future and to fix the damages for future care as best they can. In doing so, courts rely on the evidence as to what care is likely to be in the injured person's best interest. Then they calculate the present cost of providing that care and may make an adjustment for the contingency that the future may differ from what the evidence at trial indicates.</w:t>
      </w:r>
    </w:p>
    <w:p>
      <w:pPr>
        <w:numPr>
          <w:numId w:val="6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resulting award may be said to reflect the reasonable or normal expectations of what the injured person will require. J. Stapleton, 'The Normal Expectancies Measure In Tort Damages' (1997), 113 L.Q.R. 257, thus suggests that the tort measure of compensatory damages may be described as the 'normal expectancies measure', a term which 'more clearly describes the aim of awards of compensatory damages In tort: namely, to reposition the plaintiff to the destination he would normally have reached ... had It not been for the tort'. The measure is objective, based on the evidence. This method produces a result fair to both the claimant and the defendant. The claimant receives damages for future losses, as best they can be ascertained.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305</w:t>
      </w:r>
      <w:r>
        <w:rPr>
          <w:rFonts w:ascii="arial" w:eastAsia="arial" w:hAnsi="arial" w:cs="arial"/>
          <w:color w:val="000000"/>
          <w:sz w:val="20"/>
          <w:lang w:val="en-US" w:eastAsia="en-US" w:bidi="ar-SA"/>
        </w:rPr>
        <w:t xml:space="preserve">  A starting point for defining the principles to be relied upon when assessing future cost of care is the decision of the Supreme Court of Canada in </w:t>
      </w:r>
      <w:r>
        <w:rPr>
          <w:rFonts w:ascii="arial" w:eastAsia="arial" w:hAnsi="arial" w:cs="arial"/>
          <w:b/>
          <w:i/>
          <w:color w:val="000000"/>
          <w:sz w:val="20"/>
          <w:lang w:val="en-US" w:eastAsia="en-US" w:bidi="ar-SA"/>
        </w:rPr>
        <w:t>Andrews v. Grand &amp; Toy Alberta Ltd.</w:t>
      </w:r>
      <w:r>
        <w:rPr>
          <w:rFonts w:ascii="arial" w:eastAsia="arial" w:hAnsi="arial" w:cs="arial"/>
          <w:color w:val="000000"/>
          <w:sz w:val="20"/>
          <w:lang w:val="en-US" w:eastAsia="en-US" w:bidi="ar-SA"/>
        </w:rPr>
        <w:t xml:space="preserve">, </w:t>
      </w:r>
      <w:hyperlink r:id="rId181"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xml:space="preserve"> at 241, </w:t>
      </w:r>
      <w:hyperlink r:id="rId181" w:history="1">
        <w:r>
          <w:rPr>
            <w:rFonts w:ascii="arial" w:eastAsia="arial" w:hAnsi="arial" w:cs="arial"/>
            <w:i/>
            <w:color w:val="0077CC"/>
            <w:sz w:val="20"/>
            <w:u w:val="single"/>
            <w:shd w:val="clear" w:color="auto" w:fill="FFFFFF"/>
            <w:lang w:val="en-US" w:eastAsia="en-US" w:bidi="ar-SA"/>
          </w:rPr>
          <w:t>83 D.L.R. (3d) 452</w:t>
        </w:r>
      </w:hyperlink>
      <w:r>
        <w:rPr>
          <w:rFonts w:ascii="arial" w:eastAsia="arial" w:hAnsi="arial" w:cs="arial"/>
          <w:color w:val="000000"/>
          <w:sz w:val="20"/>
          <w:lang w:val="en-US" w:eastAsia="en-US" w:bidi="ar-SA"/>
        </w:rPr>
        <w:t xml:space="preserve"> [cited to S.C.R.], where Dickson J.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theory a claim for the cost of future care is a pecuniary claim for the amount which may reasonably be expected to be expended in putting the injured party in the position he would have been in if he had not sustained the injury. Obviously, a plaintiff who has been gravely and permanently impaired can never be put in the position he would have been in if the tort had not been committed. To this extent, </w:t>
      </w:r>
      <w:r>
        <w:rPr>
          <w:rFonts w:ascii="arial" w:eastAsia="arial" w:hAnsi="arial" w:cs="arial"/>
          <w:i/>
          <w:color w:val="000000"/>
          <w:sz w:val="20"/>
          <w:lang w:val="en-US" w:eastAsia="en-US" w:bidi="ar-SA"/>
        </w:rPr>
        <w:t>restitutio in integrum</w:t>
      </w:r>
      <w:r>
        <w:rPr>
          <w:rFonts w:ascii="arial" w:eastAsia="arial" w:hAnsi="arial" w:cs="arial"/>
          <w:color w:val="000000"/>
          <w:sz w:val="20"/>
          <w:lang w:val="en-US" w:eastAsia="en-US" w:bidi="ar-SA"/>
        </w:rPr>
        <w:t xml:space="preserve"> is not possible. Money is a barren substitute for health and personal happiness, but to the extent within reason that money can be used to sustain or improve the mental or physical health of the injured person it may properly form part of a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306</w:t>
      </w:r>
      <w:r>
        <w:rPr>
          <w:rFonts w:ascii="arial" w:eastAsia="arial" w:hAnsi="arial" w:cs="arial"/>
          <w:color w:val="000000"/>
          <w:sz w:val="20"/>
          <w:lang w:val="en-US" w:eastAsia="en-US" w:bidi="ar-SA"/>
        </w:rPr>
        <w:t xml:space="preserve">  The law does not permit the defence to argue that Eric Cojocaru should "get by" with less than "full compensation". Nor does the law permit the defence to pass off the responsibility of the defendants to provide appropriate future care by suggesting that Eric Cojocaru can and should rely on his mother and his brother to take care of him. Furthermore, Eric is not required to "make do" with government subsidized programs, be it within the school system or charitable organizations, such as the Variety Club, to provide him with the additional support and equipment he needs. While this cheaper approach to future care may benefit the defendants, it is not what the law provides for. In the words of Dickson J. at 246 in </w:t>
      </w:r>
      <w:r>
        <w:rPr>
          <w:rFonts w:ascii="arial" w:eastAsia="arial" w:hAnsi="arial" w:cs="arial"/>
          <w:b/>
          <w:i/>
          <w:color w:val="000000"/>
          <w:sz w:val="20"/>
          <w:lang w:val="en-US" w:eastAsia="en-US" w:bidi="ar-SA"/>
        </w:rPr>
        <w:t>Andrews</w:t>
      </w:r>
      <w:r>
        <w:rPr>
          <w:rFonts w:ascii="arial" w:eastAsia="arial" w:hAnsi="arial" w:cs="arial"/>
          <w:color w:val="000000"/>
          <w:sz w:val="20"/>
          <w:lang w:val="en-US" w:eastAsia="en-US" w:bidi="ar-SA"/>
        </w:rPr>
        <w:t>: "justice requires something better". Dickson J. was referring to "full compensation" for future cost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307</w:t>
      </w:r>
      <w:r>
        <w:rPr>
          <w:rFonts w:ascii="arial" w:eastAsia="arial" w:hAnsi="arial" w:cs="arial"/>
          <w:color w:val="000000"/>
          <w:sz w:val="20"/>
          <w:lang w:val="en-US" w:eastAsia="en-US" w:bidi="ar-SA"/>
        </w:rPr>
        <w:t xml:space="preserve">  Full compensation for future care is also not limited by considerations of the cost to the defendant or the social burden of large awards. Dickson J. was clear in </w:t>
      </w:r>
      <w:r>
        <w:rPr>
          <w:rFonts w:ascii="arial" w:eastAsia="arial" w:hAnsi="arial" w:cs="arial"/>
          <w:b/>
          <w:i/>
          <w:color w:val="000000"/>
          <w:sz w:val="20"/>
          <w:lang w:val="en-US" w:eastAsia="en-US" w:bidi="ar-SA"/>
        </w:rPr>
        <w:t>Andrews</w:t>
      </w:r>
      <w:r>
        <w:rPr>
          <w:rFonts w:ascii="arial" w:eastAsia="arial" w:hAnsi="arial" w:cs="arial"/>
          <w:color w:val="000000"/>
          <w:sz w:val="20"/>
          <w:lang w:val="en-US" w:eastAsia="en-US" w:bidi="ar-SA"/>
        </w:rPr>
        <w:t xml:space="preserve"> at 246, that the standard to be applied is not just "provision" but "compensation":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standard of care expected in our society in physical injury cases is an elusive concept. What a legislature sees fit to provide in the cases of veterans and in the cases of injured workers and the elderly is only of marginal assistance. The standard to be applied to </w:t>
      </w:r>
      <w:r>
        <w:rPr>
          <w:rFonts w:ascii="arial" w:eastAsia="arial" w:hAnsi="arial" w:cs="arial"/>
          <w:b/>
          <w:i/>
          <w:color w:val="000000"/>
          <w:sz w:val="20"/>
          <w:lang w:val="en-US" w:eastAsia="en-US" w:bidi="ar-SA"/>
        </w:rPr>
        <w:t>Andrews</w:t>
      </w:r>
      <w:r>
        <w:rPr>
          <w:rFonts w:ascii="arial" w:eastAsia="arial" w:hAnsi="arial" w:cs="arial"/>
          <w:color w:val="000000"/>
          <w:sz w:val="20"/>
          <w:lang w:val="en-US" w:eastAsia="en-US" w:bidi="ar-SA"/>
        </w:rPr>
        <w:t xml:space="preserve"> is not merely 'provision', but 'compensation', i.e., what is the proper compensation for a person who would have been able to care for himself and live in a home environment if he had not been injured? The answer must surely be home care. If there were severe mental impairment, or the case of an immobile quadriplegic, the results might well be different; but where the victim is mobile and still in full control of his mental facilities, as Andrews is, it cannot be said that institutionalization in an auxiliary hospital represents proper compensation for his loss. Justice requires something better.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308</w:t>
      </w:r>
      <w:r>
        <w:rPr>
          <w:rFonts w:ascii="arial" w:eastAsia="arial" w:hAnsi="arial" w:cs="arial"/>
          <w:color w:val="000000"/>
          <w:sz w:val="20"/>
          <w:lang w:val="en-US" w:eastAsia="en-US" w:bidi="ar-SA"/>
        </w:rPr>
        <w:t xml:space="preserve">  In the recent case of </w:t>
      </w:r>
      <w:r>
        <w:rPr>
          <w:rFonts w:ascii="arial" w:eastAsia="arial" w:hAnsi="arial" w:cs="arial"/>
          <w:b/>
          <w:i/>
          <w:color w:val="000000"/>
          <w:sz w:val="20"/>
          <w:lang w:val="en-US" w:eastAsia="en-US" w:bidi="ar-SA"/>
        </w:rPr>
        <w:t>Aberdeen v. Langley (Township)</w:t>
      </w:r>
      <w:r>
        <w:rPr>
          <w:rFonts w:ascii="arial" w:eastAsia="arial" w:hAnsi="arial" w:cs="arial"/>
          <w:color w:val="000000"/>
          <w:sz w:val="20"/>
          <w:lang w:val="en-US" w:eastAsia="en-US" w:bidi="ar-SA"/>
        </w:rPr>
        <w:t xml:space="preserve">, </w:t>
      </w:r>
      <w:hyperlink r:id="rId311" w:history="1">
        <w:r>
          <w:rPr>
            <w:rFonts w:ascii="arial" w:eastAsia="arial" w:hAnsi="arial" w:cs="arial"/>
            <w:i/>
            <w:color w:val="0077CC"/>
            <w:sz w:val="20"/>
            <w:u w:val="single"/>
            <w:shd w:val="clear" w:color="auto" w:fill="FFFFFF"/>
            <w:lang w:val="en-US" w:eastAsia="en-US" w:bidi="ar-SA"/>
          </w:rPr>
          <w:t>2007 BCSC 993</w:t>
        </w:r>
      </w:hyperlink>
      <w:r>
        <w:rPr>
          <w:rFonts w:ascii="arial" w:eastAsia="arial" w:hAnsi="arial" w:cs="arial"/>
          <w:color w:val="000000"/>
          <w:sz w:val="20"/>
          <w:lang w:val="en-US" w:eastAsia="en-US" w:bidi="ar-SA"/>
        </w:rPr>
        <w:t xml:space="preserve">, rev'd in part </w:t>
      </w:r>
      <w:hyperlink r:id="rId192" w:history="1">
        <w:r>
          <w:rPr>
            <w:rFonts w:ascii="arial" w:eastAsia="arial" w:hAnsi="arial" w:cs="arial"/>
            <w:i/>
            <w:color w:val="0077CC"/>
            <w:sz w:val="20"/>
            <w:u w:val="single"/>
            <w:shd w:val="clear" w:color="auto" w:fill="FFFFFF"/>
            <w:lang w:val="en-US" w:eastAsia="en-US" w:bidi="ar-SA"/>
          </w:rPr>
          <w:t>2008 BCCA 420</w:t>
        </w:r>
      </w:hyperlink>
      <w:r>
        <w:rPr>
          <w:rFonts w:ascii="arial" w:eastAsia="arial" w:hAnsi="arial" w:cs="arial"/>
          <w:color w:val="000000"/>
          <w:sz w:val="20"/>
          <w:lang w:val="en-US" w:eastAsia="en-US" w:bidi="ar-SA"/>
        </w:rPr>
        <w:t xml:space="preserve">, </w:t>
      </w:r>
      <w:hyperlink r:id="rId192" w:history="1">
        <w:r>
          <w:rPr>
            <w:rFonts w:ascii="arial" w:eastAsia="arial" w:hAnsi="arial" w:cs="arial"/>
            <w:i/>
            <w:color w:val="0077CC"/>
            <w:sz w:val="20"/>
            <w:u w:val="single"/>
            <w:shd w:val="clear" w:color="auto" w:fill="FFFFFF"/>
            <w:lang w:val="en-US" w:eastAsia="en-US" w:bidi="ar-SA"/>
          </w:rPr>
          <w:t>84 B.C.L.R. (4th) 220</w:t>
        </w:r>
      </w:hyperlink>
      <w:r>
        <w:rPr>
          <w:rFonts w:ascii="arial" w:eastAsia="arial" w:hAnsi="arial" w:cs="arial"/>
          <w:color w:val="000000"/>
          <w:sz w:val="20"/>
          <w:lang w:val="en-US" w:eastAsia="en-US" w:bidi="ar-SA"/>
        </w:rPr>
        <w:t>, I consider the meaning of "full compensation" at para. 85: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While the notion of making full compensation for pecuniary losses is clearly the goal, neither the English cases nor </w:t>
      </w:r>
      <w:r>
        <w:rPr>
          <w:rFonts w:ascii="arial" w:eastAsia="arial" w:hAnsi="arial" w:cs="arial"/>
          <w:b/>
          <w:i/>
          <w:color w:val="000000"/>
          <w:sz w:val="20"/>
          <w:lang w:val="en-US" w:eastAsia="en-US" w:bidi="ar-SA"/>
        </w:rPr>
        <w:t>Andrews</w:t>
      </w:r>
      <w:r>
        <w:rPr>
          <w:rFonts w:ascii="arial" w:eastAsia="arial" w:hAnsi="arial" w:cs="arial"/>
          <w:color w:val="000000"/>
          <w:sz w:val="20"/>
          <w:lang w:val="en-US" w:eastAsia="en-US" w:bidi="ar-SA"/>
        </w:rPr>
        <w:t xml:space="preserve"> fully resolve the issue of what standard of future care is required to provide 'full' compensation. Additionally, </w:t>
      </w:r>
      <w:r>
        <w:rPr>
          <w:rFonts w:ascii="arial" w:eastAsia="arial" w:hAnsi="arial" w:cs="arial"/>
          <w:b/>
          <w:i/>
          <w:color w:val="000000"/>
          <w:sz w:val="20"/>
          <w:lang w:val="en-US" w:eastAsia="en-US" w:bidi="ar-SA"/>
        </w:rPr>
        <w:t>Andrews</w:t>
      </w:r>
      <w:r>
        <w:rPr>
          <w:rFonts w:ascii="arial" w:eastAsia="arial" w:hAnsi="arial" w:cs="arial"/>
          <w:color w:val="000000"/>
          <w:sz w:val="20"/>
          <w:lang w:val="en-US" w:eastAsia="en-US" w:bidi="ar-SA"/>
        </w:rPr>
        <w:t xml:space="preserve"> retained the requirement that compensation must be fair and reasonable, and stated that fairness to the defendant was to be achieved by ensuring claims were 'legitimate and justifiable'.</w:t>
      </w:r>
    </w:p>
    <w:p>
      <w:pPr>
        <w:numPr>
          <w:numId w:val="6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issue was subsequently clarified by McLachlin J.'s often cited judgment in </w:t>
      </w:r>
      <w:r>
        <w:rPr>
          <w:rFonts w:ascii="arial" w:eastAsia="arial" w:hAnsi="arial" w:cs="arial"/>
          <w:b/>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108"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(S.C.). There, she clarified that (1) there must be medical justification for claims for the cost of future care, and (2) the claims must be reasonable. This is the test which has been repeatedly applied by subsequent courts in determining which expenses to allow for future care. Thus, although judges are to make 'full' compensation for the cost of future care, in the sense of awarding what the medical evidence indicates is the appropriate standard of care, such claims must still be reasonable and justifiable.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309</w:t>
      </w:r>
      <w:r>
        <w:rPr>
          <w:rFonts w:ascii="arial" w:eastAsia="arial" w:hAnsi="arial" w:cs="arial"/>
          <w:color w:val="000000"/>
          <w:sz w:val="20"/>
          <w:lang w:val="en-US" w:eastAsia="en-US" w:bidi="ar-SA"/>
        </w:rPr>
        <w:t>  After a review of the English authorities, I came to the following conclusion:</w:t>
      </w:r>
      <w:r>
        <w:rPr>
          <w:rFonts w:ascii="arial" w:eastAsia="arial" w:hAnsi="arial" w:cs="arial"/>
          <w:sz w:val="20"/>
          <w:lang w:val="en-US" w:eastAsia="en-US" w:bidi="ar-SA"/>
        </w:rPr>
        <w:cr/>
      </w:r>
    </w:p>
    <w:p>
      <w:pPr>
        <w:numPr>
          <w:numId w:val="6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sum, while the English courts may have disagreed on how damages should be calculated and to what degree they should be limited out of a concern for fairness to the defendant, none of the personal injury cases appear to take issue with the concept of providing to the plaintiff the entire anticipated cost of future care, taking into account appropriate contingencies. Indeed, in some of these cases, the cost of a home attendant to care for the plaintiff or the cost of care in a private institution were awarded, without apparent discussion of whether a cheaper alternative should be used.</w:t>
      </w:r>
    </w:p>
    <w:p>
      <w:pPr>
        <w:numPr>
          <w:numId w:val="6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trial judge in </w:t>
      </w:r>
      <w:r>
        <w:rPr>
          <w:rFonts w:ascii="arial" w:eastAsia="arial" w:hAnsi="arial" w:cs="arial"/>
          <w:b/>
          <w:i/>
          <w:color w:val="000000"/>
          <w:sz w:val="20"/>
          <w:lang w:val="en-US" w:eastAsia="en-US" w:bidi="ar-SA"/>
        </w:rPr>
        <w:t>Andrews</w:t>
      </w:r>
      <w:r>
        <w:rPr>
          <w:rFonts w:ascii="arial" w:eastAsia="arial" w:hAnsi="arial" w:cs="arial"/>
          <w:color w:val="000000"/>
          <w:sz w:val="20"/>
          <w:lang w:val="en-US" w:eastAsia="en-US" w:bidi="ar-SA"/>
        </w:rPr>
        <w:t xml:space="preserve"> reviewed the old English authorities in reaching the same conclusion, affirmed by the Supreme Court of Canada, that full compensation should be made for pecuniary loss, while fair and reasonable compensation should be awarded for non-pecuniary loss. </w:t>
      </w:r>
      <w:r>
        <w:rPr>
          <w:rFonts w:ascii="arial" w:eastAsia="arial" w:hAnsi="arial" w:cs="arial"/>
          <w:b/>
          <w:i/>
          <w:color w:val="000000"/>
          <w:sz w:val="20"/>
          <w:lang w:val="en-US" w:eastAsia="en-US" w:bidi="ar-SA"/>
        </w:rPr>
        <w:t>Andrews</w:t>
      </w:r>
      <w:r>
        <w:rPr>
          <w:rFonts w:ascii="arial" w:eastAsia="arial" w:hAnsi="arial" w:cs="arial"/>
          <w:color w:val="000000"/>
          <w:sz w:val="20"/>
          <w:lang w:val="en-US" w:eastAsia="en-US" w:bidi="ar-SA"/>
        </w:rPr>
        <w:t xml:space="preserve"> clearly stated that full compensation is to be made for pecuniary losses without regard to the financial position of the defendants, which in that case meant home care for the plaintiff despite its very high cost compared with institutionalization. In contrast, awards for non-pecuniary losses may be limited by broader social concerns.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6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Thus, in </w:t>
      </w:r>
      <w:r>
        <w:rPr>
          <w:rFonts w:ascii="arial" w:eastAsia="arial" w:hAnsi="arial" w:cs="arial"/>
          <w:b/>
          <w:i/>
          <w:color w:val="000000"/>
          <w:sz w:val="20"/>
          <w:lang w:val="en-US" w:eastAsia="en-US" w:bidi="ar-SA"/>
        </w:rPr>
        <w:t>Andrews</w:t>
      </w:r>
      <w:r>
        <w:rPr>
          <w:rFonts w:ascii="arial" w:eastAsia="arial" w:hAnsi="arial" w:cs="arial"/>
          <w:color w:val="000000"/>
          <w:sz w:val="20"/>
          <w:lang w:val="en-US" w:eastAsia="en-US" w:bidi="ar-SA"/>
        </w:rPr>
        <w:t>, the notion of full compensation in relation to damages for the cost of future care meant the cost of home care for the plaintiff, rather than institutionalization. What these judgments seem to indicate is that claims must be reasonable, but compensation is full in the sense that the plaintiff should not make do with less than what is medically justified to provide him with optimal care in order to save the defendant money, which was the route taken by the Alberta Court of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310</w:t>
      </w:r>
      <w:r>
        <w:rPr>
          <w:rFonts w:ascii="arial" w:eastAsia="arial" w:hAnsi="arial" w:cs="arial"/>
          <w:color w:val="000000"/>
          <w:sz w:val="20"/>
          <w:lang w:val="en-US" w:eastAsia="en-US" w:bidi="ar-SA"/>
        </w:rPr>
        <w:t xml:space="preserve">  I then dealt with the apparent contradiction between the notions of full compensation as described in </w:t>
      </w:r>
      <w:r>
        <w:rPr>
          <w:rFonts w:ascii="arial" w:eastAsia="arial" w:hAnsi="arial" w:cs="arial"/>
          <w:b/>
          <w:i/>
          <w:color w:val="000000"/>
          <w:sz w:val="20"/>
          <w:lang w:val="en-US" w:eastAsia="en-US" w:bidi="ar-SA"/>
        </w:rPr>
        <w:t>Andrews</w:t>
      </w:r>
      <w:r>
        <w:rPr>
          <w:rFonts w:ascii="arial" w:eastAsia="arial" w:hAnsi="arial" w:cs="arial"/>
          <w:color w:val="000000"/>
          <w:sz w:val="20"/>
          <w:lang w:val="en-US" w:eastAsia="en-US" w:bidi="ar-SA"/>
        </w:rPr>
        <w:t xml:space="preserve"> and the argument, based on </w:t>
      </w:r>
      <w:r>
        <w:rPr>
          <w:rFonts w:ascii="arial" w:eastAsia="arial" w:hAnsi="arial" w:cs="arial"/>
          <w:b/>
          <w:i/>
          <w:color w:val="000000"/>
          <w:sz w:val="20"/>
          <w:lang w:val="en-US" w:eastAsia="en-US" w:bidi="ar-SA"/>
        </w:rPr>
        <w:t>Milina</w:t>
      </w:r>
      <w:r>
        <w:rPr>
          <w:rFonts w:ascii="arial" w:eastAsia="arial" w:hAnsi="arial" w:cs="arial"/>
          <w:color w:val="000000"/>
          <w:sz w:val="20"/>
          <w:lang w:val="en-US" w:eastAsia="en-US" w:bidi="ar-SA"/>
        </w:rPr>
        <w:t xml:space="preserve">, that a plaintiff is only entitled to future care costs that are medically justifiable in the sense that items which the plaintiff is unlikely to use or are experimental should not be provided for. I did not consider the judgment in </w:t>
      </w:r>
      <w:r>
        <w:rPr>
          <w:rFonts w:ascii="arial" w:eastAsia="arial" w:hAnsi="arial" w:cs="arial"/>
          <w:b/>
          <w:i/>
          <w:color w:val="000000"/>
          <w:sz w:val="20"/>
          <w:lang w:val="en-US" w:eastAsia="en-US" w:bidi="ar-SA"/>
        </w:rPr>
        <w:t>Andrews</w:t>
      </w:r>
      <w:r>
        <w:rPr>
          <w:rFonts w:ascii="arial" w:eastAsia="arial" w:hAnsi="arial" w:cs="arial"/>
          <w:color w:val="000000"/>
          <w:sz w:val="20"/>
          <w:lang w:val="en-US" w:eastAsia="en-US" w:bidi="ar-SA"/>
        </w:rPr>
        <w:t xml:space="preserve"> to provide the "complete answer to the problem" after noting that Dickson J., in </w:t>
      </w:r>
      <w:r>
        <w:rPr>
          <w:rFonts w:ascii="arial" w:eastAsia="arial" w:hAnsi="arial" w:cs="arial"/>
          <w:b/>
          <w:i/>
          <w:color w:val="000000"/>
          <w:sz w:val="20"/>
          <w:lang w:val="en-US" w:eastAsia="en-US" w:bidi="ar-SA"/>
        </w:rPr>
        <w:t>Andrews</w:t>
      </w:r>
      <w:r>
        <w:rPr>
          <w:rFonts w:ascii="arial" w:eastAsia="arial" w:hAnsi="arial" w:cs="arial"/>
          <w:color w:val="000000"/>
          <w:sz w:val="20"/>
          <w:lang w:val="en-US" w:eastAsia="en-US" w:bidi="ar-SA"/>
        </w:rPr>
        <w:t xml:space="preserve"> did not address how a court should choose between acceptable alternatives to what could be considered "full compensation". I went on to conclude:</w:t>
      </w:r>
      <w:r>
        <w:rPr>
          <w:rFonts w:ascii="arial" w:eastAsia="arial" w:hAnsi="arial" w:cs="arial"/>
          <w:sz w:val="20"/>
          <w:lang w:val="en-US" w:eastAsia="en-US" w:bidi="ar-SA"/>
        </w:rPr>
        <w:cr/>
      </w:r>
    </w:p>
    <w:p>
      <w:pPr>
        <w:numPr>
          <w:numId w:val="6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Thus, I think the solution is to consider 'full' compensation espoused in </w:t>
      </w:r>
      <w:r>
        <w:rPr>
          <w:rFonts w:ascii="arial" w:eastAsia="arial" w:hAnsi="arial" w:cs="arial"/>
          <w:b/>
          <w:i/>
          <w:color w:val="000000"/>
          <w:sz w:val="20"/>
          <w:lang w:val="en-US" w:eastAsia="en-US" w:bidi="ar-SA"/>
        </w:rPr>
        <w:t>Andrews</w:t>
      </w:r>
      <w:r>
        <w:rPr>
          <w:rFonts w:ascii="arial" w:eastAsia="arial" w:hAnsi="arial" w:cs="arial"/>
          <w:color w:val="000000"/>
          <w:sz w:val="20"/>
          <w:lang w:val="en-US" w:eastAsia="en-US" w:bidi="ar-SA"/>
        </w:rPr>
        <w:t xml:space="preserve"> in the context of the more pragmatic and widely-followed test set out in </w:t>
      </w:r>
      <w:r>
        <w:rPr>
          <w:rFonts w:ascii="arial" w:eastAsia="arial" w:hAnsi="arial" w:cs="arial"/>
          <w:b/>
          <w:i/>
          <w:color w:val="000000"/>
          <w:sz w:val="20"/>
          <w:lang w:val="en-US" w:eastAsia="en-US" w:bidi="ar-SA"/>
        </w:rPr>
        <w:t>Milina</w:t>
      </w:r>
      <w:r>
        <w:rPr>
          <w:rFonts w:ascii="arial" w:eastAsia="arial" w:hAnsi="arial" w:cs="arial"/>
          <w:color w:val="000000"/>
          <w:sz w:val="20"/>
          <w:lang w:val="en-US" w:eastAsia="en-US" w:bidi="ar-SA"/>
        </w:rPr>
        <w:t xml:space="preserve">, namely that there should be medical justification for a cost of future care expense, and the expense must be reasonable. In this sense, the inquiry is more directed to the fact-based determination of whether each individual item is medically justified, rather than approaching the question from a purely functional analysis of whether a particular item will make the plaintiff whole again. The difference is in many respects semantic, but the former question maintains the focus on the pecuniary loss aspect of the cost of future care, and helps to prevent the Court from extending the award to fulfill the non-pecuniary goal of providing solace for what has been lost. Even in </w:t>
      </w:r>
      <w:r>
        <w:rPr>
          <w:rFonts w:ascii="arial" w:eastAsia="arial" w:hAnsi="arial" w:cs="arial"/>
          <w:b/>
          <w:i/>
          <w:color w:val="000000"/>
          <w:sz w:val="20"/>
          <w:lang w:val="en-US" w:eastAsia="en-US" w:bidi="ar-SA"/>
        </w:rPr>
        <w:t>Andrews</w:t>
      </w:r>
      <w:r>
        <w:rPr>
          <w:rFonts w:ascii="arial" w:eastAsia="arial" w:hAnsi="arial" w:cs="arial"/>
          <w:color w:val="000000"/>
          <w:sz w:val="20"/>
          <w:lang w:val="en-US" w:eastAsia="en-US" w:bidi="ar-SA"/>
        </w:rPr>
        <w:t xml:space="preserve">, Dickson, J. recognized that </w:t>
      </w:r>
      <w:r>
        <w:rPr>
          <w:rFonts w:ascii="arial" w:eastAsia="arial" w:hAnsi="arial" w:cs="arial"/>
          <w:i/>
          <w:color w:val="000000"/>
          <w:sz w:val="20"/>
          <w:lang w:val="en-US" w:eastAsia="en-US" w:bidi="ar-SA"/>
        </w:rPr>
        <w:t>restitutio in integrum</w:t>
      </w:r>
      <w:r>
        <w:rPr>
          <w:rFonts w:ascii="arial" w:eastAsia="arial" w:hAnsi="arial" w:cs="arial"/>
          <w:color w:val="000000"/>
          <w:sz w:val="20"/>
          <w:lang w:val="en-US" w:eastAsia="en-US" w:bidi="ar-SA"/>
        </w:rPr>
        <w:t xml:space="preserve"> was not possible (at para. 25). If the plaintiff fails to demonstrate that a particular future care item is medically justified, the plaintiff in essence has failed to prove his damages, and therefore cannot receive compensation on that ground. That said, the analysis of what is 'medically justified' is not as narrow as what is 'medically necessary', and all of the parties agree with this proposition.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311</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Jacobsen v. Nike Canada Ltd.</w:t>
      </w:r>
      <w:r>
        <w:rPr>
          <w:rFonts w:ascii="arial" w:eastAsia="arial" w:hAnsi="arial" w:cs="arial"/>
          <w:color w:val="000000"/>
          <w:sz w:val="20"/>
          <w:lang w:val="en-US" w:eastAsia="en-US" w:bidi="ar-SA"/>
        </w:rPr>
        <w:t xml:space="preserve"> </w:t>
      </w:r>
      <w:hyperlink r:id="rId312" w:history="1">
        <w:r>
          <w:rPr>
            <w:rFonts w:ascii="arial" w:eastAsia="arial" w:hAnsi="arial" w:cs="arial"/>
            <w:i/>
            <w:color w:val="0077CC"/>
            <w:sz w:val="20"/>
            <w:u w:val="single"/>
            <w:shd w:val="clear" w:color="auto" w:fill="FFFFFF"/>
            <w:lang w:val="en-US" w:eastAsia="en-US" w:bidi="ar-SA"/>
          </w:rPr>
          <w:t>(1996), 19 B.C.L.R. (3d) 63</w:t>
        </w:r>
      </w:hyperlink>
      <w:r>
        <w:rPr>
          <w:rFonts w:ascii="arial" w:eastAsia="arial" w:hAnsi="arial" w:cs="arial"/>
          <w:color w:val="000000"/>
          <w:sz w:val="20"/>
          <w:lang w:val="en-US" w:eastAsia="en-US" w:bidi="ar-SA"/>
        </w:rPr>
        <w:t xml:space="preserve">, </w:t>
      </w:r>
      <w:hyperlink r:id="rId312" w:history="1">
        <w:r>
          <w:rPr>
            <w:rFonts w:ascii="arial" w:eastAsia="arial" w:hAnsi="arial" w:cs="arial"/>
            <w:i/>
            <w:color w:val="0077CC"/>
            <w:sz w:val="20"/>
            <w:u w:val="single"/>
            <w:shd w:val="clear" w:color="auto" w:fill="FFFFFF"/>
            <w:lang w:val="en-US" w:eastAsia="en-US" w:bidi="ar-SA"/>
          </w:rPr>
          <w:t>133 D.L.R. (4th) 377</w:t>
        </w:r>
      </w:hyperlink>
      <w:r>
        <w:rPr>
          <w:rFonts w:ascii="arial" w:eastAsia="arial" w:hAnsi="arial" w:cs="arial"/>
          <w:color w:val="000000"/>
          <w:sz w:val="20"/>
          <w:lang w:val="en-US" w:eastAsia="en-US" w:bidi="ar-SA"/>
        </w:rPr>
        <w:t xml:space="preserve"> (S.C.), the future cost of care assessments had been provided by a rehabilitation expert with a background in nursing. The defence argued that the </w:t>
      </w:r>
      <w:r>
        <w:rPr>
          <w:rFonts w:ascii="arial" w:eastAsia="arial" w:hAnsi="arial" w:cs="arial"/>
          <w:b/>
          <w:i/>
          <w:color w:val="000000"/>
          <w:sz w:val="20"/>
          <w:lang w:val="en-US" w:eastAsia="en-US" w:bidi="ar-SA"/>
        </w:rPr>
        <w:t>Milina</w:t>
      </w:r>
      <w:r>
        <w:rPr>
          <w:rFonts w:ascii="arial" w:eastAsia="arial" w:hAnsi="arial" w:cs="arial"/>
          <w:color w:val="000000"/>
          <w:sz w:val="20"/>
          <w:lang w:val="en-US" w:eastAsia="en-US" w:bidi="ar-SA"/>
        </w:rPr>
        <w:t xml:space="preserve"> test requires that a medical doctor provide the evidence on which the assessment of damages for future care is based. Levine J. rejected the defence argument, stating:</w:t>
      </w:r>
      <w:r>
        <w:rPr>
          <w:rFonts w:ascii="arial" w:eastAsia="arial" w:hAnsi="arial" w:cs="arial"/>
          <w:sz w:val="20"/>
          <w:lang w:val="en-US" w:eastAsia="en-US" w:bidi="ar-SA"/>
        </w:rPr>
        <w:cr/>
      </w:r>
    </w:p>
    <w:p>
      <w:pPr>
        <w:numPr>
          <w:numId w:val="6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My reading of the test in </w:t>
      </w:r>
      <w:r>
        <w:rPr>
          <w:rFonts w:ascii="arial" w:eastAsia="arial" w:hAnsi="arial" w:cs="arial"/>
          <w:b/>
          <w:i/>
          <w:color w:val="000000"/>
          <w:sz w:val="20"/>
          <w:lang w:val="en-US" w:eastAsia="en-US" w:bidi="ar-SA"/>
        </w:rPr>
        <w:t>Milina v. Bartsch</w:t>
      </w:r>
      <w:r>
        <w:rPr>
          <w:rFonts w:ascii="arial" w:eastAsia="arial" w:hAnsi="arial" w:cs="arial"/>
          <w:color w:val="000000"/>
          <w:sz w:val="20"/>
          <w:lang w:val="en-US" w:eastAsia="en-US" w:bidi="ar-SA"/>
        </w:rPr>
        <w:t xml:space="preserve"> in the context in which it is set out is that the cost of future care that may be awarded as damages must relate to the plaintiff's medical needs and not simply improve the plaintiff's enjoyment of life. McLachlin J. accepted the defendants' position in that case, which she summarized at page 83 of her reasons,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To the extent that money can be used to sustain or improve the mental or physical health of the plaintiff, it should be awarded under the head of cost of future care. But insofar as it serves only as solace by providing substitute pleasures, it falls under the head of non-pecuniary loss, not cost of future care, the defendants submit.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distinction is important, because damages for non-pecuniary loss, unlike damages for cost of future care, are limited by the so-called '$100,000 limit'.</w:t>
      </w:r>
    </w:p>
    <w:p>
      <w:pPr>
        <w:numPr>
          <w:numId w:val="7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test she enunciated does not, in my view, require that the evidence of the specific care that is required by the plaintiff be provided by a medical doctor. In </w:t>
      </w:r>
      <w:r>
        <w:rPr>
          <w:rFonts w:ascii="arial" w:eastAsia="arial" w:hAnsi="arial" w:cs="arial"/>
          <w:b/>
          <w:i/>
          <w:color w:val="000000"/>
          <w:sz w:val="20"/>
          <w:lang w:val="en-US" w:eastAsia="en-US" w:bidi="ar-SA"/>
        </w:rPr>
        <w:t>Milina v. Bartsch</w:t>
      </w:r>
      <w:r>
        <w:rPr>
          <w:rFonts w:ascii="arial" w:eastAsia="arial" w:hAnsi="arial" w:cs="arial"/>
          <w:color w:val="000000"/>
          <w:sz w:val="20"/>
          <w:lang w:val="en-US" w:eastAsia="en-US" w:bidi="ar-SA"/>
        </w:rPr>
        <w:t>, McLachlin J. accepted the evidence of a rehabilitation expert as to the type of care that should be provided.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312</w:t>
      </w:r>
      <w:r>
        <w:rPr>
          <w:rFonts w:ascii="arial" w:eastAsia="arial" w:hAnsi="arial" w:cs="arial"/>
          <w:color w:val="000000"/>
          <w:sz w:val="20"/>
          <w:lang w:val="en-US" w:eastAsia="en-US" w:bidi="ar-SA"/>
        </w:rPr>
        <w:t>  Levine J. accepted that the rehabilitation consultant possessed the experience, skill and training to provide expert evidence concerning the specific care required to sustain or improve the mental or physical health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313</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Jacobsen</w:t>
      </w:r>
      <w:r>
        <w:rPr>
          <w:rFonts w:ascii="arial" w:eastAsia="arial" w:hAnsi="arial" w:cs="arial"/>
          <w:color w:val="000000"/>
          <w:sz w:val="20"/>
          <w:lang w:val="en-US" w:eastAsia="en-US" w:bidi="ar-SA"/>
        </w:rPr>
        <w:t xml:space="preserve"> case was followed in </w:t>
      </w:r>
      <w:r>
        <w:rPr>
          <w:rFonts w:ascii="arial" w:eastAsia="arial" w:hAnsi="arial" w:cs="arial"/>
          <w:b/>
          <w:i/>
          <w:color w:val="000000"/>
          <w:sz w:val="20"/>
          <w:lang w:val="en-US" w:eastAsia="en-US" w:bidi="ar-SA"/>
        </w:rPr>
        <w:t>Frers v. DeMoulin</w:t>
      </w:r>
      <w:r>
        <w:rPr>
          <w:rFonts w:ascii="arial" w:eastAsia="arial" w:hAnsi="arial" w:cs="arial"/>
          <w:color w:val="000000"/>
          <w:sz w:val="20"/>
          <w:lang w:val="en-US" w:eastAsia="en-US" w:bidi="ar-SA"/>
        </w:rPr>
        <w:t xml:space="preserve">, </w:t>
      </w:r>
      <w:hyperlink r:id="rId86" w:history="1">
        <w:r>
          <w:rPr>
            <w:rFonts w:ascii="arial" w:eastAsia="arial" w:hAnsi="arial" w:cs="arial"/>
            <w:i/>
            <w:color w:val="0077CC"/>
            <w:sz w:val="20"/>
            <w:u w:val="single"/>
            <w:shd w:val="clear" w:color="auto" w:fill="FFFFFF"/>
            <w:lang w:val="en-US" w:eastAsia="en-US" w:bidi="ar-SA"/>
          </w:rPr>
          <w:t>2002 BCSC 408</w:t>
        </w:r>
      </w:hyperlink>
      <w:r>
        <w:rPr>
          <w:rFonts w:ascii="arial" w:eastAsia="arial" w:hAnsi="arial" w:cs="arial"/>
          <w:color w:val="000000"/>
          <w:sz w:val="20"/>
          <w:lang w:val="en-US" w:eastAsia="en-US" w:bidi="ar-SA"/>
        </w:rPr>
        <w:t xml:space="preserve">, </w:t>
      </w:r>
      <w:hyperlink r:id="rId86" w:history="1">
        <w:r>
          <w:rPr>
            <w:rFonts w:ascii="arial" w:eastAsia="arial" w:hAnsi="arial" w:cs="arial"/>
            <w:i/>
            <w:color w:val="0077CC"/>
            <w:sz w:val="20"/>
            <w:u w:val="single"/>
            <w:shd w:val="clear" w:color="auto" w:fill="FFFFFF"/>
            <w:lang w:val="en-US" w:eastAsia="en-US" w:bidi="ar-SA"/>
          </w:rPr>
          <w:t>1 B.C.L.R. (4th) 131</w:t>
        </w:r>
      </w:hyperlink>
      <w:r>
        <w:rPr>
          <w:rFonts w:ascii="arial" w:eastAsia="arial" w:hAnsi="arial" w:cs="arial"/>
          <w:color w:val="000000"/>
          <w:sz w:val="20"/>
          <w:lang w:val="en-US" w:eastAsia="en-US" w:bidi="ar-SA"/>
        </w:rPr>
        <w:t xml:space="preserve"> at para. 188, where Smith J. ruled that it was not necessary to have the evidence of the future care requirements confirmed by a medical doctor.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314</w:t>
      </w:r>
      <w:r>
        <w:rPr>
          <w:rFonts w:ascii="arial" w:eastAsia="arial" w:hAnsi="arial" w:cs="arial"/>
          <w:color w:val="000000"/>
          <w:sz w:val="20"/>
          <w:lang w:val="en-US" w:eastAsia="en-US" w:bidi="ar-SA"/>
        </w:rPr>
        <w:t xml:space="preserve">  In this case, the court is not faced with a choice between institutionalization and home care. However, the court must decide whether Eric should receive full compensation in the sense that all future care costs which the court deems to be medically justified will be provided for, or whether Eric should be forced to "make do" with government subsidized care and be compensated only for those future care costs which fall outside the realm of "the system". That issue was settled in </w:t>
      </w:r>
      <w:r>
        <w:rPr>
          <w:rFonts w:ascii="arial" w:eastAsia="arial" w:hAnsi="arial" w:cs="arial"/>
          <w:b/>
          <w:i/>
          <w:color w:val="000000"/>
          <w:sz w:val="20"/>
          <w:lang w:val="en-US" w:eastAsia="en-US" w:bidi="ar-SA"/>
        </w:rPr>
        <w:t>Andrews</w:t>
      </w:r>
      <w:r>
        <w:rPr>
          <w:rFonts w:ascii="arial" w:eastAsia="arial" w:hAnsi="arial" w:cs="arial"/>
          <w:color w:val="000000"/>
          <w:sz w:val="20"/>
          <w:lang w:val="en-US" w:eastAsia="en-US" w:bidi="ar-SA"/>
        </w:rPr>
        <w:t>, and the law is clear that a plaintiff is not required to "make do" with care that is less than that which is supported by the evidence because such an option is cheaper for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315</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Strachan (Guardian ad litem of) v. Reynolds</w:t>
      </w:r>
      <w:r>
        <w:rPr>
          <w:rFonts w:ascii="arial" w:eastAsia="arial" w:hAnsi="arial" w:cs="arial"/>
          <w:color w:val="000000"/>
          <w:sz w:val="20"/>
          <w:lang w:val="en-US" w:eastAsia="en-US" w:bidi="ar-SA"/>
        </w:rPr>
        <w:t xml:space="preserve">, </w:t>
      </w:r>
      <w:hyperlink r:id="rId313" w:history="1">
        <w:r>
          <w:rPr>
            <w:rFonts w:ascii="arial" w:eastAsia="arial" w:hAnsi="arial" w:cs="arial"/>
            <w:i/>
            <w:color w:val="0077CC"/>
            <w:sz w:val="20"/>
            <w:u w:val="single"/>
            <w:shd w:val="clear" w:color="auto" w:fill="FFFFFF"/>
            <w:lang w:val="en-US" w:eastAsia="en-US" w:bidi="ar-SA"/>
          </w:rPr>
          <w:t>2004 BCSC 915</w:t>
        </w:r>
      </w:hyperlink>
      <w:r>
        <w:rPr>
          <w:rFonts w:ascii="arial" w:eastAsia="arial" w:hAnsi="arial" w:cs="arial"/>
          <w:color w:val="000000"/>
          <w:sz w:val="20"/>
          <w:lang w:val="en-US" w:eastAsia="en-US" w:bidi="ar-SA"/>
        </w:rPr>
        <w:t xml:space="preserve"> at para. 643, Hood J. refused to take government funding into account in assessing the award for future care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316</w:t>
      </w:r>
      <w:r>
        <w:rPr>
          <w:rFonts w:ascii="arial" w:eastAsia="arial" w:hAnsi="arial" w:cs="arial"/>
          <w:color w:val="000000"/>
          <w:sz w:val="20"/>
          <w:lang w:val="en-US" w:eastAsia="en-US" w:bidi="ar-SA"/>
        </w:rPr>
        <w:t xml:space="preserve">  The issue came before this court again in </w:t>
      </w:r>
      <w:r>
        <w:rPr>
          <w:rFonts w:ascii="arial" w:eastAsia="arial" w:hAnsi="arial" w:cs="arial"/>
          <w:b/>
          <w:i/>
          <w:color w:val="000000"/>
          <w:sz w:val="20"/>
          <w:lang w:val="en-US" w:eastAsia="en-US" w:bidi="ar-SA"/>
        </w:rPr>
        <w:t>Fullerton (Guardian ad litem of) v. Delair</w:t>
      </w:r>
      <w:r>
        <w:rPr>
          <w:rFonts w:ascii="arial" w:eastAsia="arial" w:hAnsi="arial" w:cs="arial"/>
          <w:color w:val="000000"/>
          <w:sz w:val="20"/>
          <w:lang w:val="en-US" w:eastAsia="en-US" w:bidi="ar-SA"/>
        </w:rPr>
        <w:t xml:space="preserve">, </w:t>
      </w:r>
      <w:hyperlink r:id="rId314" w:history="1">
        <w:r>
          <w:rPr>
            <w:rFonts w:ascii="arial" w:eastAsia="arial" w:hAnsi="arial" w:cs="arial"/>
            <w:i/>
            <w:color w:val="0077CC"/>
            <w:sz w:val="20"/>
            <w:u w:val="single"/>
            <w:shd w:val="clear" w:color="auto" w:fill="FFFFFF"/>
            <w:lang w:val="en-US" w:eastAsia="en-US" w:bidi="ar-SA"/>
          </w:rPr>
          <w:t>2005 BCSC 204</w:t>
        </w:r>
      </w:hyperlink>
      <w:r>
        <w:rPr>
          <w:rFonts w:ascii="arial" w:eastAsia="arial" w:hAnsi="arial" w:cs="arial"/>
          <w:color w:val="000000"/>
          <w:sz w:val="20"/>
          <w:lang w:val="en-US" w:eastAsia="en-US" w:bidi="ar-SA"/>
        </w:rPr>
        <w:t>. In that case, the plaintiff was receiving funding through the "At Home Program" and the defence, relying on the evidence of Ms. Mageau, argued that where benefits are available through public programs, any award for future care costs should be reduced to account for such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317</w:t>
      </w:r>
      <w:r>
        <w:rPr>
          <w:rFonts w:ascii="arial" w:eastAsia="arial" w:hAnsi="arial" w:cs="arial"/>
          <w:color w:val="000000"/>
          <w:sz w:val="20"/>
          <w:lang w:val="en-US" w:eastAsia="en-US" w:bidi="ar-SA"/>
        </w:rPr>
        <w:t xml:space="preserve">  The trial court followed </w:t>
      </w:r>
      <w:r>
        <w:rPr>
          <w:rFonts w:ascii="arial" w:eastAsia="arial" w:hAnsi="arial" w:cs="arial"/>
          <w:b/>
          <w:i/>
          <w:color w:val="000000"/>
          <w:sz w:val="20"/>
          <w:lang w:val="en-US" w:eastAsia="en-US" w:bidi="ar-SA"/>
        </w:rPr>
        <w:t>Jones (Guardian ad litem of) v. Rostvig</w:t>
      </w:r>
      <w:r>
        <w:rPr>
          <w:rFonts w:ascii="arial" w:eastAsia="arial" w:hAnsi="arial" w:cs="arial"/>
          <w:color w:val="000000"/>
          <w:sz w:val="20"/>
          <w:lang w:val="en-US" w:eastAsia="en-US" w:bidi="ar-SA"/>
        </w:rPr>
        <w:t xml:space="preserve">, </w:t>
      </w:r>
      <w:hyperlink r:id="rId315" w:history="1">
        <w:r>
          <w:rPr>
            <w:rFonts w:ascii="arial" w:eastAsia="arial" w:hAnsi="arial" w:cs="arial"/>
            <w:i/>
            <w:color w:val="0077CC"/>
            <w:sz w:val="20"/>
            <w:u w:val="single"/>
            <w:shd w:val="clear" w:color="auto" w:fill="FFFFFF"/>
            <w:lang w:val="en-US" w:eastAsia="en-US" w:bidi="ar-SA"/>
          </w:rPr>
          <w:t>2003 BCSC 1222</w:t>
        </w:r>
      </w:hyperlink>
      <w:r>
        <w:rPr>
          <w:rFonts w:ascii="arial" w:eastAsia="arial" w:hAnsi="arial" w:cs="arial"/>
          <w:color w:val="000000"/>
          <w:sz w:val="20"/>
          <w:lang w:val="en-US" w:eastAsia="en-US" w:bidi="ar-SA"/>
        </w:rPr>
        <w:t xml:space="preserve">, </w:t>
      </w:r>
      <w:hyperlink r:id="rId315" w:history="1">
        <w:r>
          <w:rPr>
            <w:rFonts w:ascii="arial" w:eastAsia="arial" w:hAnsi="arial" w:cs="arial"/>
            <w:i/>
            <w:color w:val="0077CC"/>
            <w:sz w:val="20"/>
            <w:u w:val="single"/>
            <w:shd w:val="clear" w:color="auto" w:fill="FFFFFF"/>
            <w:lang w:val="en-US" w:eastAsia="en-US" w:bidi="ar-SA"/>
          </w:rPr>
          <w:t>17 C.C.L.T. (3d) 253</w:t>
        </w:r>
      </w:hyperlink>
      <w:r>
        <w:rPr>
          <w:rFonts w:ascii="arial" w:eastAsia="arial" w:hAnsi="arial" w:cs="arial"/>
          <w:color w:val="000000"/>
          <w:sz w:val="20"/>
          <w:lang w:val="en-US" w:eastAsia="en-US" w:bidi="ar-SA"/>
        </w:rPr>
        <w:t xml:space="preserve">, and, relying on the decision in </w:t>
      </w:r>
      <w:r>
        <w:rPr>
          <w:rFonts w:ascii="arial" w:eastAsia="arial" w:hAnsi="arial" w:cs="arial"/>
          <w:b/>
          <w:i/>
          <w:color w:val="000000"/>
          <w:sz w:val="20"/>
          <w:lang w:val="en-US" w:eastAsia="en-US" w:bidi="ar-SA"/>
        </w:rPr>
        <w:t>Krangle</w:t>
      </w:r>
      <w:r>
        <w:rPr>
          <w:rFonts w:ascii="arial" w:eastAsia="arial" w:hAnsi="arial" w:cs="arial"/>
          <w:color w:val="000000"/>
          <w:sz w:val="20"/>
          <w:lang w:val="en-US" w:eastAsia="en-US" w:bidi="ar-SA"/>
        </w:rPr>
        <w:t>, made its award on the following basis at para. 275: "[t]he defendants do not have to pay for services the government makes available to the plaintiffs, as they are not costs that the plaintiff must bear".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318</w:t>
      </w:r>
      <w:r>
        <w:rPr>
          <w:rFonts w:ascii="arial" w:eastAsia="arial" w:hAnsi="arial" w:cs="arial"/>
          <w:color w:val="000000"/>
          <w:sz w:val="20"/>
          <w:lang w:val="en-US" w:eastAsia="en-US" w:bidi="ar-SA"/>
        </w:rPr>
        <w:t xml:space="preserve">  The Court of Appeal, </w:t>
      </w:r>
      <w:hyperlink r:id="rId316" w:history="1">
        <w:r>
          <w:rPr>
            <w:rFonts w:ascii="arial" w:eastAsia="arial" w:hAnsi="arial" w:cs="arial"/>
            <w:i/>
            <w:color w:val="0077CC"/>
            <w:sz w:val="20"/>
            <w:u w:val="single"/>
            <w:shd w:val="clear" w:color="auto" w:fill="FFFFFF"/>
            <w:lang w:val="en-US" w:eastAsia="en-US" w:bidi="ar-SA"/>
          </w:rPr>
          <w:t>2006 BCCA 339</w:t>
        </w:r>
      </w:hyperlink>
      <w:r>
        <w:rPr>
          <w:rFonts w:ascii="arial" w:eastAsia="arial" w:hAnsi="arial" w:cs="arial"/>
          <w:color w:val="000000"/>
          <w:sz w:val="20"/>
          <w:lang w:val="en-US" w:eastAsia="en-US" w:bidi="ar-SA"/>
        </w:rPr>
        <w:t xml:space="preserve">, </w:t>
      </w:r>
      <w:hyperlink r:id="rId316" w:history="1">
        <w:r>
          <w:rPr>
            <w:rFonts w:ascii="arial" w:eastAsia="arial" w:hAnsi="arial" w:cs="arial"/>
            <w:i/>
            <w:color w:val="0077CC"/>
            <w:sz w:val="20"/>
            <w:u w:val="single"/>
            <w:shd w:val="clear" w:color="auto" w:fill="FFFFFF"/>
            <w:lang w:val="en-US" w:eastAsia="en-US" w:bidi="ar-SA"/>
          </w:rPr>
          <w:t>55 B.C.L.R. (4th) 252</w:t>
        </w:r>
      </w:hyperlink>
      <w:r>
        <w:rPr>
          <w:rFonts w:ascii="arial" w:eastAsia="arial" w:hAnsi="arial" w:cs="arial"/>
          <w:color w:val="000000"/>
          <w:sz w:val="20"/>
          <w:lang w:val="en-US" w:eastAsia="en-US" w:bidi="ar-SA"/>
        </w:rPr>
        <w:t>, did not agree:</w:t>
      </w:r>
      <w:r>
        <w:rPr>
          <w:rFonts w:ascii="arial" w:eastAsia="arial" w:hAnsi="arial" w:cs="arial"/>
          <w:sz w:val="20"/>
          <w:lang w:val="en-US" w:eastAsia="en-US" w:bidi="ar-SA"/>
        </w:rPr>
        <w:cr/>
      </w:r>
    </w:p>
    <w:p>
      <w:pPr>
        <w:numPr>
          <w:numId w:val="7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say the plaintiffs incurred no loss because of the benefits of the At Home Program, and they point to the fact that they are still receiving the benefit at the time of appeal.</w:t>
      </w:r>
    </w:p>
    <w:p>
      <w:pPr>
        <w:numPr>
          <w:numId w:val="7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defendants rely, as did the judge, on </w:t>
      </w:r>
      <w:r>
        <w:rPr>
          <w:rFonts w:ascii="arial" w:eastAsia="arial" w:hAnsi="arial" w:cs="arial"/>
          <w:b/>
          <w:i/>
          <w:color w:val="000000"/>
          <w:sz w:val="20"/>
          <w:lang w:val="en-US" w:eastAsia="en-US" w:bidi="ar-SA"/>
        </w:rPr>
        <w:t>Krangle</w:t>
      </w:r>
      <w:r>
        <w:rPr>
          <w:rFonts w:ascii="arial" w:eastAsia="arial" w:hAnsi="arial" w:cs="arial"/>
          <w:color w:val="000000"/>
          <w:sz w:val="20"/>
          <w:lang w:val="en-US" w:eastAsia="en-US" w:bidi="ar-SA"/>
        </w:rPr>
        <w:t xml:space="preserve"> to support their position. The facts were very different in </w:t>
      </w:r>
      <w:r>
        <w:rPr>
          <w:rFonts w:ascii="arial" w:eastAsia="arial" w:hAnsi="arial" w:cs="arial"/>
          <w:b/>
          <w:i/>
          <w:color w:val="000000"/>
          <w:sz w:val="20"/>
          <w:lang w:val="en-US" w:eastAsia="en-US" w:bidi="ar-SA"/>
        </w:rPr>
        <w:t>Krangle</w:t>
      </w:r>
      <w:r>
        <w:rPr>
          <w:rFonts w:ascii="arial" w:eastAsia="arial" w:hAnsi="arial" w:cs="arial"/>
          <w:color w:val="000000"/>
          <w:sz w:val="20"/>
          <w:lang w:val="en-US" w:eastAsia="en-US" w:bidi="ar-SA"/>
        </w:rPr>
        <w:t xml:space="preserve">. The parents of the plaintiff (who was born with Down's syndrome) were concerned about their liability under the </w:t>
      </w:r>
      <w:r>
        <w:rPr>
          <w:rFonts w:ascii="arial" w:eastAsia="arial" w:hAnsi="arial" w:cs="arial"/>
          <w:b/>
          <w:i/>
          <w:color w:val="000000"/>
          <w:sz w:val="20"/>
          <w:lang w:val="en-US" w:eastAsia="en-US" w:bidi="ar-SA"/>
        </w:rPr>
        <w:t>Family Relations Act</w:t>
      </w:r>
      <w:r>
        <w:rPr>
          <w:rFonts w:ascii="arial" w:eastAsia="arial" w:hAnsi="arial" w:cs="arial"/>
          <w:color w:val="000000"/>
          <w:sz w:val="20"/>
          <w:lang w:val="en-US" w:eastAsia="en-US" w:bidi="ar-SA"/>
        </w:rPr>
        <w:t xml:space="preserve">, </w:t>
      </w:r>
      <w:hyperlink r:id="rId317" w:history="1">
        <w:r>
          <w:rPr>
            <w:rFonts w:ascii="arial" w:eastAsia="arial" w:hAnsi="arial" w:cs="arial"/>
            <w:i/>
            <w:color w:val="0077CC"/>
            <w:sz w:val="20"/>
            <w:u w:val="single"/>
            <w:shd w:val="clear" w:color="auto" w:fill="FFFFFF"/>
            <w:lang w:val="en-US" w:eastAsia="en-US" w:bidi="ar-SA"/>
          </w:rPr>
          <w:t>R.S.B.C. 1996, c. 128</w:t>
        </w:r>
      </w:hyperlink>
      <w:r>
        <w:rPr>
          <w:rFonts w:ascii="arial" w:eastAsia="arial" w:hAnsi="arial" w:cs="arial"/>
          <w:color w:val="000000"/>
          <w:sz w:val="20"/>
          <w:lang w:val="en-US" w:eastAsia="en-US" w:bidi="ar-SA"/>
        </w:rPr>
        <w:t>, to support the child when he reached age 19. The evidence established that the appropriate placement at age 19 was in a group home for which the welfare scheme would pay. Chief Justice McLachlin referred to the scheme in this way: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[27] The next question was whether the Krangles would incur costs for Mervyn's adult care in the group home. At the time of trial, the cost of the group home -- $654 per month -- would have been paid for by the province under its welfare scheme, GAIN. This would be so even if the parents had the financial means to pay for it. The province's policy at the time of trial was to treat adult disabled persons as individuals, and absent assets of over $100,000, or possibly more, pay for the costs of group care through GAIN.</w:t>
      </w:r>
    </w:p>
    <w:p>
      <w:pPr>
        <w:numPr>
          <w:numId w:val="7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At Home Program is not mandated by legislation, unlike the GAIN welfare scheme. It is discretionary in nature and subject to competing budget allocations. As such, it is my opinion that it should be for the government, not the court, to decide who gets the benefit. By denying recovery for costs of the care provided by the At Home Program, the judge effectively created the condition for continued dependence on the program.</w:t>
      </w:r>
    </w:p>
    <w:p>
      <w:pPr>
        <w:numPr>
          <w:numId w:val="7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think it is too glib for the defendants to say that the plaintiffs have suffered no loss. It ignores the deeper question as to how the tort system should interact with government welfare schemes like the At Home Program. Which should come first in the analysis: tort assessment or availability of the program? The solution to this chicken and egg conundrum lies, I think, in appreciating the separate roles of the court and government.</w:t>
      </w:r>
    </w:p>
    <w:p>
      <w:pPr>
        <w:numPr>
          <w:numId w:val="7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one hand, the court determines 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principles whether the wrongful acts caused the plaintiff to need the care in question, and, in the ordinary course, the cost of care is quantified and an award follows.</w:t>
      </w:r>
    </w:p>
    <w:p>
      <w:pPr>
        <w:numPr>
          <w:numId w:val="7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other hand, the government establishes various schemes to relieve the suffering of needy members of society and sets rules for entitlement. Where, as here, the government designs the scheme for the benefit of those who do not have access to tort compensation, or who, like the plaintiffs, are awaiting the outcome of litigation, the court should respect the rules and make an award for costs in the ordinary way.</w:t>
      </w:r>
    </w:p>
    <w:p>
      <w:pPr>
        <w:numPr>
          <w:numId w:val="7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Such an outcome puts the burden of the loss on the wrongdoers and avoids depriving families on the waiting list who have no tort claim.</w:t>
      </w:r>
    </w:p>
    <w:p>
      <w:pPr>
        <w:numPr>
          <w:numId w:val="7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result, I would set aside the award for cost of future care and refer the matter to the Supreme Court for reassessment in accordance with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Care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319</w:t>
      </w:r>
      <w:r>
        <w:rPr>
          <w:rFonts w:ascii="arial" w:eastAsia="arial" w:hAnsi="arial" w:cs="arial"/>
          <w:color w:val="000000"/>
          <w:sz w:val="20"/>
          <w:lang w:val="en-US" w:eastAsia="en-US" w:bidi="ar-SA"/>
        </w:rPr>
        <w:t>  As already set out in detail, Eric has suffered permanent injuries which will affect all of his interactions with his surroundings for the rest of his life. According to Eric's treating paediatrician, Dr. Thiessen, Eric "will always need supervision and it is unlikely that he will be able to live independently. Further, he will continue to need special help in school and help with activities of daily living including dressing and eating".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320</w:t>
      </w:r>
      <w:r>
        <w:rPr>
          <w:rFonts w:ascii="arial" w:eastAsia="arial" w:hAnsi="arial" w:cs="arial"/>
          <w:color w:val="000000"/>
          <w:sz w:val="20"/>
          <w:lang w:val="en-US" w:eastAsia="en-US" w:bidi="ar-SA"/>
        </w:rPr>
        <w:t>  Dr. Kaushansky indicates that Eric is a child at "significant risk" who will need to be monitored on an ongoing basis. Further, Eric will require ongoing support as an adult for the entirety of his life given his physical, psychological/emotional, sexual and financial vulnerabilities. Further, it is unlikely that Eric will be able to live independently as an adult.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321</w:t>
      </w:r>
      <w:r>
        <w:rPr>
          <w:rFonts w:ascii="arial" w:eastAsia="arial" w:hAnsi="arial" w:cs="arial"/>
          <w:color w:val="000000"/>
          <w:sz w:val="20"/>
          <w:lang w:val="en-US" w:eastAsia="en-US" w:bidi="ar-SA"/>
        </w:rPr>
        <w:t>  Ms. Duke, a speech-language pathologist, is also of the view that Eric is unlikely to live independently given difficulties associated with communicating the details of an emergency quickly and understandably, as well as having difficulty with speech and language such that he might be taken advantage of by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322</w:t>
      </w:r>
      <w:r>
        <w:rPr>
          <w:rFonts w:ascii="arial" w:eastAsia="arial" w:hAnsi="arial" w:cs="arial"/>
          <w:color w:val="000000"/>
          <w:sz w:val="20"/>
          <w:lang w:val="en-US" w:eastAsia="en-US" w:bidi="ar-SA"/>
        </w:rPr>
        <w:t>  Dr. Hahn prefaces his comments regarding Eric's ability to live independently by stating: "Eric, currently, is still very young and that, to project 15 or more years ahead, is a very real challenge, with respect to projecting his future level of capability to live independently".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323</w:t>
      </w:r>
      <w:r>
        <w:rPr>
          <w:rFonts w:ascii="arial" w:eastAsia="arial" w:hAnsi="arial" w:cs="arial"/>
          <w:color w:val="000000"/>
          <w:sz w:val="20"/>
          <w:lang w:val="en-US" w:eastAsia="en-US" w:bidi="ar-SA"/>
        </w:rPr>
        <w:t>  Dr. Hahn goes on to state that Eric may be able to live independently but would require a residence with alterations to the kitchen and bathroom and that he would require assistance with community directed activities such as shopping and leisure pursuits and higher order financial transactions and planning.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324</w:t>
      </w:r>
      <w:r>
        <w:rPr>
          <w:rFonts w:ascii="arial" w:eastAsia="arial" w:hAnsi="arial" w:cs="arial"/>
          <w:color w:val="000000"/>
          <w:sz w:val="20"/>
          <w:lang w:val="en-US" w:eastAsia="en-US" w:bidi="ar-SA"/>
        </w:rPr>
        <w:t>  Dr. Thiessen, Dr. Kaushansky, Dr. Hahn and Ms. Duke looked at Eric's limitations from the perspective of their particular specialities. These experts gave consideration to specific deficits Eric possessed in coming to their conclusions regarding Eric's need for ongoing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325</w:t>
      </w:r>
      <w:r>
        <w:rPr>
          <w:rFonts w:ascii="arial" w:eastAsia="arial" w:hAnsi="arial" w:cs="arial"/>
          <w:color w:val="000000"/>
          <w:sz w:val="20"/>
          <w:lang w:val="en-US" w:eastAsia="en-US" w:bidi="ar-SA"/>
        </w:rPr>
        <w:t>  The care specialists, Moray McLean and Ruby Schuistad, retained on behalf of the plaintiff to determine Eric's actual care needs now and into the future performed their own assessments of Eric and considered all the deficits Eric possessed when providing their care estimates. It is easy to fall into the trap of considering each deficit in isolation of the others when trying to determine what Eric's future holds for him and what needs he will require to fully compensate him for those deficits.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326</w:t>
      </w:r>
      <w:r>
        <w:rPr>
          <w:rFonts w:ascii="arial" w:eastAsia="arial" w:hAnsi="arial" w:cs="arial"/>
          <w:color w:val="000000"/>
          <w:sz w:val="20"/>
          <w:lang w:val="en-US" w:eastAsia="en-US" w:bidi="ar-SA"/>
        </w:rPr>
        <w:t>  Counsel for the defendants questioned the plaintiff's care experts regarding whether other individuals who had a deficit similar to Eric could live independently in support of the proposition that Eric too could live independently. Regardless of whether or not other individuals with deficits are exceptions, what they are not are examples of individuals who have multiple deficits which makes caring for oneself and living independently virtually impossible.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327</w:t>
      </w:r>
      <w:r>
        <w:rPr>
          <w:rFonts w:ascii="arial" w:eastAsia="arial" w:hAnsi="arial" w:cs="arial"/>
          <w:color w:val="000000"/>
          <w:sz w:val="20"/>
          <w:lang w:val="en-US" w:eastAsia="en-US" w:bidi="ar-SA"/>
        </w:rPr>
        <w:t>  Eric's deficits and disabilities are clearly multi-factorial:</w:t>
      </w:r>
      <w:r>
        <w:rPr>
          <w:rFonts w:ascii="arial" w:eastAsia="arial" w:hAnsi="arial" w:cs="arial"/>
          <w:sz w:val="20"/>
          <w:lang w:val="en-US" w:eastAsia="en-US" w:bidi="ar-SA"/>
        </w:rPr>
        <w:cr/>
      </w:r>
    </w:p>
    <w:p>
      <w:pPr>
        <w:numPr>
          <w:numId w:val="7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Eric has permanent gross and fine motor impairments. These deficits are permanent. They will not improve.</w:t>
      </w:r>
    </w:p>
    <w:p>
      <w:pPr>
        <w:numPr>
          <w:numId w:val="7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Eric has significant and permanent speech and language deficits. These deficits are permanent and unlikely to improve.</w:t>
      </w:r>
    </w:p>
    <w:p>
      <w:pPr>
        <w:numPr>
          <w:numId w:val="7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Eric has significant stamina and fatigue issues which will not improve and will likely worsen as the cognitive and physical demands upon Eric increase as he ages. The more Eric is required to exert himself the more difficult it will be for Eric to take care of his personal tasks of daily living, be it dressing, cooking, shopping, cleaning or any other task that we all simply take for granted as being part of what it takes to get by.</w:t>
      </w:r>
    </w:p>
    <w:p>
      <w:pPr>
        <w:numPr>
          <w:numId w:val="7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Eric lacks the ability to communicate through written word.</w:t>
      </w:r>
    </w:p>
    <w:p>
      <w:pPr>
        <w:numPr>
          <w:numId w:val="7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Eric has extremely poor working memory. This makes virtually every aspect of one's ability to think, reason, or exercise judgment more challenging. Given Eric's apparent inability to learn even the four letters of his own name, Eric's ability to learn to read is in serious doubt. This would make the ability to read or remember warning labels on medication, expiry dates on food or instructions on how to change the filter on one's furnace difficult to understand and thus put Eric in a dangerous situation.</w:t>
      </w:r>
    </w:p>
    <w:p>
      <w:pPr>
        <w:numPr>
          <w:numId w:val="7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Eric has poor oral muscle control resulting in an inability to properly swallow food. This puts Eric at significant risk of choking, gagging, and aspirating.</w:t>
      </w:r>
    </w:p>
    <w:p>
      <w:pPr>
        <w:numPr>
          <w:numId w:val="7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Eric has poor mobility. Virtually every single expert who has gone to observe Eric in addition to every lay witness who testified at trial has observed Eric fall on at least one and in most cases multiple occasions. Eric's falls have been frequent and in some cases severe.</w:t>
      </w:r>
    </w:p>
    <w:p>
      <w:pPr>
        <w:numPr>
          <w:numId w:val="7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Eric exhibits poor impulse control and judgment in terms of inappropriate touching of peers and inappropriate reactions to friendly social interaction.</w:t>
      </w:r>
    </w:p>
    <w:p>
      <w:pPr>
        <w:numPr>
          <w:numId w:val="7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Eric has begun to become isolated from his peers which will impact Eric's psychosocial behaviour leading to bouts of depression and behavioural problems.</w:t>
      </w:r>
    </w:p>
    <w:p>
      <w:pPr>
        <w:numPr>
          <w:numId w:val="7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Eric has difficulties maintaining attention.</w:t>
      </w:r>
    </w:p>
    <w:p>
      <w:pPr>
        <w:numPr>
          <w:numId w:val="7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Eric has some risk for developing seizures. In the newborn period, Eric suffered from seizures which he appeared to have outgrown. However, very recently, at the age of six, Eric suffered a significant seizure. While medical opinion is divided on the relative likelihood of Eric experiencing ongoing epileptic seizures, his underlying brain injury predisposes him to this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Thus it is based on the culmination of all of Eric's problems that Eric needs the care set out in the reports of Ms. McLean, Ms. Schulstad and Ms. Duke. As stated by the developmental paediatric specialist retained on behalf of the defendants, Dr. O'Donnell, it is critical that Eric get as much care as possible now so as to try and minimize to the extent achievable the impact his deficits will have upon him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328</w:t>
      </w:r>
      <w:r>
        <w:rPr>
          <w:rFonts w:ascii="arial" w:eastAsia="arial" w:hAnsi="arial" w:cs="arial"/>
          <w:color w:val="000000"/>
          <w:sz w:val="20"/>
          <w:lang w:val="en-US" w:eastAsia="en-US" w:bidi="ar-SA"/>
        </w:rPr>
        <w:t xml:space="preserve">  Due to resource allocation issues, and administrative issues, the evidence clearly establishes that the school system, despite the best efforts of those working within it, is simply not capable of ensuring Eric's needs are met. Furthermore, the law as set out above establishes that a severely injured plaintiff need not rely on government or charitable handouts to "make do". As Dickson J. stated in </w:t>
      </w:r>
      <w:r>
        <w:rPr>
          <w:rFonts w:ascii="arial" w:eastAsia="arial" w:hAnsi="arial" w:cs="arial"/>
          <w:b/>
          <w:i/>
          <w:color w:val="000000"/>
          <w:sz w:val="20"/>
          <w:lang w:val="en-US" w:eastAsia="en-US" w:bidi="ar-SA"/>
        </w:rPr>
        <w:t>Andrews</w:t>
      </w:r>
      <w:r>
        <w:rPr>
          <w:rFonts w:ascii="arial" w:eastAsia="arial" w:hAnsi="arial" w:cs="arial"/>
          <w:color w:val="000000"/>
          <w:sz w:val="20"/>
          <w:lang w:val="en-US" w:eastAsia="en-US" w:bidi="ar-SA"/>
        </w:rPr>
        <w:t>, "justice requires something better".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329</w:t>
      </w:r>
      <w:r>
        <w:rPr>
          <w:rFonts w:ascii="arial" w:eastAsia="arial" w:hAnsi="arial" w:cs="arial"/>
          <w:color w:val="000000"/>
          <w:sz w:val="20"/>
          <w:lang w:val="en-US" w:eastAsia="en-US" w:bidi="ar-SA"/>
        </w:rPr>
        <w:t>  Even the defendants' expert, Dr. O'Donnell, when questioned regarding the various notations contained in her file acknowledged that the current education regime in British Columbia simply does not have the resources to take care of those in Eric's situation. She stated that the system was "stretched too thin".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330</w:t>
      </w:r>
      <w:r>
        <w:rPr>
          <w:rFonts w:ascii="arial" w:eastAsia="arial" w:hAnsi="arial" w:cs="arial"/>
          <w:color w:val="000000"/>
          <w:sz w:val="20"/>
          <w:lang w:val="en-US" w:eastAsia="en-US" w:bidi="ar-SA"/>
        </w:rPr>
        <w:t>  With respect to the defendants' care expert, Ms. Mageau, little, if any weight should be given to her opinions. I have concluded this after considering the numerous assumptions in her report. Ms. Mageau assumed:</w:t>
      </w:r>
      <w:r>
        <w:rPr>
          <w:rFonts w:ascii="arial" w:eastAsia="arial" w:hAnsi="arial" w:cs="arial"/>
          <w:sz w:val="20"/>
          <w:lang w:val="en-US" w:eastAsia="en-US" w:bidi="ar-SA"/>
        </w:rPr>
        <w:cr/>
      </w:r>
    </w:p>
    <w:p>
      <w:pPr>
        <w:numPr>
          <w:numId w:val="8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Eric has "normal cognition". She did not even consider Eric's significant problems with working memory or the likelihood he has serious learning disabilities;</w:t>
      </w:r>
    </w:p>
    <w:p>
      <w:pPr>
        <w:numPr>
          <w:numId w:val="8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anything Eric requires in school in the form of aids-be they service or equipment related-will be provided by the school system;</w:t>
      </w:r>
    </w:p>
    <w:p>
      <w:pPr>
        <w:numPr>
          <w:numId w:val="8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Eric will not require any assistance regarding his personal care needs;</w:t>
      </w:r>
    </w:p>
    <w:p>
      <w:pPr>
        <w:numPr>
          <w:numId w:val="8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Eric's gross motor function is "good";</w:t>
      </w:r>
    </w:p>
    <w:p>
      <w:pPr>
        <w:numPr>
          <w:numId w:val="8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Eric can be understood 75% to 80% of the time;</w:t>
      </w:r>
    </w:p>
    <w:p>
      <w:pPr>
        <w:numPr>
          <w:numId w:val="8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Eric's motor skills will improve; and</w:t>
      </w:r>
    </w:p>
    <w:p>
      <w:pPr>
        <w:numPr>
          <w:numId w:val="8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Eric would not require any assistance with cooking.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None of the foregoing assumptions upon which she bases her opinion are correct. In fact, the evidence presented at trial suggests that they are the opposite to which Ms. Mageau believes them to 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331</w:t>
      </w:r>
      <w:r>
        <w:rPr>
          <w:rFonts w:ascii="arial" w:eastAsia="arial" w:hAnsi="arial" w:cs="arial"/>
          <w:color w:val="000000"/>
          <w:sz w:val="20"/>
          <w:lang w:val="en-US" w:eastAsia="en-US" w:bidi="ar-SA"/>
        </w:rPr>
        <w:t>  In addition to making faulty assumptions, Ms. Mageau's testimony was at times lacking of any credibility. Ms. Mageau was asked whether she thought the $10 per hour rate she states a mature male would demand for assisting Eric with speech language exercises, learning, supervision, and taking out on outings, would be the same rate in six years. Ms. Mageau responded in the affirmative. Ms. Mageau went on to state that the $25 per hour rate for a housekeeper that she indicated would be an appropriate rate today would be the same rate applicable in 2081. This evidence was indicative of the approach Ms. Mageau took throughout her testimony and in her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332</w:t>
      </w:r>
      <w:r>
        <w:rPr>
          <w:rFonts w:ascii="arial" w:eastAsia="arial" w:hAnsi="arial" w:cs="arial"/>
          <w:color w:val="000000"/>
          <w:sz w:val="20"/>
          <w:lang w:val="en-US" w:eastAsia="en-US" w:bidi="ar-SA"/>
        </w:rPr>
        <w:t>  In addition to the faulty assumptions and the manner in which she testified, Ms. Mageau made no effort to conduct any follow up with individuals who assisted Eric to find out how he did throughout the balance of his kindergarten year, over the summer, or at the start of his current school year, did not attempt to follow up with Ms. Cojocaru or see Eric.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333</w:t>
      </w:r>
      <w:r>
        <w:rPr>
          <w:rFonts w:ascii="arial" w:eastAsia="arial" w:hAnsi="arial" w:cs="arial"/>
          <w:color w:val="000000"/>
          <w:sz w:val="20"/>
          <w:lang w:val="en-US" w:eastAsia="en-US" w:bidi="ar-SA"/>
        </w:rPr>
        <w:t>  With respect to the issue of follow up and the timing of the various expert assessments in general, the plaintiff's counsel submits that the assessments not only of Ms. Mageau but also of Dr. Joschko, Dr. Hill and Dr. O'Donnell were all ill timed and performed prematurely when Eric had just finished the first term of his first year in kindergarten. Very little academic work had been performed as of the date of their assessments. The teacher with whom they spoke had only worked with Eric for a few weeks. Eric had not even turned six years old. The therapists upon whose advice they relied had only worked with Eric for a very brief period of time. By way of example, Mike Hilliard, the physiotherapist who consults with the school and Eric had spent less than two hours with Eric when Dr. Joschko, Dr. O'Donnell, Dr. Hill and Ms. Mageau assessed Eric. Furthermore, despite Eric not even reaching his sixth birthday as of the date he was assessed by the defendants' experts, none of them did any follow up to see how Eric progressed or, as it turns out, did not progress in terms of his ability to learn, remember basic facts, or improve his ability to communicate and interact with his peers.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334</w:t>
      </w:r>
      <w:r>
        <w:rPr>
          <w:rFonts w:ascii="arial" w:eastAsia="arial" w:hAnsi="arial" w:cs="arial"/>
          <w:color w:val="000000"/>
          <w:sz w:val="20"/>
          <w:lang w:val="en-US" w:eastAsia="en-US" w:bidi="ar-SA"/>
        </w:rPr>
        <w:t>  By way of contrast, the experts on behalf of the plaintiff all assessed Eric at the conclusion of his first full year of school, saw Eric on multiple visits and in the case of Moray McLean, Dr. Kaushansky and Wendy Duke, all went back to Eric's school at the beginning of Grade 1 to observe Eric again and speak with those directly involved in his supervision and care. The evidentiary foundations upon which the plaintiff's damages experts base their damages opinions are more sound.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335</w:t>
      </w:r>
      <w:r>
        <w:rPr>
          <w:rFonts w:ascii="arial" w:eastAsia="arial" w:hAnsi="arial" w:cs="arial"/>
          <w:color w:val="000000"/>
          <w:sz w:val="20"/>
          <w:lang w:val="en-US" w:eastAsia="en-US" w:bidi="ar-SA"/>
        </w:rPr>
        <w:t>  With respect to the government subsidized programs, which the defence would seek to have Eric rely on, the evidence clearly establishes that they are over-subscribed and under-resourced, and will simply not be sufficient to provide Eric with the future care that he requires.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336</w:t>
      </w:r>
      <w:r>
        <w:rPr>
          <w:rFonts w:ascii="arial" w:eastAsia="arial" w:hAnsi="arial" w:cs="arial"/>
          <w:color w:val="000000"/>
          <w:sz w:val="20"/>
          <w:lang w:val="en-US" w:eastAsia="en-US" w:bidi="ar-SA"/>
        </w:rPr>
        <w:t>  That the school system will not provide adequately for Eric's needs is already evident. A special seat had been requested midway through Eric's kindergarten year but did not arrive until after Eric began Grade 1. What did arrive was not what was required. According to Ms. MacLean, who visited the school and saw the chair, it as a simple wooden chair which had been recycled and which was not designed for Eric's needs. Mr. Hilliard agreed that the chair would have to be adjusted before it could be 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337</w:t>
      </w:r>
      <w:r>
        <w:rPr>
          <w:rFonts w:ascii="arial" w:eastAsia="arial" w:hAnsi="arial" w:cs="arial"/>
          <w:color w:val="000000"/>
          <w:sz w:val="20"/>
          <w:lang w:val="en-US" w:eastAsia="en-US" w:bidi="ar-SA"/>
        </w:rPr>
        <w:t>  Ms. Mageau, on behalf of the defendants, was of the view that Eric would receive all he needed in the way of computer equipment and learning aides from SET-BC, a Ministry of Education funded program which oversees requests for technical equipment for children with special needs. Ms. MacLean, on the other hand, who sits on the committee of SET-BC, does not agree. Ms. MacLean described the process involved in submitting the necessary applications as being cumbersome and testified that not all applications are accepted. If an application is accepted, it would usually take two to three months before an item is provided. Further, if an item such as a computer were to be approved, it would not be provided with essential accessories, such as a scanner or printer. Even the "trackball mouse" which has been essential in assisting Eric to utilize a computer was not provided. In fact, Ms. Cojocaru was asked to send Eric's trackball mouse from home, to assist him at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338</w:t>
      </w:r>
      <w:r>
        <w:rPr>
          <w:rFonts w:ascii="arial" w:eastAsia="arial" w:hAnsi="arial" w:cs="arial"/>
          <w:color w:val="000000"/>
          <w:sz w:val="20"/>
          <w:lang w:val="en-US" w:eastAsia="en-US" w:bidi="ar-SA"/>
        </w:rPr>
        <w:t>  To fully compensate Eric, his future care needs are substantial. However, the expense associated with the care items matters not. What does matter is to ensure that Eric's needs are met and continue to be met throughout his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339</w:t>
      </w:r>
      <w:r>
        <w:rPr>
          <w:rFonts w:ascii="arial" w:eastAsia="arial" w:hAnsi="arial" w:cs="arial"/>
          <w:color w:val="000000"/>
          <w:sz w:val="20"/>
          <w:lang w:val="en-US" w:eastAsia="en-US" w:bidi="ar-SA"/>
        </w:rPr>
        <w:t>  The total claim for future cost of care is based on the reports of Ms. Schulstad, Ms. McLean and Ms. Duke. The present value of the cost of care recommended by Ms. Schulstad, Ms. McLean and Ms. Duke is set out in the report of Mr. Benning dated August 1, 2007 in the sum of $3,806,005.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340</w:t>
      </w:r>
      <w:r>
        <w:rPr>
          <w:rFonts w:ascii="arial" w:eastAsia="arial" w:hAnsi="arial" w:cs="arial"/>
          <w:color w:val="000000"/>
          <w:sz w:val="20"/>
          <w:lang w:val="en-US" w:eastAsia="en-US" w:bidi="ar-SA"/>
        </w:rPr>
        <w:t>  At the time of trial, Eric was a child in Grade 1. Attempting to predict the cost of Eric's future care is the most difficult aspect of this case. The evidence and submissions of the defendants are based on faulty assumptions. As I noted earlier, these assumptions in the care expert's report of Ms. Mageau simply are not consistent with Eric's current level of functioning as I find it to be and as such the cost of future care reports of the defendants are woefully and completely inaccurate. That being said, the cost of future care report of the plaintiffs give little if any prospect for Eric's circumstances in relation to his future care improving. There is some evidence that with time Eric is able to learn certain tasks. Although I am convinced that Eric will never get over the disabilities which prohibit him from being competitively employed, such that he could earn even modest income to contribute to his expenses, I am convinced that with assistance, particularly at an early age, the long term future prospects for Eric are not as dire, and as such not as costly, as suggested in the cost of future care estimates of the plaintiffs. Eric has the great good fortune of having a dedicated and driven mother who will be his advocate and, with sufficient resources early on, will help Eric achieve the maximum that he can achieve in life and will help Eric achieve the maximum level of independence that is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341</w:t>
      </w:r>
      <w:r>
        <w:rPr>
          <w:rFonts w:ascii="arial" w:eastAsia="arial" w:hAnsi="arial" w:cs="arial"/>
          <w:color w:val="000000"/>
          <w:sz w:val="20"/>
          <w:lang w:val="en-US" w:eastAsia="en-US" w:bidi="ar-SA"/>
        </w:rPr>
        <w:t>  At this stage, it is virtually impossible to conclude to what extent Eric will achieve skills which will assist him in caring for himself in the future. However, now is the time for a decision to be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342</w:t>
      </w:r>
      <w:r>
        <w:rPr>
          <w:rFonts w:ascii="arial" w:eastAsia="arial" w:hAnsi="arial" w:cs="arial"/>
          <w:color w:val="000000"/>
          <w:sz w:val="20"/>
          <w:lang w:val="en-US" w:eastAsia="en-US" w:bidi="ar-SA"/>
        </w:rPr>
        <w:t>  The cost of care recommended by the plaintiff's experts is $3,806,005. Based on my conclusion that with assistance early on, Eric should be able to achieve some level of skill which will assist in his future care, it is in my view appropriate to apply a 30% contingency to this amount and as such, I would assess costs of future care at $2,665,000.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 Trust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343</w:t>
      </w:r>
      <w:r>
        <w:rPr>
          <w:rFonts w:ascii="arial" w:eastAsia="arial" w:hAnsi="arial" w:cs="arial"/>
          <w:color w:val="000000"/>
          <w:sz w:val="20"/>
          <w:lang w:val="en-US" w:eastAsia="en-US" w:bidi="ar-SA"/>
        </w:rPr>
        <w:t>  Since Eric's birth, Ms. Cojocaru has devoted her life and in essence has given up her own life for that of her son. She has forgone a career, lost her husband and believes she is losing her eldest son all due to the time she must devote to caring for Eric.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344</w:t>
      </w:r>
      <w:r>
        <w:rPr>
          <w:rFonts w:ascii="arial" w:eastAsia="arial" w:hAnsi="arial" w:cs="arial"/>
          <w:color w:val="000000"/>
          <w:sz w:val="20"/>
          <w:lang w:val="en-US" w:eastAsia="en-US" w:bidi="ar-SA"/>
        </w:rPr>
        <w:t>  As a single mother, the family is almost entirely dependent on Ms. Cojocaru's income. Mr. Cojocaru has left the marriage and returned to Romania.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345</w:t>
      </w:r>
      <w:r>
        <w:rPr>
          <w:rFonts w:ascii="arial" w:eastAsia="arial" w:hAnsi="arial" w:cs="arial"/>
          <w:color w:val="000000"/>
          <w:sz w:val="20"/>
          <w:lang w:val="en-US" w:eastAsia="en-US" w:bidi="ar-SA"/>
        </w:rPr>
        <w:t>  The law is clear that damages are to be awarded for voluntary services performed by third parties including family members. Professor Cooper-Stephenson writes at 181: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all cases, proper quantification should reflect the true and reasonable value of the services performed, taking into account the time, quality, and nature of these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346</w:t>
      </w:r>
      <w:r>
        <w:rPr>
          <w:rFonts w:ascii="arial" w:eastAsia="arial" w:hAnsi="arial" w:cs="arial"/>
          <w:color w:val="000000"/>
          <w:sz w:val="20"/>
          <w:lang w:val="en-US" w:eastAsia="en-US" w:bidi="ar-SA"/>
        </w:rPr>
        <w:t>  Professor Cooper-Stephenson sets out three alternative methods to assess the valuation of these services at 181-182 of his text:</w:t>
      </w:r>
      <w:r>
        <w:rPr>
          <w:rFonts w:ascii="arial" w:eastAsia="arial" w:hAnsi="arial" w:cs="arial"/>
          <w:sz w:val="20"/>
          <w:lang w:val="en-US" w:eastAsia="en-US" w:bidi="ar-SA"/>
        </w:rPr>
        <w:cr/>
      </w:r>
    </w:p>
    <w:p>
      <w:pPr>
        <w:numPr>
          <w:numId w:val="8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catalogue of services;</w:t>
      </w:r>
    </w:p>
    <w:p>
      <w:pPr>
        <w:numPr>
          <w:numId w:val="8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replacement cost; and</w:t>
      </w:r>
    </w:p>
    <w:p>
      <w:pPr>
        <w:numPr>
          <w:numId w:val="8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foregone income: opportunity cost.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347</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Brennan v. Singh</w:t>
      </w:r>
      <w:r>
        <w:rPr>
          <w:rFonts w:ascii="arial" w:eastAsia="arial" w:hAnsi="arial" w:cs="arial"/>
          <w:color w:val="000000"/>
          <w:sz w:val="20"/>
          <w:lang w:val="en-US" w:eastAsia="en-US" w:bidi="ar-SA"/>
        </w:rPr>
        <w:t xml:space="preserve">, </w:t>
      </w:r>
      <w:hyperlink r:id="rId318" w:history="1">
        <w:r>
          <w:rPr>
            <w:rFonts w:ascii="arial" w:eastAsia="arial" w:hAnsi="arial" w:cs="arial"/>
            <w:i/>
            <w:color w:val="0077CC"/>
            <w:sz w:val="20"/>
            <w:u w:val="single"/>
            <w:shd w:val="clear" w:color="auto" w:fill="FFFFFF"/>
            <w:lang w:val="en-US" w:eastAsia="en-US" w:bidi="ar-SA"/>
          </w:rPr>
          <w:t>[1999] B.C.J. No. 520</w:t>
        </w:r>
      </w:hyperlink>
      <w:r>
        <w:rPr>
          <w:rFonts w:ascii="arial" w:eastAsia="arial" w:hAnsi="arial" w:cs="arial"/>
          <w:color w:val="000000"/>
          <w:sz w:val="20"/>
          <w:lang w:val="en-US" w:eastAsia="en-US" w:bidi="ar-SA"/>
        </w:rPr>
        <w:t xml:space="preserve"> (S.C.), this court reviewed the factors to consider in the assessment of an "in trust claim":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93 In the circumstances of this case there are advanced on behalf of the plaintiff Mrs. Brennan, "in trust" for Mr. Brennan, substantial claims related to the services rendered by Mr. Brennan for her care, past and prospective. The claims are in the amounts of $110,272 and $77,438, respectively.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94 The subject of "in trust" claims has been given considerable attention in recent years, including, particularly, where the services in question have been rendered within the perspective of a husband/wife relationship or by a child or relative of the family. Here, the relationship is marital and brings into consideration the usual factors of such a relationship.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95 In my view, it is useful to review briefly the factors which are considered in the assessment of such claims. They are:</w:t>
      </w:r>
    </w:p>
    <w:p>
      <w:pPr>
        <w:numPr>
          <w:numId w:val="8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services replace services necessary for the care of the plaintiff;</w:t>
      </w:r>
    </w:p>
    <w:p>
      <w:pPr>
        <w:numPr>
          <w:numId w:val="8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services are rendered by a family member, here the spouse, are they over and above what would be expected from the marital relationship?</w:t>
      </w:r>
    </w:p>
    <w:p>
      <w:pPr>
        <w:numPr>
          <w:numId w:val="8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quantification should reflect the true and reasonable value of the services performed taking into account the time, quality and nature of those services. In this regard, the damages should reflect the wage of a substitute caregiver. There should not be a discounting or undervaluation of such services because of the nature of the relationship;</w:t>
      </w:r>
    </w:p>
    <w:p>
      <w:pPr>
        <w:numPr>
          <w:numId w:val="8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no longer necessary that the person providing the services has foregone other income and there need not be payment for such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348</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Fullerton</w:t>
      </w:r>
      <w:r>
        <w:rPr>
          <w:rFonts w:ascii="arial" w:eastAsia="arial" w:hAnsi="arial" w:cs="arial"/>
          <w:color w:val="000000"/>
          <w:sz w:val="20"/>
          <w:lang w:val="en-US" w:eastAsia="en-US" w:bidi="ar-SA"/>
        </w:rPr>
        <w:t>, the trial judge also reviewed the law relating to "in trust" claims, at para. 343: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lang w:val="en-US" w:eastAsia="en-US" w:bidi="ar-SA"/>
        </w:rPr>
        <w:t>Brito (Guardian ad litem of) v. Woolley</w:t>
      </w:r>
      <w:r>
        <w:rPr>
          <w:rFonts w:ascii="arial" w:eastAsia="arial" w:hAnsi="arial" w:cs="arial"/>
          <w:color w:val="000000"/>
          <w:sz w:val="20"/>
          <w:lang w:val="en-US" w:eastAsia="en-US" w:bidi="ar-SA"/>
        </w:rPr>
        <w:t xml:space="preserve">, </w:t>
      </w:r>
      <w:hyperlink r:id="rId272" w:history="1">
        <w:r>
          <w:rPr>
            <w:rFonts w:ascii="arial" w:eastAsia="arial" w:hAnsi="arial" w:cs="arial"/>
            <w:i/>
            <w:color w:val="0077CC"/>
            <w:sz w:val="20"/>
            <w:u w:val="single"/>
            <w:shd w:val="clear" w:color="auto" w:fill="FFFFFF"/>
            <w:lang w:val="en-US" w:eastAsia="en-US" w:bidi="ar-SA"/>
          </w:rPr>
          <w:t>[2001] B.C.J. No. 1692</w:t>
        </w:r>
      </w:hyperlink>
      <w:r>
        <w:rPr>
          <w:rFonts w:ascii="arial" w:eastAsia="arial" w:hAnsi="arial" w:cs="arial"/>
          <w:color w:val="000000"/>
          <w:sz w:val="20"/>
          <w:lang w:val="en-US" w:eastAsia="en-US" w:bidi="ar-SA"/>
        </w:rPr>
        <w:t xml:space="preserve">, </w:t>
      </w:r>
      <w:hyperlink r:id="rId272" w:history="1">
        <w:r>
          <w:rPr>
            <w:rFonts w:ascii="arial" w:eastAsia="arial" w:hAnsi="arial" w:cs="arial"/>
            <w:i/>
            <w:color w:val="0077CC"/>
            <w:sz w:val="20"/>
            <w:u w:val="single"/>
            <w:shd w:val="clear" w:color="auto" w:fill="FFFFFF"/>
            <w:lang w:val="en-US" w:eastAsia="en-US" w:bidi="ar-SA"/>
          </w:rPr>
          <w:t>2001 BCSC 1178</w:t>
        </w:r>
      </w:hyperlink>
      <w:r>
        <w:rPr>
          <w:rFonts w:ascii="arial" w:eastAsia="arial" w:hAnsi="arial" w:cs="arial"/>
          <w:color w:val="000000"/>
          <w:sz w:val="20"/>
          <w:lang w:val="en-US" w:eastAsia="en-US" w:bidi="ar-SA"/>
        </w:rPr>
        <w:t xml:space="preserve">, aff'd </w:t>
      </w:r>
      <w:hyperlink r:id="rId273" w:history="1">
        <w:r>
          <w:rPr>
            <w:rFonts w:ascii="arial" w:eastAsia="arial" w:hAnsi="arial" w:cs="arial"/>
            <w:i/>
            <w:color w:val="0077CC"/>
            <w:sz w:val="20"/>
            <w:u w:val="single"/>
            <w:shd w:val="clear" w:color="auto" w:fill="FFFFFF"/>
            <w:lang w:val="en-US" w:eastAsia="en-US" w:bidi="ar-SA"/>
          </w:rPr>
          <w:t>(2003) 16 B.C.L.R. (4th) 220</w:t>
        </w:r>
      </w:hyperlink>
      <w:r>
        <w:rPr>
          <w:rFonts w:ascii="arial" w:eastAsia="arial" w:hAnsi="arial" w:cs="arial"/>
          <w:color w:val="000000"/>
          <w:sz w:val="20"/>
          <w:lang w:val="en-US" w:eastAsia="en-US" w:bidi="ar-SA"/>
        </w:rPr>
        <w:t xml:space="preserve"> (C.A.), Sinclair Prowse J. articulated the principles to be applied in assessing an in-trust claim at para. 392:</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Such a claim is recoverable, provided that the claimed services are outside the normal duties of parents, that these services were needed because of his injuries, and that someone outside of the family would have been required to perform these services had his parents not done them: </w:t>
      </w:r>
      <w:r>
        <w:rPr>
          <w:rFonts w:ascii="arial" w:eastAsia="arial" w:hAnsi="arial" w:cs="arial"/>
          <w:b/>
          <w:i/>
          <w:color w:val="000000"/>
          <w:sz w:val="20"/>
          <w:lang w:val="en-US" w:eastAsia="en-US" w:bidi="ar-SA"/>
        </w:rPr>
        <w:t>Crane v. Worwood</w:t>
      </w:r>
      <w:r>
        <w:rPr>
          <w:rFonts w:ascii="arial" w:eastAsia="arial" w:hAnsi="arial" w:cs="arial"/>
          <w:color w:val="000000"/>
          <w:sz w:val="20"/>
          <w:lang w:val="en-US" w:eastAsia="en-US" w:bidi="ar-SA"/>
        </w:rPr>
        <w:t xml:space="preserve"> </w:t>
      </w:r>
      <w:hyperlink r:id="rId319" w:history="1">
        <w:r>
          <w:rPr>
            <w:rFonts w:ascii="arial" w:eastAsia="arial" w:hAnsi="arial" w:cs="arial"/>
            <w:i/>
            <w:color w:val="0077CC"/>
            <w:sz w:val="20"/>
            <w:u w:val="single"/>
            <w:shd w:val="clear" w:color="auto" w:fill="FFFFFF"/>
            <w:lang w:val="en-US" w:eastAsia="en-US" w:bidi="ar-SA"/>
          </w:rPr>
          <w:t>(1992), 65 B.C.L.R. (2d) 16</w:t>
        </w:r>
      </w:hyperlink>
      <w:r>
        <w:rPr>
          <w:rFonts w:ascii="arial" w:eastAsia="arial" w:hAnsi="arial" w:cs="arial"/>
          <w:color w:val="000000"/>
          <w:sz w:val="20"/>
          <w:lang w:val="en-US" w:eastAsia="en-US" w:bidi="ar-SA"/>
        </w:rPr>
        <w:t xml:space="preserve"> (S.C.); </w:t>
      </w:r>
      <w:r>
        <w:rPr>
          <w:rFonts w:ascii="arial" w:eastAsia="arial" w:hAnsi="arial" w:cs="arial"/>
          <w:b/>
          <w:i/>
          <w:color w:val="000000"/>
          <w:sz w:val="20"/>
          <w:lang w:val="en-US" w:eastAsia="en-US" w:bidi="ar-SA"/>
        </w:rPr>
        <w:t>Feng v. Graham</w:t>
      </w:r>
      <w:r>
        <w:rPr>
          <w:rFonts w:ascii="arial" w:eastAsia="arial" w:hAnsi="arial" w:cs="arial"/>
          <w:color w:val="000000"/>
          <w:sz w:val="20"/>
          <w:lang w:val="en-US" w:eastAsia="en-US" w:bidi="ar-SA"/>
        </w:rPr>
        <w:t xml:space="preserve"> </w:t>
      </w:r>
      <w:hyperlink r:id="rId320" w:history="1">
        <w:r>
          <w:rPr>
            <w:rFonts w:ascii="arial" w:eastAsia="arial" w:hAnsi="arial" w:cs="arial"/>
            <w:i/>
            <w:color w:val="0077CC"/>
            <w:sz w:val="20"/>
            <w:u w:val="single"/>
            <w:shd w:val="clear" w:color="auto" w:fill="FFFFFF"/>
            <w:lang w:val="en-US" w:eastAsia="en-US" w:bidi="ar-SA"/>
          </w:rPr>
          <w:t>(1988), 25 B.C.L.R. (2d) 116</w:t>
        </w:r>
      </w:hyperlink>
      <w:r>
        <w:rPr>
          <w:rFonts w:ascii="arial" w:eastAsia="arial" w:hAnsi="arial" w:cs="arial"/>
          <w:color w:val="000000"/>
          <w:sz w:val="20"/>
          <w:lang w:val="en-US" w:eastAsia="en-US" w:bidi="ar-SA"/>
        </w:rPr>
        <w:t xml:space="preserve"> (C.A.).</w:t>
      </w:r>
    </w:p>
    <w:p>
      <w:pPr>
        <w:numPr>
          <w:numId w:val="8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lang w:val="en-US" w:eastAsia="en-US" w:bidi="ar-SA"/>
        </w:rPr>
        <w:t>Bystedt (Guardian ad litem of) v. Bagdan</w:t>
      </w:r>
      <w:r>
        <w:rPr>
          <w:rFonts w:ascii="arial" w:eastAsia="arial" w:hAnsi="arial" w:cs="arial"/>
          <w:color w:val="000000"/>
          <w:sz w:val="20"/>
          <w:lang w:val="en-US" w:eastAsia="en-US" w:bidi="ar-SA"/>
        </w:rPr>
        <w:t xml:space="preserve">, </w:t>
      </w:r>
      <w:hyperlink r:id="rId321" w:history="1">
        <w:r>
          <w:rPr>
            <w:rFonts w:ascii="arial" w:eastAsia="arial" w:hAnsi="arial" w:cs="arial"/>
            <w:i/>
            <w:color w:val="0077CC"/>
            <w:sz w:val="20"/>
            <w:u w:val="single"/>
            <w:shd w:val="clear" w:color="auto" w:fill="FFFFFF"/>
            <w:lang w:val="en-US" w:eastAsia="en-US" w:bidi="ar-SA"/>
          </w:rPr>
          <w:t>2001 BCSC 1735</w:t>
        </w:r>
      </w:hyperlink>
      <w:r>
        <w:rPr>
          <w:rFonts w:ascii="arial" w:eastAsia="arial" w:hAnsi="arial" w:cs="arial"/>
          <w:color w:val="000000"/>
          <w:sz w:val="20"/>
          <w:lang w:val="en-US" w:eastAsia="en-US" w:bidi="ar-SA"/>
        </w:rPr>
        <w:t xml:space="preserve">, aff'd </w:t>
      </w:r>
      <w:hyperlink r:id="rId322" w:history="1">
        <w:r>
          <w:rPr>
            <w:rFonts w:ascii="arial" w:eastAsia="arial" w:hAnsi="arial" w:cs="arial"/>
            <w:i/>
            <w:color w:val="0077CC"/>
            <w:sz w:val="20"/>
            <w:u w:val="single"/>
            <w:shd w:val="clear" w:color="auto" w:fill="FFFFFF"/>
            <w:lang w:val="en-US" w:eastAsia="en-US" w:bidi="ar-SA"/>
          </w:rPr>
          <w:t>(2004), 24 B.C.L.R. (4th) 205</w:t>
        </w:r>
      </w:hyperlink>
      <w:r>
        <w:rPr>
          <w:rFonts w:ascii="arial" w:eastAsia="arial" w:hAnsi="arial" w:cs="arial"/>
          <w:color w:val="000000"/>
          <w:sz w:val="20"/>
          <w:lang w:val="en-US" w:eastAsia="en-US" w:bidi="ar-SA"/>
        </w:rPr>
        <w:t xml:space="preserve"> (C.A.), D.M. Smith J. set out the factors to be considered in the assessment of in-trust claims at para. 180:</w:t>
      </w:r>
    </w:p>
    <w:p>
      <w:pPr>
        <w:numPr>
          <w:numId w:val="8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services provided must replace services necessary for the care of the plaintiff as a result of the plaintiff's injuries;</w:t>
      </w:r>
    </w:p>
    <w:p>
      <w:pPr>
        <w:numPr>
          <w:numId w:val="8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services are rendered by a family member, they must be over and above what would be expected from the family relationship (here, the normal care of an uninjured child);</w:t>
      </w:r>
    </w:p>
    <w:p>
      <w:pPr>
        <w:numPr>
          <w:numId w:val="8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maximum value of such services is the cost of obtaining the services outside the family;</w:t>
      </w:r>
    </w:p>
    <w:p>
      <w:pPr>
        <w:numPr>
          <w:numId w:val="8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opportunity cost to the care giving family member is lower than the cost of obtaining the services independently, the court will award the lower amount;</w:t>
      </w:r>
    </w:p>
    <w:p>
      <w:pPr>
        <w:numPr>
          <w:numId w:val="8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quantification should reflect the true and reasonable value of the services performed taking into account the time, quality and nature of those services. In this regard, the damages should reflect the wage of a substitute caregiver. There should not be a discounting or undervaluation of such services because of the nature of the relationship; and,</w:t>
      </w:r>
    </w:p>
    <w:p>
      <w:pPr>
        <w:numPr>
          <w:numId w:val="8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family members providing the services need not forego other income and there need not be payment for the services rendered.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349</w:t>
      </w:r>
      <w:r>
        <w:rPr>
          <w:rFonts w:ascii="arial" w:eastAsia="arial" w:hAnsi="arial" w:cs="arial"/>
          <w:color w:val="000000"/>
          <w:sz w:val="20"/>
          <w:lang w:val="en-US" w:eastAsia="en-US" w:bidi="ar-SA"/>
        </w:rPr>
        <w:t xml:space="preserve">  It is extremely difficult to quantify with mathematical precision all the time Ms. Cojocaru has spent with Eric over the past six years above and beyond what would normally have been expected of her. In some cases, such as </w:t>
      </w:r>
      <w:r>
        <w:rPr>
          <w:rFonts w:ascii="arial" w:eastAsia="arial" w:hAnsi="arial" w:cs="arial"/>
          <w:b/>
          <w:i/>
          <w:color w:val="000000"/>
          <w:sz w:val="20"/>
          <w:lang w:val="en-US" w:eastAsia="en-US" w:bidi="ar-SA"/>
        </w:rPr>
        <w:t>Brito</w:t>
      </w:r>
      <w:r>
        <w:rPr>
          <w:rFonts w:ascii="arial" w:eastAsia="arial" w:hAnsi="arial" w:cs="arial"/>
          <w:color w:val="000000"/>
          <w:sz w:val="20"/>
          <w:lang w:val="en-US" w:eastAsia="en-US" w:bidi="ar-SA"/>
        </w:rPr>
        <w:t xml:space="preserve"> at paras. 396-404, the court estimated the number of extra hours it thought the mother of the injured infant had spent caring for him and applied a market rate for those services, to come up with the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350</w:t>
      </w:r>
      <w:r>
        <w:rPr>
          <w:rFonts w:ascii="arial" w:eastAsia="arial" w:hAnsi="arial" w:cs="arial"/>
          <w:color w:val="000000"/>
          <w:sz w:val="20"/>
          <w:lang w:val="en-US" w:eastAsia="en-US" w:bidi="ar-SA"/>
        </w:rPr>
        <w:t>  The evidence at trial established that from the time Eric returned home from the hospital up until the age of three, he barely slept for more than 30 minutes at a time. It was not until Dr. Thiessen prescribed Melatonin at age three, that Eric's sleep began to settle down. Even from age three up to the date of trial, Eric still wakes up two, three and sometimes four times every night. During the first three years, Ms. Cojocaru was tasked with the burden of staying up with Eric throughout the night. This lasted three full years. Ms. Cojocaru was needed every 40 minutes to attend to Eric who was suffering uncontrollable screaming bouts. All she was able to do to console her son was to cradle him in her arms until he would again fall asleep.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351</w:t>
      </w:r>
      <w:r>
        <w:rPr>
          <w:rFonts w:ascii="arial" w:eastAsia="arial" w:hAnsi="arial" w:cs="arial"/>
          <w:color w:val="000000"/>
          <w:sz w:val="20"/>
          <w:lang w:val="en-US" w:eastAsia="en-US" w:bidi="ar-SA"/>
        </w:rPr>
        <w:t>  This type of care is above and beyond what would be expected from any parent in normal circumstances. Granted, all parents will go through short phases during the first year of a child's life to deal with feeding issues, or possible teething issues, but no one would expect to have to care for a child suffering such as Eric did for those first three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352</w:t>
      </w:r>
      <w:r>
        <w:rPr>
          <w:rFonts w:ascii="arial" w:eastAsia="arial" w:hAnsi="arial" w:cs="arial"/>
          <w:color w:val="000000"/>
          <w:sz w:val="20"/>
          <w:lang w:val="en-US" w:eastAsia="en-US" w:bidi="ar-SA"/>
        </w:rPr>
        <w:t xml:space="preserve">  The plaintiffs' invite the court to make the following assessment of the in trust claim. Assuming an individual sleeps on average eight hours a night and Ms. Cojocaru had to wake up every 40 minutes, conservatively, she spent four to five hours a night dealing with Eric's needs during those first three years. Not unlike the </w:t>
      </w:r>
      <w:r>
        <w:rPr>
          <w:rFonts w:ascii="arial" w:eastAsia="arial" w:hAnsi="arial" w:cs="arial"/>
          <w:b/>
          <w:i/>
          <w:color w:val="000000"/>
          <w:sz w:val="20"/>
          <w:lang w:val="en-US" w:eastAsia="en-US" w:bidi="ar-SA"/>
        </w:rPr>
        <w:t>Brito</w:t>
      </w:r>
      <w:r>
        <w:rPr>
          <w:rFonts w:ascii="arial" w:eastAsia="arial" w:hAnsi="arial" w:cs="arial"/>
          <w:color w:val="000000"/>
          <w:sz w:val="20"/>
          <w:lang w:val="en-US" w:eastAsia="en-US" w:bidi="ar-SA"/>
        </w:rPr>
        <w:t xml:space="preserve"> decision, Eric also required extensive extra care during the day. The plaintiffs argue that a total of six hours was expended caring for Eric during a 24-hour period, which equates to approximately 2,190 hours per year or 6,570 hours over the first three years of Eric's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353</w:t>
      </w:r>
      <w:r>
        <w:rPr>
          <w:rFonts w:ascii="arial" w:eastAsia="arial" w:hAnsi="arial" w:cs="arial"/>
          <w:color w:val="000000"/>
          <w:sz w:val="20"/>
          <w:lang w:val="en-US" w:eastAsia="en-US" w:bidi="ar-SA"/>
        </w:rPr>
        <w:t>  It is significant that Dr. Thiessen notes in his records that Ms. Cojocaru was literally "going crazy" due to the lack of sleep associated with still tending to Eric during the initial three-year period. This supports to some degree the plaintiffs' claim in this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354</w:t>
      </w:r>
      <w:r>
        <w:rPr>
          <w:rFonts w:ascii="arial" w:eastAsia="arial" w:hAnsi="arial" w:cs="arial"/>
          <w:color w:val="000000"/>
          <w:sz w:val="20"/>
          <w:lang w:val="en-US" w:eastAsia="en-US" w:bidi="ar-SA"/>
        </w:rPr>
        <w:t>  Additionally, the plaintiffs' argue that from age three up until age six, Ms. Cojocaru continued to have to tend to Eric each and every night, two to four times per night. At a half hour per night, this equates to approximately 550 hours for ages three to six. They argue this is clearly a care level above and beyond what one would normally expect from an average parent.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355</w:t>
      </w:r>
      <w:r>
        <w:rPr>
          <w:rFonts w:ascii="arial" w:eastAsia="arial" w:hAnsi="arial" w:cs="arial"/>
          <w:color w:val="000000"/>
          <w:sz w:val="20"/>
          <w:lang w:val="en-US" w:eastAsia="en-US" w:bidi="ar-SA"/>
        </w:rPr>
        <w:t>  In addition to issues associated with sleeping, the plaintiffs argue Ms. Cojocaru has spent considerable time trying to train Eric to do tasks which other children take for granted.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356</w:t>
      </w:r>
      <w:r>
        <w:rPr>
          <w:rFonts w:ascii="arial" w:eastAsia="arial" w:hAnsi="arial" w:cs="arial"/>
          <w:color w:val="000000"/>
          <w:sz w:val="20"/>
          <w:lang w:val="en-US" w:eastAsia="en-US" w:bidi="ar-SA"/>
        </w:rPr>
        <w:t>  The evidence confirms this. Ms. Cojocaru spent over a two-year period trying to teach Eric to walk which included hand crafting a vest with handles so as to assist Eric. Likewise, Ms. Cojocaru testified to spending over two years trying to teach Eric how to write his name. She described trying to employ games using stickers and stamps. This kind of intense activity I find is not something a parent would be expected to do with their child.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357</w:t>
      </w:r>
      <w:r>
        <w:rPr>
          <w:rFonts w:ascii="arial" w:eastAsia="arial" w:hAnsi="arial" w:cs="arial"/>
          <w:color w:val="000000"/>
          <w:sz w:val="20"/>
          <w:lang w:val="en-US" w:eastAsia="en-US" w:bidi="ar-SA"/>
        </w:rPr>
        <w:t>  With respect to basic everyday activities, the plaintiffs argue Ms. Cojocaru spent between one hour and one hour and 45 minutes every morning washing, dressing and feeding Eric. Obviously, the average parent may assist their five or six year old with respect to getting ready for school in the morning, but they do not have to pick out their clothes, actually put the clothes on their children, brush their child's teeth, cut their child's food or feed children like babies to ensure that they get a full meal before the start of the day. Likewise, they do not have to change their child again after he eats because of the mess their child will make while eating. This is considerable merit on the evidence to this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358</w:t>
      </w:r>
      <w:r>
        <w:rPr>
          <w:rFonts w:ascii="arial" w:eastAsia="arial" w:hAnsi="arial" w:cs="arial"/>
          <w:color w:val="000000"/>
          <w:sz w:val="20"/>
          <w:lang w:val="en-US" w:eastAsia="en-US" w:bidi="ar-SA"/>
        </w:rPr>
        <w:t>  As well the plaintiffs point to evidence which suggests that after school, Ms. Cojocaru again has to go through the ritual of feeding her child by being on guard and attentive, essentially feeding him. This is not usual for a six year old. If Eric goes to the bathroom, she will have to wipe him to make sure that he is properly cleaned and ensure his clothes do not become soiled and dirty. Furthermore, she will again have to undress Eric and dress him in his night clothes. This they argue is above and beyond what parents are expected to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359</w:t>
      </w:r>
      <w:r>
        <w:rPr>
          <w:rFonts w:ascii="arial" w:eastAsia="arial" w:hAnsi="arial" w:cs="arial"/>
          <w:color w:val="000000"/>
          <w:sz w:val="20"/>
          <w:lang w:val="en-US" w:eastAsia="en-US" w:bidi="ar-SA"/>
        </w:rPr>
        <w:t>  The plaintiffs submit that in addition to the extra care provided by Ms. Cojocaru as noted about, one should not overlook all the smaller things that add up and wear on an individual over time. Such tasks include turning on and off taps which Eric is incapable of doing, cutting his meat and food, constantly being on the lookout to make sure he does not choke when eating, having to apply shampoo and soap to his body, constantly washing his clothes, having to manipulate a DVD or VCR for him or to instruct him regarding same, constantly having to remind him of things the average normal parent would not have to remind a child of and so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360</w:t>
      </w:r>
      <w:r>
        <w:rPr>
          <w:rFonts w:ascii="arial" w:eastAsia="arial" w:hAnsi="arial" w:cs="arial"/>
          <w:color w:val="000000"/>
          <w:sz w:val="20"/>
          <w:lang w:val="en-US" w:eastAsia="en-US" w:bidi="ar-SA"/>
        </w:rPr>
        <w:t>  Although it is impossible to mathematically assess the exact number of minutes or hours Ms. Cojocaru spends each day on such mundane tasks and everyday tasks as detailed above, the plaintiffs argue that the time expended would easily amount to approximately three extra hours per day, every day, since Eric turned three years old. This equates to approximately 3,300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361</w:t>
      </w:r>
      <w:r>
        <w:rPr>
          <w:rFonts w:ascii="arial" w:eastAsia="arial" w:hAnsi="arial" w:cs="arial"/>
          <w:color w:val="000000"/>
          <w:sz w:val="20"/>
          <w:lang w:val="en-US" w:eastAsia="en-US" w:bidi="ar-SA"/>
        </w:rPr>
        <w:t>  The plaintiffs argue that the cost to replace Ms. Cojocaru's services would be equivalent to a live-in assistant at the cost of which is $24.75 per hour. Accordingly, they assume Ms. Cojocaru has spent approximately 10,420 (6570+550+3300) hours since the time Eric returned home from the hospital this equates to a total of $257,895.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362</w:t>
      </w:r>
      <w:r>
        <w:rPr>
          <w:rFonts w:ascii="arial" w:eastAsia="arial" w:hAnsi="arial" w:cs="arial"/>
          <w:color w:val="000000"/>
          <w:sz w:val="20"/>
          <w:lang w:val="en-US" w:eastAsia="en-US" w:bidi="ar-SA"/>
        </w:rPr>
        <w:t xml:space="preserve">  Counsel for the defendants rely on the decision of </w:t>
      </w:r>
      <w:r>
        <w:rPr>
          <w:rFonts w:ascii="arial" w:eastAsia="arial" w:hAnsi="arial" w:cs="arial"/>
          <w:b/>
          <w:i/>
          <w:color w:val="000000"/>
          <w:sz w:val="20"/>
          <w:lang w:val="en-US" w:eastAsia="en-US" w:bidi="ar-SA"/>
        </w:rPr>
        <w:t>Crane v. Worwood</w:t>
      </w:r>
      <w:r>
        <w:rPr>
          <w:rFonts w:ascii="arial" w:eastAsia="arial" w:hAnsi="arial" w:cs="arial"/>
          <w:color w:val="000000"/>
          <w:sz w:val="20"/>
          <w:lang w:val="en-US" w:eastAsia="en-US" w:bidi="ar-SA"/>
        </w:rPr>
        <w:t xml:space="preserve"> </w:t>
      </w:r>
      <w:hyperlink r:id="rId319" w:history="1">
        <w:r>
          <w:rPr>
            <w:rFonts w:ascii="arial" w:eastAsia="arial" w:hAnsi="arial" w:cs="arial"/>
            <w:i/>
            <w:color w:val="0077CC"/>
            <w:sz w:val="20"/>
            <w:u w:val="single"/>
            <w:shd w:val="clear" w:color="auto" w:fill="FFFFFF"/>
            <w:lang w:val="en-US" w:eastAsia="en-US" w:bidi="ar-SA"/>
          </w:rPr>
          <w:t>(1992), 65 B.C.L.R. (2d) 16</w:t>
        </w:r>
      </w:hyperlink>
      <w:r>
        <w:rPr>
          <w:rFonts w:ascii="arial" w:eastAsia="arial" w:hAnsi="arial" w:cs="arial"/>
          <w:color w:val="000000"/>
          <w:sz w:val="20"/>
          <w:lang w:val="en-US" w:eastAsia="en-US" w:bidi="ar-SA"/>
        </w:rPr>
        <w:t xml:space="preserve">, </w:t>
      </w:r>
      <w:hyperlink r:id="rId319" w:history="1">
        <w:r>
          <w:rPr>
            <w:rFonts w:ascii="arial" w:eastAsia="arial" w:hAnsi="arial" w:cs="arial"/>
            <w:i/>
            <w:color w:val="0077CC"/>
            <w:sz w:val="20"/>
            <w:u w:val="single"/>
            <w:shd w:val="clear" w:color="auto" w:fill="FFFFFF"/>
            <w:lang w:val="en-US" w:eastAsia="en-US" w:bidi="ar-SA"/>
          </w:rPr>
          <w:t>[1992] 3 W.W.R. 638</w:t>
        </w:r>
      </w:hyperlink>
      <w:r>
        <w:rPr>
          <w:rFonts w:ascii="arial" w:eastAsia="arial" w:hAnsi="arial" w:cs="arial"/>
          <w:color w:val="000000"/>
          <w:sz w:val="20"/>
          <w:lang w:val="en-US" w:eastAsia="en-US" w:bidi="ar-SA"/>
        </w:rPr>
        <w:t xml:space="preserve"> (S.C.). There, mother and daughter were seriously injured in a motor vehicle accident and the husband father devoted himself to caring for them. As a result, his business suffered and he lost his principal client. He attributed the loss of his client to his decision to care for his wife and daughter during recovery and estimated the cost of his decision to be $400,000. He claimed that amount from the defendant driver. The claim was rejected on the basis that there is no authority for awarding the full amount of opportunity costs to a caregiver if the cost exceeds the reasonable value services. An award was made to the plaintiffs for the reasonable cost of care provided by Mr. Crane, assessed at $7500. In </w:t>
      </w:r>
      <w:r>
        <w:rPr>
          <w:rFonts w:ascii="arial" w:eastAsia="arial" w:hAnsi="arial" w:cs="arial"/>
          <w:b/>
          <w:i/>
          <w:color w:val="000000"/>
          <w:sz w:val="20"/>
          <w:lang w:val="en-US" w:eastAsia="en-US" w:bidi="ar-SA"/>
        </w:rPr>
        <w:t>Crane</w:t>
      </w:r>
      <w:r>
        <w:rPr>
          <w:rFonts w:ascii="arial" w:eastAsia="arial" w:hAnsi="arial" w:cs="arial"/>
          <w:color w:val="000000"/>
          <w:sz w:val="20"/>
          <w:lang w:val="en-US" w:eastAsia="en-US" w:bidi="ar-SA"/>
        </w:rPr>
        <w:t>, the court made it clear that restraint should be exercised in awarding damages under this head of damages as the principle is that normal compassion and care of relatives of the injured is not to be compensated nor is the anticipated cost of raising an uninjured child. The compensation is to be for extra services provided by the parent of an injured child.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363</w:t>
      </w:r>
      <w:r>
        <w:rPr>
          <w:rFonts w:ascii="arial" w:eastAsia="arial" w:hAnsi="arial" w:cs="arial"/>
          <w:color w:val="000000"/>
          <w:sz w:val="20"/>
          <w:lang w:val="en-US" w:eastAsia="en-US" w:bidi="ar-SA"/>
        </w:rPr>
        <w:t>  Here, the compensation for extra services provided by the parent to the injured child is a significant factor.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364</w:t>
      </w:r>
      <w:r>
        <w:rPr>
          <w:rFonts w:ascii="arial" w:eastAsia="arial" w:hAnsi="arial" w:cs="arial"/>
          <w:color w:val="000000"/>
          <w:sz w:val="20"/>
          <w:lang w:val="en-US" w:eastAsia="en-US" w:bidi="ar-SA"/>
        </w:rPr>
        <w:t>  Ms. Cojocaru's ability to obtain a meaningful job and the number of potential positions available to her now has been significantly curtailed due to the time she needs to take off to attend to Eric. She has been considerably less marketable, less flexible and less attractive to potential employers as a result of her time commitments to Eric.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365</w:t>
      </w:r>
      <w:r>
        <w:rPr>
          <w:rFonts w:ascii="arial" w:eastAsia="arial" w:hAnsi="arial" w:cs="arial"/>
          <w:color w:val="000000"/>
          <w:sz w:val="20"/>
          <w:lang w:val="en-US" w:eastAsia="en-US" w:bidi="ar-SA"/>
        </w:rPr>
        <w:t>  Since his birth, Ms. Cojocaru has effectively acted as the "rehabilitation assistant" recommended by Ms. Schuistad. She has provided care above and beyond that expected of an "ordinary parent".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366</w:t>
      </w:r>
      <w:r>
        <w:rPr>
          <w:rFonts w:ascii="arial" w:eastAsia="arial" w:hAnsi="arial" w:cs="arial"/>
          <w:color w:val="000000"/>
          <w:sz w:val="20"/>
          <w:lang w:val="en-US" w:eastAsia="en-US" w:bidi="ar-SA"/>
        </w:rPr>
        <w:t xml:space="preserve">  The plaintiff's claim is essentially based on the estimated calculation of the extra hours expended by Ms. Cojocaru with Eric over that in which she would expend for a "normal child". It is also based on a nanny cost for equivalent live-in services payable at a rate of $24.75/hour. That is, in my opinion, overly generous. Considering the contingencies associated with this claim. I have concluded that proper compensation for Ms. Cojocaru, based on the principles enunciated in </w:t>
      </w:r>
      <w:r>
        <w:rPr>
          <w:rFonts w:ascii="arial" w:eastAsia="arial" w:hAnsi="arial" w:cs="arial"/>
          <w:b/>
          <w:i/>
          <w:color w:val="000000"/>
          <w:sz w:val="20"/>
          <w:lang w:val="en-US" w:eastAsia="en-US" w:bidi="ar-SA"/>
        </w:rPr>
        <w:t>Brito</w:t>
      </w:r>
      <w:r>
        <w:rPr>
          <w:rFonts w:ascii="arial" w:eastAsia="arial" w:hAnsi="arial" w:cs="arial"/>
          <w:color w:val="000000"/>
          <w:sz w:val="20"/>
          <w:lang w:val="en-US" w:eastAsia="en-US" w:bidi="ar-SA"/>
        </w:rPr>
        <w:t>, is $144,000, based on 8000 extra hours of care at a rate of $18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QUANTUM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367</w:t>
      </w:r>
      <w:r>
        <w:rPr>
          <w:rFonts w:ascii="arial" w:eastAsia="arial" w:hAnsi="arial" w:cs="arial"/>
          <w:color w:val="000000"/>
          <w:sz w:val="20"/>
          <w:lang w:val="en-US" w:eastAsia="en-US" w:bidi="ar-SA"/>
        </w:rPr>
        <w:t>  In summary, the plaintiff's quantum of damages is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5"/>
        <w:gridCol w:w="3857"/>
        <w:gridCol w:w="240"/>
        <w:gridCol w:w="1460"/>
        <w:gridCol w:w="427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Non-Pecuniary Damages (Eric)</w:t>
            </w:r>
          </w:p>
        </w:tc>
        <w:tc>
          <w:tcPr>
            <w:tcW w:w="20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321,000</w:t>
            </w:r>
          </w:p>
        </w:tc>
        <w:tc>
          <w:tcPr>
            <w:tcW w:w="419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346"/>
        <w:gridCol w:w="732"/>
        <w:gridCol w:w="1464"/>
        <w:gridCol w:w="42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27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Non-Pecuniary Damages</w:t>
            </w:r>
          </w:p>
        </w:tc>
        <w:tc>
          <w:tcPr>
            <w:tcW w:w="717"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40,000</w:t>
            </w:r>
          </w:p>
        </w:tc>
        <w:tc>
          <w:tcPr>
            <w:tcW w:w="419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(Ms. Cojocaru)</w:t>
            </w:r>
          </w:p>
        </w:tc>
        <w:tc>
          <w:tcPr>
            <w:tcW w:w="71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198"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137"/>
        <w:gridCol w:w="941"/>
        <w:gridCol w:w="1464"/>
        <w:gridCol w:w="42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Income Loss/Loss of</w:t>
            </w:r>
          </w:p>
        </w:tc>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850,000</w:t>
            </w:r>
          </w:p>
        </w:tc>
        <w:tc>
          <w:tcPr>
            <w:tcW w:w="419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Earning Capacity</w:t>
            </w:r>
          </w:p>
        </w:tc>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198"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451"/>
        <w:gridCol w:w="627"/>
        <w:gridCol w:w="1464"/>
        <w:gridCol w:w="42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37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Loss of Interdependent</w:t>
            </w:r>
          </w:p>
        </w:tc>
        <w:tc>
          <w:tcPr>
            <w:tcW w:w="61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25,000</w:t>
            </w:r>
          </w:p>
        </w:tc>
        <w:tc>
          <w:tcPr>
            <w:tcW w:w="419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37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Relationship</w:t>
            </w:r>
          </w:p>
        </w:tc>
        <w:tc>
          <w:tcPr>
            <w:tcW w:w="61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198"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3033"/>
        <w:gridCol w:w="1046"/>
        <w:gridCol w:w="1464"/>
        <w:gridCol w:w="42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9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Future Care Costs</w:t>
            </w:r>
          </w:p>
        </w:tc>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2,665,000</w:t>
            </w:r>
          </w:p>
        </w:tc>
        <w:tc>
          <w:tcPr>
            <w:tcW w:w="419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973"/>
        <w:gridCol w:w="48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 Trust" Claim</w:t>
            </w:r>
          </w:p>
        </w:tc>
        <w:tc>
          <w:tcPr>
            <w:tcW w:w="47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 </w:t>
            </w:r>
            <w:r>
              <w:rPr>
                <w:rFonts w:ascii="arial" w:eastAsia="arial" w:hAnsi="arial" w:cs="arial"/>
                <w:color w:val="000000"/>
                <w:sz w:val="18"/>
                <w:u w:val="single"/>
                <w:lang w:val="en-US" w:eastAsia="en-US" w:bidi="ar-SA"/>
              </w:rPr>
              <w:t>144,000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2301"/>
        <w:gridCol w:w="1778"/>
        <w:gridCol w:w="1464"/>
        <w:gridCol w:w="42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25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174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4,045,000</w:t>
            </w:r>
          </w:p>
        </w:tc>
        <w:tc>
          <w:tcPr>
            <w:tcW w:w="419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368</w:t>
      </w:r>
      <w:r>
        <w:rPr>
          <w:rFonts w:ascii="arial" w:eastAsia="arial" w:hAnsi="arial" w:cs="arial"/>
          <w:color w:val="000000"/>
          <w:sz w:val="20"/>
          <w:lang w:val="en-US" w:eastAsia="en-US" w:bidi="ar-SA"/>
        </w:rPr>
        <w:t>  There will no doubt be issues related to tax gross up and costs. If counsel are unable to settle these issues, they can arrange to be back in front of me in this regard by making the appropriate arrangements through Trial Division. The same holds true if there are other issues not dealt with in these reasons for which counsel seek additional directions.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J.R. GROVES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68" style="position:absolute;z-index:25182003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23"/>
          <w:headerReference w:type="default" r:id="rId324"/>
          <w:footerReference w:type="even" r:id="rId325"/>
          <w:footerReference w:type="default" r:id="rId326"/>
          <w:headerReference w:type="first" r:id="rId327"/>
          <w:footerReference w:type="first" r:id="rId32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29" w:history="1">
        <w:r>
          <w:rPr>
            <w:rFonts w:ascii="arial" w:eastAsia="arial" w:hAnsi="arial" w:cs="arial"/>
            <w:b/>
            <w:bCs/>
            <w:i/>
            <w:color w:val="0077CC"/>
            <w:kern w:val="32"/>
            <w:sz w:val="28"/>
            <w:szCs w:val="32"/>
            <w:u w:val="single"/>
            <w:shd w:val="clear" w:color="auto" w:fill="FFFFFF"/>
            <w:lang w:val="en-US" w:eastAsia="en-US" w:bidi="ar-SA"/>
          </w:rPr>
          <w:t>Morgan v. Sun Peaks Resort Corporation, [2013] I.L.R. para. G-2539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Canadian Insurance Law Reporter Cases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Before: Griffin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Decision: September 10,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No. 42491</w:t>
      </w:r>
    </w:p>
    <w:p>
      <w:pPr>
        <w:rPr>
          <w:rFonts w:ascii="arial" w:eastAsia="arial" w:hAnsi="arial" w:cs="arial"/>
          <w:sz w:val="20"/>
          <w:lang w:val="en-US" w:eastAsia="en-US" w:bidi="ar-SA"/>
        </w:rPr>
      </w:pPr>
    </w:p>
    <w:p>
      <w:pPr>
        <w:spacing w:before="120" w:after="120" w:line="280" w:lineRule="atLeast"/>
        <w:rPr>
          <w:rFonts w:ascii="arial" w:eastAsia="arial" w:hAnsi="arial" w:cs="arial"/>
          <w:sz w:val="20"/>
          <w:lang w:val="en-US" w:eastAsia="en-US" w:bidi="ar-SA"/>
        </w:rPr>
      </w:pPr>
      <w:r>
        <w:rPr>
          <w:rFonts w:ascii="arial" w:eastAsia="arial" w:hAnsi="arial" w:cs="arial"/>
          <w:b/>
          <w:i/>
          <w:color w:val="000000"/>
          <w:sz w:val="22"/>
          <w:lang w:val="en-US" w:eastAsia="en-US" w:bidi="ar-SA"/>
        </w:rPr>
        <w:t xml:space="preserve">Canadian Insurance Law Reporter Cases  </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Cases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2010s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2013</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[2013] I.L.R. para. G-2539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330" w:history="1">
        <w:r>
          <w:rPr>
            <w:rFonts w:ascii="arial" w:eastAsia="arial" w:hAnsi="arial" w:cs="arial"/>
            <w:i/>
            <w:color w:val="0077CC"/>
            <w:sz w:val="20"/>
            <w:u w:val="single"/>
            <w:shd w:val="clear" w:color="auto" w:fill="FFFFFF"/>
            <w:lang w:val="en-US" w:eastAsia="en-US" w:bidi="ar-SA"/>
          </w:rPr>
          <w:t>[2013] B.C.J. No. 1990</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330" w:history="1">
        <w:r>
          <w:rPr>
            <w:rFonts w:ascii="arial" w:eastAsia="arial" w:hAnsi="arial" w:cs="arial"/>
            <w:i/>
            <w:color w:val="0077CC"/>
            <w:sz w:val="20"/>
            <w:u w:val="single"/>
            <w:shd w:val="clear" w:color="auto" w:fill="FFFFFF"/>
            <w:lang w:val="en-US" w:eastAsia="en-US" w:bidi="ar-SA"/>
          </w:rPr>
          <w:t>2013 BCSC 1668</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Catherine Alice Morgan Plaintiff v. Sun Peaks Resort Corporation, John Doe and Jane Doe Defendants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69" style="position:absolute;z-index:2516674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58" w:name="Keywords_8"/>
      <w:bookmarkEnd w:id="58"/>
      <w:r>
        <w:rPr>
          <w:rFonts w:ascii="arial" w:eastAsia="arial" w:hAnsi="arial" w:cs="arial"/>
          <w:b/>
          <w:color w:val="000000"/>
          <w:sz w:val="20"/>
          <w:lang w:val="en-US" w:eastAsia="en-US" w:bidi="ar-SA"/>
        </w:rPr>
        <w:t xml:space="preserve">Tort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Release — "Mechanical failure" exclusion clause — Plaintiff was injured when ski resort chair lift ran over her — Plaintiff argued chair lift operator failed to press stop button in time — Defendant resort sought dismissal of action, relying on release that plaintiff signed — Plaintiff acknowledged release but submitted that "mechanical breakdown" exclusion applied — Court disagreed — On a plain reading of the clause, there had to be some kind of mechanical breakdown or equipment failure for the exclusion to apply — Human failure on its own was insufficient to engage exclusion clause — Defendant's application allowed.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59" w:name="Case Summary_8"/>
            <w:bookmarkEnd w:id="59"/>
          </w:p>
          <w:p>
            <w:pPr>
              <w:spacing w:before="120" w:line="260" w:lineRule="atLeast"/>
              <w:ind w:left="240"/>
              <w:jc w:val="both"/>
              <w:rPr>
                <w:rFonts w:ascii="arial" w:eastAsia="arial" w:hAnsi="arial" w:cs="arial"/>
                <w:sz w:val="20"/>
                <w:lang w:val="en-US" w:eastAsia="en-US" w:bidi="ar-SA"/>
              </w:rPr>
            </w:pPr>
            <w:r>
              <w:rPr>
                <w:rFonts w:ascii="arial" w:eastAsia="arial" w:hAnsi="arial" w:cs="arial"/>
                <w:b/>
                <w:color w:val="000000"/>
                <w:sz w:val="20"/>
                <w:lang w:val="en-US" w:eastAsia="en-US" w:bidi="ar-SA"/>
              </w:rPr>
              <w:t>Facts:</w:t>
            </w:r>
            <w:r>
              <w:rPr>
                <w:rFonts w:ascii="arial" w:eastAsia="arial" w:hAnsi="arial" w:cs="arial"/>
                <w:color w:val="000000"/>
                <w:sz w:val="20"/>
                <w:lang w:val="en-US" w:eastAsia="en-US" w:bidi="ar-SA"/>
              </w:rPr>
              <w:t xml:space="preserve"> The plaintiff was injured at the defendant ski resort. She had fallen while attempting to load onto the chair lift and was run over by the next chair, which was not stopped in time. She claimed that the chair lift operator was negligent in not stopping the chair lift in time. The plaintiff had signed a standard form release when she purchased her ski pass. She initialled under a highlighted box that indicated it was a release of liability and waiver of claims. She also signed the end of the release. The release excluded liability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resort and its staff, and excluded liability resulting from the releasor's participation in recreational activities in the controlled area. Excluded from the release were injuries resulting from a chair lift's mechanical breakdown. The defendant resort sought a dismissal of the plaintiff's action. The defendant argued that even if the chair lift operator was negligent, the release applied to bar any liability.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60" w:name="Holdings of Court_8"/>
            <w:bookmarkEnd w:id="60"/>
            <w:r>
              <w:rPr>
                <w:rFonts w:ascii="arial" w:eastAsia="arial" w:hAnsi="arial" w:cs="arial"/>
                <w:color w:val="000000"/>
                <w:sz w:val="20"/>
                <w:lang w:val="en-US" w:eastAsia="en-US" w:bidi="ar-SA"/>
              </w:rPr>
              <w:t>HELD: The defendant's application was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found that the defendant clearly brought the exclusion of liability in the release to the plaintiff's attention. The release defined the defendant and its employees, and excluded liability for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issue of whether a chair lift failing to stop when it should to avoid injury could be considered a failure of the lift within the meaning of the release's exclusion clause even if the failure was caused solely by an employee's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failing to properly operate the lift, the Court noted that this was an interpretation issue, and neither side had any comparable cases that considered the issue. Turning to the exclusion clause, the Court noted that it did not refer to any employee's conduct. On a plain reading of the release, there had to be some kind of mechanical breakdown or equipment failure for the exclusion clause to apply; human failure on its own was insufficient to engage the exclusion clause.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61" w:name="Counsel_8"/>
      <w:bookmarkEnd w:id="6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70" style="position:absolute;z-index:2517186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K. Church for the plaintiff; R.B.J. Kennedy, QC, for the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62" w:name="Judgment_8"/>
      <w:bookmarkEnd w:id="62"/>
      <w:r>
        <w:pict>
          <v:line id="_x0000_s1071" style="position:absolute;z-index:25176985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Summary Trial</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63" w:name="S.A. GRIFFIN J."/>
            <w:bookmarkEnd w:id="63"/>
            <w:r>
              <w:rPr>
                <w:rFonts w:ascii="arial" w:eastAsia="arial" w:hAnsi="arial" w:cs="arial"/>
                <w:b/>
                <w:color w:val="000000"/>
                <w:sz w:val="30"/>
                <w:lang w:val="en-US" w:eastAsia="en-US" w:bidi="ar-SA"/>
              </w:rPr>
              <w:t>S.A. GRIFFIN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 Catherine Morgan, was preparing to load onto a chair lift at the ski resort owned by the defendant Sun Peaks Resort Corporation when she fell. The approaching chair lift was not stopped in time and she was run over by it. She claims to have suffered personal injuries including dislocation of her right hip as a result. She brings this claim against the defendant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based on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and amendments.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 brings this summary trial application seeking dismissal of the plaintiff's claim against it. The defendant says that the standard form waiver (the "Release") applying to the plaintiff's ski pass releases it from all liability and is a complete answer to her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Both parties agree that there is a dispute on the evidence as to whether or not the chairlift operator moved to stop the chairlift immediately upon seeing the plaintiff fall, or first ran to assist her, then when the chairlift was running her over, rushed back to stop it. Neither side argues that this factual issue can be decided in this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defendant submits that even if the chairlift operator was negligent, which it says he was not, the Release would operate to release it from any liability for such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says that if the employee who was operating the chairlift was negligent, there is an argument that the Release would not apply. This issue, according to the plaintiff, should go to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is a real estate agent who has been a downhill skier since childhood. She rates herself as an expert skier. She has skied at the defendant's resort, Sun Peaks, located near Kamloops, B.C., for over 20 years. She has loaded at all of the chairlifts on the mountain on many occasions. The one exception is the chairlift at issue in this case, which was a new chairlift on the mountain that had been in operation for a four month period prior to her accident. However, she had loaded at the chair, known as the Elevation Chair, approximately five or six times according to her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had purchased a season ticket at the defendant's resort consistently for approximately the preceding 15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On her evidence, in the initial years of purchasing a season's pass, she had read over the waiver prior to signing it on her behalf and on behalf of her three dependent children. She was generally aware that it contained a release of liability, waiver of claims, and assumption of risks and indemnity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When buying her ski pass and the ski pass for two of her children in December 2006, she was presented with the standard form waiver which she initialled and signed, and allowed her children to initial and sign. The Release was a large document on legal size paper. At the very top of the Release is a box outlined in red and coloured in yellow, in which there were these words in upper case:</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RELEASE OF LIABILITY, WAIVER OF CLAIMS,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ASSUMPTION OF RISKS AND INDEMNITY AGREEMENT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BY SIGNING THIS DOCUMENT YOU WILL WAIVE CERTAIN</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LEGAL RIGHTS, INCLUDING THE RIGHT TO SUE</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PLEASE READ CAREFULLY!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Release form required the plaintiff to initial directly under that box, as well as to sign at the end of the Release, which she did. She was given an opportunity to read the Release prior to signing it, and she understood that she was signing a liability waiver. She knew that her access to and use of the facilities at the defendant's resort was subject to the conditions set out in the Release.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On the afternoon of March 3, 2007, close to 2:00 p.m., the plaintiff, her friend Darryl Ketter ("Mr. Ketter"), and Mr. Ketter's son, Stefan Ketter ("Stefan") were skiing and made several runs before deciding to load to go back up the hill, at the Elevation Chair.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Elevation Chairlift was a fixed grip lift suitable for carrying four people.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There was no one in the lineup ahead of the plaintiff and her skiing companions. She was lined up at the wait line with Mr. Ketter on her left and Stefan to her right, i.e. she was in the middle of the group of three of them. After a chairlift had passed in front of them, they moved from the wait line onto the loading platform in order to move toward the load line, which is the position passengers are supposed to stop at in order to sit down on the next chairlift.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Something happened as the three moved forward to cause the plaintiff's skis to become tied up with Stefan's skis and she fell. She was somewhere between the wait line and the load 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Here the evidence diverges. The defendant's chairlift operator that day was Nick Christian. He says that when he started to see her fall, he "immediately" hit the stop button on the control panel. Nevertheless, it takes some time for the chairlift to come to a stop and in that time, the next carrier ran over the plaintiff. This is when the alleged injuries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Evidence from the plaintiff and Mr. Ketter is that when the plaintiff fell, the chairlift operator came towards her to help her and catch the approaching chair. He attempted to move the chair out of the way to avoid her but he was unable to do so. He let it go as it ran over her and he ran back to the control panel and then hit the stop button.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plaintiff's theory of the case suggests that the outcome may have been different if the operator had pressed the stop button immediately rather than trying to come to the plaintiff's assistance first, as the chairlift would have stopped before it hit her. The defendant says the outcome would have been the same and the approaching chairlift would have still run her over because this heavy equipment cannot be stopped on a dime.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Regardless, even if there was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chairlift operator, which the defendant denies, the defendant says the Release applies to release the defendant from any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defendant frames the issue on this application as follows:</w:t>
      </w:r>
      <w:r>
        <w:rPr>
          <w:rFonts w:ascii="arial" w:eastAsia="arial" w:hAnsi="arial" w:cs="arial"/>
          <w:sz w:val="20"/>
          <w:lang w:val="en-US" w:eastAsia="en-US" w:bidi="ar-SA"/>
        </w:rPr>
        <w:cr/>
      </w:r>
    </w:p>
    <w:p>
      <w:pPr>
        <w:numPr>
          <w:numId w:val="10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is bound by the Release she signed on December 9, 2006;</w:t>
      </w:r>
    </w:p>
    <w:p>
      <w:pPr>
        <w:numPr>
          <w:numId w:val="10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whether the terms of the Release are sufficiently broad to encompass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advanced by the plaintiff against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plaintiff did not advance any argument that the issues were otherwise.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 the Plaintiff bound by the Release?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sets out the duty of care owed by an occupier to persons entering onto its premises. It permits an occupier to exclude its duty of care by express agreement or by express notice.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requires that where the occupier chooses to exclude its duty of care, the occupier shall take reasonable steps to bring the exclusion to the attention of the person. This is set out in s. 4(1)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which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4(1) Subject to subsections (2), (3) and (4), if an occupier is permitted by law to extend, restrict, modify or exclude the occupier's duty of care to any person by express agreement, or by express stipulation or notice, the occupier must take reasonable steps to bring that extension, restriction, modification or exclusion to the attention of that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evidence is clear that the defendant did bring to the plaintiff's attention the exclusion of liability as set out in the Release.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form itself is worded in a size of font that is easy to read. The warning that it is a release of liability and needs to be read carefully is at the top of the page in large bold type, in a box which is highlighted in yellow and outlined in red, with a line for initials under it. This is in addition to the full signature lines at the bottom of the Release. The Release is a stand-alone page, not hidden inside any other lengthy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 cases are clear that it is not necessary for the party relying on the release to prove that the person who signed the document actually read it first. In </w:t>
      </w:r>
      <w:r>
        <w:rPr>
          <w:rFonts w:ascii="arial" w:eastAsia="arial" w:hAnsi="arial" w:cs="arial"/>
          <w:i/>
          <w:color w:val="000000"/>
          <w:sz w:val="20"/>
          <w:lang w:val="en-US" w:eastAsia="en-US" w:bidi="ar-SA"/>
        </w:rPr>
        <w:t>Karroll v. Silver Star Mountain Resorts Ltd.</w:t>
      </w:r>
      <w:r>
        <w:rPr>
          <w:rFonts w:ascii="arial" w:eastAsia="arial" w:hAnsi="arial" w:cs="arial"/>
          <w:color w:val="000000"/>
          <w:sz w:val="20"/>
          <w:lang w:val="en-US" w:eastAsia="en-US" w:bidi="ar-SA"/>
        </w:rPr>
        <w:t xml:space="preserve"> </w:t>
      </w:r>
      <w:hyperlink r:id="rId331" w:history="1">
        <w:r>
          <w:rPr>
            <w:rFonts w:ascii="arial" w:eastAsia="arial" w:hAnsi="arial" w:cs="arial"/>
            <w:i/>
            <w:color w:val="0077CC"/>
            <w:sz w:val="20"/>
            <w:u w:val="single"/>
            <w:shd w:val="clear" w:color="auto" w:fill="FFFFFF"/>
            <w:lang w:val="en-US" w:eastAsia="en-US" w:bidi="ar-SA"/>
          </w:rPr>
          <w:t>(1988), 33 B.C.L.R. (2d) 160</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Karroll</w:t>
      </w:r>
      <w:r>
        <w:rPr>
          <w:rFonts w:ascii="arial" w:eastAsia="arial" w:hAnsi="arial" w:cs="arial"/>
          <w:color w:val="000000"/>
          <w:sz w:val="20"/>
          <w:lang w:val="en-US" w:eastAsia="en-US" w:bidi="ar-SA"/>
        </w:rPr>
        <w:t xml:space="preserve"> ], a similar direction at the top of the release was considered by McLachlin C.J.S.C. as she then was. The Court concluded that the form of the Release itself was sufficient to bring the nature of the document and the need to read it to the attention of the person signing it. Similar conclusions have been reached in other cases involving releases and ski passes, such as in </w:t>
      </w:r>
      <w:r>
        <w:rPr>
          <w:rFonts w:ascii="arial" w:eastAsia="arial" w:hAnsi="arial" w:cs="arial"/>
          <w:i/>
          <w:color w:val="000000"/>
          <w:sz w:val="20"/>
          <w:lang w:val="en-US" w:eastAsia="en-US" w:bidi="ar-SA"/>
        </w:rPr>
        <w:t>Dawe v. Cypress Bowl Recreations Ltd.,</w:t>
      </w:r>
      <w:r>
        <w:rPr>
          <w:rFonts w:ascii="arial" w:eastAsia="arial" w:hAnsi="arial" w:cs="arial"/>
          <w:color w:val="000000"/>
          <w:sz w:val="20"/>
          <w:lang w:val="en-US" w:eastAsia="en-US" w:bidi="ar-SA"/>
        </w:rPr>
        <w:t xml:space="preserve"> </w:t>
      </w:r>
      <w:hyperlink r:id="rId332" w:history="1">
        <w:r>
          <w:rPr>
            <w:rFonts w:ascii="arial" w:eastAsia="arial" w:hAnsi="arial" w:cs="arial"/>
            <w:i/>
            <w:color w:val="0077CC"/>
            <w:sz w:val="20"/>
            <w:u w:val="single"/>
            <w:shd w:val="clear" w:color="auto" w:fill="FFFFFF"/>
            <w:lang w:val="en-US" w:eastAsia="en-US" w:bidi="ar-SA"/>
          </w:rPr>
          <w:t>[1993] B.C.J. No. 2892</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Dawe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McQuary v. Big White Ski Resort Ltd.</w:t>
      </w:r>
      <w:r>
        <w:rPr>
          <w:rFonts w:ascii="arial" w:eastAsia="arial" w:hAnsi="arial" w:cs="arial"/>
          <w:color w:val="000000"/>
          <w:sz w:val="20"/>
          <w:lang w:val="en-US" w:eastAsia="en-US" w:bidi="ar-SA"/>
        </w:rPr>
        <w:t xml:space="preserve">, </w:t>
      </w:r>
      <w:hyperlink r:id="rId333" w:history="1">
        <w:r>
          <w:rPr>
            <w:rFonts w:ascii="arial" w:eastAsia="arial" w:hAnsi="arial" w:cs="arial"/>
            <w:i/>
            <w:color w:val="0077CC"/>
            <w:sz w:val="20"/>
            <w:u w:val="single"/>
            <w:shd w:val="clear" w:color="auto" w:fill="FFFFFF"/>
            <w:lang w:val="en-US" w:eastAsia="en-US" w:bidi="ar-SA"/>
          </w:rPr>
          <w:t>[1993] B.C.J. No. 1956</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McQuary</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employee of the defendant who presented the Release to the plaintiff, and obtained her signature, provided affidavit evidence. She explained that she did not specifically recall this particular Release and plaintiff, but that she was trained to present the release to every guest with a standard introduction, and always did so. According to her evidence, that standard introduction explained that what was being presented was a release of liability or waiver which all season's pass applicants were required to sign, and asked the person to read the waiver and complete it and sign it. She then would give the guest an opportunity to read the release agreement and answer any questions about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As I have already noted, the plaintiff does not contest that she knew she was signing a release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 find that the defendant took reasonable steps to bring the Release to the attention of the plaintiff. I conclude that the plaintiff is bound by the terms of the Release.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Does the Scope of the Release Encompass the Claim in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Advanced by the Plaintiff against Sun Peaks Resort Corporation?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focus of the factual dispute on liability, on the evidence before me, was whether or not the chairlift operator was negligent in not moving quickly enough to press the stop button on the chairlift when he saw the plaintiff fall in the loading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defendant argues that its employee was not negligent, but that even if he was, the scope of the Release was broad enough to encompass any such negligent conduct on his 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Release describes the defendant and its directors, officers, employees, agents, contractors, and representatives as "THE OPERATORS". In the release section of the Release, it states that in consideration of the Operators accepting the application for a season pass and permitting the use of their facilities and property, including use of the lifts, the party signing agrees as follows:</w:t>
      </w:r>
      <w:r>
        <w:rPr>
          <w:rFonts w:ascii="arial" w:eastAsia="arial" w:hAnsi="arial" w:cs="arial"/>
          <w:sz w:val="20"/>
          <w:lang w:val="en-US" w:eastAsia="en-US" w:bidi="ar-SA"/>
        </w:rPr>
        <w:cr/>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WAIVE ANY AND ALL CLAIMS that I have or may in the future have against THE OPERATORS AND THE PROVINCE, and its directors, officers, employees, agents, guides, instructors, independent contractors, sub-contractors, representatives, sponsors, successors and assigns (all of whom are hereinafter collectively referred to as "THE RELEASEES" ), and TO RELEASE THE RELEASEES from any and all liability for an loss, damage, expense or injury including death that I may suffer, or that my next of kin may suffer resulting from either my participation in any recreational activities in the controlled recreational area, or my presence around the recreational activities in the controlled recreation are, DUE TO ANY CAUSE WHATSOEVER, INCLUDING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BREACH OF CONTRACT, OR BREACH OF ANY STATUTORY OR OTHER DUTY OF CARE, INCLUDING ANY DUTY OF CARE OWED UNDER THE OCCUPIERS LIABILITY ACT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 ON THE PART OF THE RELEASEES, AND ALSO INCLUDING THE FAILURE ON THE PART OF THE RELEASEES TO SAFEGUARD OR PROTECT ME FROM THE RISKS, DANGERS AND HAZARDS OF ANY RECREATIONAL ACTIVITIES IN THE CONTROLLED RECREATION AREA REFERRED TO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As noted, the Release refers to the releasor's "participation in any recreational activities in the controlled recreational area" or presence around those activities. At the top of the Release, the term "recreational activities in the controlled recreational area" is defined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DEFINITION:</w:t>
      </w:r>
      <w:r>
        <w:rPr>
          <w:rFonts w:ascii="arial" w:eastAsia="arial" w:hAnsi="arial" w:cs="arial"/>
          <w:color w:val="000000"/>
          <w:sz w:val="20"/>
          <w:lang w:val="en-US" w:eastAsia="en-US" w:bidi="ar-SA"/>
        </w:rPr>
        <w:t xml:space="preserve"> In this agreement, the term "recreational activities in the controlled recreational area" shall include all activities or involvement in any way connected or associated with lift accessed &amp; non-lift accessed activities within the controlled recreational area; including but not limited to skiing, snowboarding, telemark skiing, cross country skiing, golfing, hiking, sight seeing or mountain biking throughout the controlled recreation area or with orientation, instruction, training or guiding given by THE OPERATORS.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Furthermore, the Release provided that the releasor assumed certain risks. In a section headed "Assumption of Risks", the Release provided: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ASSUMPTION OF RISKS:</w:t>
      </w:r>
      <w:r>
        <w:rPr>
          <w:rFonts w:ascii="arial" w:eastAsia="arial" w:hAnsi="arial" w:cs="arial"/>
          <w:color w:val="000000"/>
          <w:sz w:val="20"/>
          <w:lang w:val="en-US" w:eastAsia="en-US" w:bidi="ar-SA"/>
        </w:rPr>
        <w:t xml:space="preserve"> I am aware that recreational activities in the controlled recreational area involves many risks, dangers and hazards including, but not limited to; boarding, riding or disembarking lifts; changing weather conditions; exposed rock, earth, or other natural or man made objects; trees, tree wells, tree stumps and forest dead fall; changes or variations in the terrain which may create blind spots or areas of reduced visibility; changes or variations in the surface or sub-surface; streams, creeks; collision with lift towers, fences, equipment, vehicles or structures; collision with other participants, spectators or bystanders;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other participants, spectators or bystanders;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OPERATOR INCLUDING THE FAILURE ON THE PART OF THE OPERATORS AND THE PROVINCE OR ITS STAFF TO SAFEGUARD OR PROTECT ME FROM THE RISKS, DANGERS AND HAZARDS OF RECREATIONAL ACTIVITIES IN THE CONTROLLED RECREATIONAL AREA. I am also aware that the risks dangers and hazards referred to above exist throughout the controlled recreational area and that many are unmarked.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AWARE OF THE RISKS, DANGERS AND HAZARDS ASSOCIATED WITH RECREATIONAL ACTIVITIES IN THE CONTROLLED RECREATIONAL AREA AND I FREELY ACCEPT AND FULLY ASSUME ALL SUCH RISKS, DANGERS AND HAZARDS AND THE POSSIBILITY OF PERSONAL INJURY, DEATH, PROPERTY DAMAGE AND LOSS RESULTING THEREFROM.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On its face, the Release is very broad.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The Release specifically identified the risks of boarding, riding, or disembarking the lifts. It excluded liability resulting from the releasor's participation in "recreational activities in the controlled recreational area" which included activities or involvement in any way connected or associated with lift accessed and non-lift accessed activities the Release covered. It also excluded liability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Operator and its staff, including in safeguarding the releasor from the risks, dangers and hazards of recreational activities in the controlled recreational area, which as defined, included activities associated with lift accessed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However, the plaintiff relies on an exception clause in the Release set out at the end of the release terms and just prior to the signature box, which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understood and agreed that this Agreement shall not apply in respect of injuries resulting from mechanical breakdown or failure of ski lifts, tows, or any related equipment.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key issue before me on this application is whether the above exception in the Release applies here. In other words, if the employee operating the chairlift did so negligently, could that conduct fit within the description "mechanical breakdown or failure of ski lifts, tows, or any related equipment"?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plaintiff argues that the failure of the operator to stop the chairlift properly could be broadly construed as within the meaning of "failure of ski lifts". The defendant argues that it clearly does not and that the exception clause is related only to equipment failure, not employee error.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This is an interpretation issue only. Neither side has any comparable case which considered this issue, nor did either side present any law on contractual interpretation which might apply. They both simply took the position that it was obvious from the plain language of the agreement or, in the case of the plaintiff, at least sufficiently ambiguous to be read in favour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commercial context of this Release needs to be considered.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It is an agreement in relation to use of a ski hill. The employees working on ski hills who are most likely to interact with users of the ski hill are commonly referred to as lift operators. The Release defines the defendant and its employees as the Operators, and excludes liability for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It is clear that the broad language of the Release is intended to cover the conduct of chairlift operators employed by the defendant, unless otherwise within the exclusion clause.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Also, the commercial context is such that whether a beginner skier or, as this plaintiff was, an experienced skier, it must be evident to the user of a ski hill that there are dangers associated with getting on and off a chair lift. This danger was brought home to the releasor in the form of the Release. The first listed risk identified in the Release is that of boarding, riding, or disembarking lifts.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exclusion clause relied on by the plaintiff does not refer to conduct of any employee. It refers to mechanical breakdown or failure of "ski lifts, tows or related equipment". It appears that the plaintiff does not argue an employee mistake can be considered mechanical breakdown. It seems obvious that what mechanical breakdown means is the breakdown of something mechanical, namely equipment.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types of failures excluded by the exclusion clause are "failure of ski lifts, tows, or any related equipment". Again, the failure contemplated by the clause is a failure of equipment. Employees are not equipment. Failure of an employee is not failure of equipment.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The nub of the issue is this: if a chairlift fails to stop when it should stop to avoid injury, can it be considered a failure of the lift within the meaning of the Release exclusion clause, even if this failure was caused solely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an employee failing to operate the lift properly?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While equipment failure and human failure are two different things, I can conceive that human failure can lead to equipment failure. An example of this hypothetical fact pattern would be where an employee failed to perform regular maintenance on a chairlift, including tightening or checking the fasteners attaching the chair to its cable, the fasteners then loosened and fell off, and the chair then disengaged from the cable, injuring a skier. There would be a good argument that the chair disengaging from the cable would be a failure of the lift, and would fit within the exclusion clause in the release. This argument would appear sound even if the employee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led to the ski lift failure.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But on a plain reading of the Release, there has to be some kind of mechanical breakdown or equipment failure for the exclusion clause to apply, and human failure alone does not engage the exclusion clause.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If the exclusion clause in the Release was interpreted broadly to include employee error alone without related equipment failure it would significantly undermine the commercial purpose of the Release. It would be difficult to reconcile this interpretation with the whole of the language in the Release.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No doubt a large number of the accidents that occur on ski hills occur during lift loading and unloading. The language of the release in my view uses plain language to bring home to the user of the ski hill that liability for lift operator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being excluded if it is not related to mechanical breakdown or equipment failure.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There was one issue raised briefly in the evidence that I will address equally briefly.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plaintiff and her common law partner queried in their affidavit evidence whether or not the design of the entry onto the Elevation chairlift was less than ideal at the time. The plaintiff has filed evidence that the design of the loading process for that chairlift has subsequently been changed. However, the plaintiff has introduced no evidence to suggest that the defendant fell below the standard of care in the design of that particular chairlift.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defendant has filed an expert report which suggests that the design of the chairlift met all applicable standards. There are some issues as to whether the expert opinion in that regard has been properly proven, in that the expert did not provide all the necessary information to analyze his opinion, plus he relied on assumed facts that had not been proven in affidavit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It seemed apparent to me in the submissions before me that the question of whether or not the chairlift was designed properly was not being seriously pursued by the plaintiff. There is no suggestion by the plaintiff that there is any evidence that the design fell below the standard of care, or that the plaintiff needs time to explore this possibility or gather such evidence. Absent submissions to the contrary, the plaintiff must be assumed ready to have the court address the liability issue on this summary trial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There are numerous authorities where similar claims have been dismissed due to the court's finding that a release excluded the claim, determined on a summary trial basis: see </w:t>
      </w:r>
      <w:r>
        <w:rPr>
          <w:rFonts w:ascii="arial" w:eastAsia="arial" w:hAnsi="arial" w:cs="arial"/>
          <w:i/>
          <w:color w:val="000000"/>
          <w:sz w:val="20"/>
          <w:lang w:val="en-US" w:eastAsia="en-US" w:bidi="ar-SA"/>
        </w:rPr>
        <w:t>Karroll; Dawe; McQuary; Knowles v. Whistler Mountain Ski Corp.</w:t>
      </w:r>
      <w:r>
        <w:rPr>
          <w:rFonts w:ascii="arial" w:eastAsia="arial" w:hAnsi="arial" w:cs="arial"/>
          <w:color w:val="000000"/>
          <w:sz w:val="20"/>
          <w:lang w:val="en-US" w:eastAsia="en-US" w:bidi="ar-SA"/>
        </w:rPr>
        <w:t xml:space="preserve">, </w:t>
      </w:r>
      <w:hyperlink r:id="rId334" w:history="1">
        <w:r>
          <w:rPr>
            <w:rFonts w:ascii="arial" w:eastAsia="arial" w:hAnsi="arial" w:cs="arial"/>
            <w:i/>
            <w:color w:val="0077CC"/>
            <w:sz w:val="20"/>
            <w:u w:val="single"/>
            <w:shd w:val="clear" w:color="auto" w:fill="FFFFFF"/>
            <w:lang w:val="en-US" w:eastAsia="en-US" w:bidi="ar-SA"/>
          </w:rPr>
          <w:t>[1991] B.C.J. No. 61</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Goodspeed v. Tyax Mountain Lake Resort Ltd.</w:t>
      </w:r>
      <w:r>
        <w:rPr>
          <w:rFonts w:ascii="arial" w:eastAsia="arial" w:hAnsi="arial" w:cs="arial"/>
          <w:color w:val="000000"/>
          <w:sz w:val="20"/>
          <w:lang w:val="en-US" w:eastAsia="en-US" w:bidi="ar-SA"/>
        </w:rPr>
        <w:t xml:space="preserve">, </w:t>
      </w:r>
      <w:hyperlink r:id="rId335" w:history="1">
        <w:r>
          <w:rPr>
            <w:rFonts w:ascii="arial" w:eastAsia="arial" w:hAnsi="arial" w:cs="arial"/>
            <w:i/>
            <w:color w:val="0077CC"/>
            <w:sz w:val="20"/>
            <w:u w:val="single"/>
            <w:shd w:val="clear" w:color="auto" w:fill="FFFFFF"/>
            <w:lang w:val="en-US" w:eastAsia="en-US" w:bidi="ar-SA"/>
          </w:rPr>
          <w:t>2005 BCSC 1577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Loychuk v. Cougar Mountain Adventures Ltd.</w:t>
      </w:r>
      <w:r>
        <w:rPr>
          <w:rFonts w:ascii="arial" w:eastAsia="arial" w:hAnsi="arial" w:cs="arial"/>
          <w:color w:val="000000"/>
          <w:sz w:val="20"/>
          <w:lang w:val="en-US" w:eastAsia="en-US" w:bidi="ar-SA"/>
        </w:rPr>
        <w:t xml:space="preserve">, </w:t>
      </w:r>
      <w:hyperlink r:id="rId336" w:history="1">
        <w:r>
          <w:rPr>
            <w:rFonts w:ascii="arial" w:eastAsia="arial" w:hAnsi="arial" w:cs="arial"/>
            <w:i/>
            <w:color w:val="0077CC"/>
            <w:sz w:val="20"/>
            <w:u w:val="single"/>
            <w:shd w:val="clear" w:color="auto" w:fill="FFFFFF"/>
            <w:lang w:val="en-US" w:eastAsia="en-US" w:bidi="ar-SA"/>
          </w:rPr>
          <w:t>2011 BCSC 193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Mayer v. Big White Ski Resort Ltd.</w:t>
      </w:r>
      <w:r>
        <w:rPr>
          <w:rFonts w:ascii="arial" w:eastAsia="arial" w:hAnsi="arial" w:cs="arial"/>
          <w:color w:val="000000"/>
          <w:sz w:val="20"/>
          <w:lang w:val="en-US" w:eastAsia="en-US" w:bidi="ar-SA"/>
        </w:rPr>
        <w:t xml:space="preserve">, </w:t>
      </w:r>
      <w:hyperlink r:id="rId337" w:history="1">
        <w:r>
          <w:rPr>
            <w:rFonts w:ascii="arial" w:eastAsia="arial" w:hAnsi="arial" w:cs="arial"/>
            <w:i/>
            <w:color w:val="0077CC"/>
            <w:sz w:val="20"/>
            <w:u w:val="single"/>
            <w:shd w:val="clear" w:color="auto" w:fill="FFFFFF"/>
            <w:lang w:val="en-US" w:eastAsia="en-US" w:bidi="ar-SA"/>
          </w:rPr>
          <w:t>[1998] B.C.J. No. 2155</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Given the lack of evidence, I do not find it necessary to resolve the issue of whether a design error in relation to the chair lift loading might fall within the exclusion clause of the Release referring to "mechanical breakdown or failure of ski lifts".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Coming back to the central allegation here, that the employee failed to press the stop button in time, the plaintiff has advanced no argument that would explain how that type of alleged employee failure could be considered to amount to mechanical breakdown or equipment failure. There is no suggestion of any evidence that there was mechanical breakdown or failure of equipment.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I conclude that the scope of the Release is sufficiently broad to encompass the plaintiff's claim against the defendant based on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chairlift operator in delaying in pressing the stop button immediately upon seeing the plaintiff fall. I am satisfied that this is the only evidence of possible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that has been put forth by the plaintiff, and that this conduct does not fit within the exclusion clause in the Release. Given my conclusion that such conduct would fall within the scope of the Release, the defendant must succeed in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plaintiff's claim is therefore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S.A. GRIFFIN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72" style="position:absolute;z-index:25182105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38"/>
          <w:headerReference w:type="default" r:id="rId339"/>
          <w:footerReference w:type="even" r:id="rId340"/>
          <w:footerReference w:type="default" r:id="rId341"/>
          <w:headerReference w:type="first" r:id="rId342"/>
          <w:footerReference w:type="first" r:id="rId34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44" w:history="1">
        <w:r>
          <w:rPr>
            <w:rFonts w:ascii="arial" w:eastAsia="arial" w:hAnsi="arial" w:cs="arial"/>
            <w:b/>
            <w:bCs/>
            <w:i/>
            <w:color w:val="0077CC"/>
            <w:kern w:val="32"/>
            <w:sz w:val="28"/>
            <w:szCs w:val="32"/>
            <w:u w:val="single"/>
            <w:shd w:val="clear" w:color="auto" w:fill="FFFFFF"/>
            <w:lang w:val="en-US" w:eastAsia="en-US" w:bidi="ar-SA"/>
          </w:rPr>
          <w:t>R. v. D.J.W., [2009] B.C.J. No. 2015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M.J. Allan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8-11, 14-18 and 21-23,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14,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24778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[2009] B.C.J. No. 2015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BCSC 1397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198 C.R.R. (2d) 333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Regina, and D.J.W.</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(139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73" style="position:absolute;z-index:2516684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64" w:name="Keywords_9"/>
      <w:bookmarkEnd w:id="64"/>
      <w:r>
        <w:rPr>
          <w:rFonts w:ascii="arial" w:eastAsia="arial" w:hAnsi="arial" w:cs="arial"/>
          <w:b/>
          <w:color w:val="000000"/>
          <w:sz w:val="20"/>
          <w:lang w:val="en-US" w:eastAsia="en-US" w:bidi="ar-SA"/>
        </w:rPr>
        <w:t xml:space="preserve">Criminal law — Criminal Code offences — Offences against person and reputation — Criminal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Causing bodily harm by criminal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Assaults — Assault with a weapon — Assault causing bodily harm — Trial of accused, DJW, on charges of criminal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causing bodily harm, aggravated assault and assault with a weapon — Accused convicted of criminal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causing bodily harm — Motivated by religious beliefs, accused attempted to circumcise his four-year-old son, causing injury — Accused's actions were criminally negligent and his conduct caused bodily harm to his son — His conduct constituted marked and substantial departure from standard of care of reasonable person and showed wanton and reckless disregard for his son's safety.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Criminal law — Defences — Consent — Necessity — Trial of accused, DJW, on charges of criminal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causing bodily harm, aggravated assault and assault with a weapon — Accused convicted of criminal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causing bodily harm — Motivated by religious beliefs, accused attempted to circumcise his four-year-old son, causing injury — While accused may have honestly believed it was necessary to circumcise his son, he could not avail himself of defence of necessity — Four-year-old child could not, at law, consent to procedure such as negligently performed circumcision and accused could not validly give parental consent to himself, as he did not have necessary skill and knowledge to conduct circumcision.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65" w:name="Case Summary_9"/>
            <w:bookmarkEnd w:id="6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Trial of the accused, DJW, on charges of criminal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causing bodily harm, aggravated assault and assault with a weapon. The charges arose from the accused's attempt to circumcise his four-year-old son, DJ, at home. DJ was born two months premature in November 2002. He weighed 2.5 pounds and he could not have been circumcised at that time. The accused believed that circumcision was a covenant between man and God. He decided that because so many disasters had befallen his family, he had to make things right with God. The accused was adamant that it was his responsibility to make sure every male in his house was circumcised. The accused described his religion as "of the Abrahamic faith." He believed that a man had to be circumcised in order to observe Passover. An uncircumcised male would not be welcome in his family's home during Passover. The accused purchased a product called "Wonder Dust," a dressing powder and blood coagulant for use on wounds, cuts and abrasions for horses and show stock. The accused told DJ that if he was circumcised, "he would have extra special protection from God" and could eat the Passover lamb. He had spoken to DJ earlier about circumcision and emphasized that it was a way of unifying the family and being a family in God. He said he was careful not to make DJ feel that he would be penalized if he was not circumcised. He also told DJ that he would be like his father if he were circumcised. The accused had circumcised himself a few years earlier. The circumcision caused his foreskin to bleed in nine places, required the assistance of 911 and sutures in hospital, and he suffered an infected penis. At his preliminary inquiry, the accused stated that he had put a cedar cutting board under DJ's penis and then stretched out his foreskin and cut it off with a razor. At trial, the accused was adamant they had never owned a cedar cutting board and that he had been stressed and confused when he testified earlier. Ministry officials subsequently learned of the procedure, and they attended at the accused's home and arrested him. DJ was taken to the hospital, where he underwent surgery to remove the Wonder Dust, which had adhered to the skin. There was some superficial necrosis of the deeper tissue or dead fascia on the dorsal shaft of the penis just below the tip. The doctor observed an incomplete semi-circumferential incision on the proximal part of the foreskin. The cut was through the foreskin into the superficial fascia of the penis on the top half of the penis, but not all the way around the cylindrical part to the bottom part of the penis. Had the cut gone deeper than the fascia, it could have damaged the nerves and the blood supply. The doctor thought that the circumcision had been started but stopped half way through. The doctor removed the black ash and the dead necrotic tissue and completed the circumcision by removing the extra skin.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66" w:name="Holdings of Court_9"/>
            <w:bookmarkEnd w:id="66"/>
            <w:r>
              <w:rPr>
                <w:rFonts w:ascii="arial" w:eastAsia="arial" w:hAnsi="arial" w:cs="arial"/>
                <w:color w:val="000000"/>
                <w:sz w:val="20"/>
                <w:lang w:val="en-US" w:eastAsia="en-US" w:bidi="ar-SA"/>
              </w:rPr>
              <w:t xml:space="preserve">HELD: The accused was convicted of criminal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causing bodily harm and he was acquitted of aggravated assault and assault with a weapon.</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accused's subjective beliefs that he was compelled to perform the circumcision for religious reasons and that he had taken careful measures to ensure that it could be done safely were insufficient. He did not meet the appropriate standard of reasonable knowledge, skill and care to perform such an act. The accused ignored the advice of doctors and urologists and, instead, relied on his experience gained from his own badly performed circumcision and the experience of lay persons with whom he communicated over the Internet and the telephone. The fact that the accused had previously ineptly circumcised himself exacerbated, rather than minimized, his awareness of the risks of home circumcision and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Circumcision was a serious medical procedure that had to be carried out by a person with the necessary knowledge and skill. The potential consequences of the accused's actions included uncontrolled bleeding, infection and disfigurement. While the accused may have honestly believed it was necessary to circumcise DJ when he did, he could not avail himself of the defence of necessity. His motivations were selfish or deluded insofar as he believed that he was unable to live in his home at Passover with any uncircumcised male, including his four-year-old son. A four-year-old child could not, at law, consent to a procedure such as the negligently performed circumcision in question. The accused could not validly give parental consent to himself, as he was a person without the necessary skill and knowledge to conduct a circumcision. The accused's actions were criminally negligent and his conduct caused bodily harm to DJ. His conduct constituted a marked and substantial departure from the standard of care of a reasonable person in all the circumstances and showed a wanton and reckless disregard for his son's safety. DJ's injury, while significant, was at the lower end of the spectrum of bodily harm. The actual degree of the bodily harm that he suffered was not analogous to a maiming or a disfigurement, and his life was not endangered. It was not the type of injury that constituted an aggravated assault. The blade used by the accused to cut DJ's penis was not designed or intended for use in causing death or injury. The accused did not wield the blade as a weapon.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67" w:name="Legislation Cited_4"/>
      <w:bookmarkEnd w:id="6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74" style="position:absolute;z-index:2517196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Canadian Charter of Rights and Freedoms, 1982, R.S.C. 1985, App. II, No. 44, Schedule B, s. 24(1)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Constitutional Question Act, </w:t>
      </w:r>
      <w:hyperlink r:id="rId345" w:history="1">
        <w:r>
          <w:rPr>
            <w:rFonts w:ascii="arial" w:eastAsia="arial" w:hAnsi="arial" w:cs="arial"/>
            <w:i/>
            <w:color w:val="0077CC"/>
            <w:sz w:val="20"/>
            <w:u w:val="single"/>
            <w:shd w:val="clear" w:color="auto" w:fill="FFFFFF"/>
            <w:lang w:val="en-US" w:eastAsia="en-US" w:bidi="ar-SA"/>
          </w:rPr>
          <w:t>RSBC 1996, CHAPTER 68, s. 8</w:t>
        </w:r>
      </w:hyperlink>
      <w:r>
        <w:rPr>
          <w:rFonts w:ascii="arial" w:eastAsia="arial" w:hAnsi="arial" w:cs="arial"/>
          <w:color w:val="000000"/>
          <w:sz w:val="20"/>
          <w:lang w:val="en-US" w:eastAsia="en-US" w:bidi="ar-SA"/>
        </w:rPr>
        <w:t>, s. 8(1)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Criminal Code, </w:t>
      </w:r>
      <w:hyperlink r:id="rId346" w:history="1">
        <w:r>
          <w:rPr>
            <w:rFonts w:ascii="arial" w:eastAsia="arial" w:hAnsi="arial" w:cs="arial"/>
            <w:i/>
            <w:color w:val="0077CC"/>
            <w:sz w:val="20"/>
            <w:u w:val="single"/>
            <w:shd w:val="clear" w:color="auto" w:fill="FFFFFF"/>
            <w:lang w:val="en-US" w:eastAsia="en-US" w:bidi="ar-SA"/>
          </w:rPr>
          <w:t>R.S.C. 1985, c. C-46, s. 2</w:t>
        </w:r>
      </w:hyperlink>
      <w:r>
        <w:rPr>
          <w:rFonts w:ascii="arial" w:eastAsia="arial" w:hAnsi="arial" w:cs="arial"/>
          <w:color w:val="000000"/>
          <w:sz w:val="20"/>
          <w:lang w:val="en-US" w:eastAsia="en-US" w:bidi="ar-SA"/>
        </w:rPr>
        <w:t>, s. 216, s. 219(1), s. 221, s. 267(a), s. 268(1), s. 268(2)</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68" w:name="Counsel_9"/>
      <w:bookmarkEnd w:id="6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75" style="position:absolute;z-index:2517708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Crown: Daniel J. Porte.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Accused: Douglas Christie.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69" w:name="Judgment_9"/>
      <w:bookmarkEnd w:id="69"/>
      <w:r>
        <w:pict>
          <v:line id="_x0000_s1076" style="position:absolute;z-index:25182208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70" w:name="M.J. ALLAN J."/>
            <w:bookmarkEnd w:id="70"/>
            <w:r>
              <w:rPr>
                <w:rFonts w:ascii="arial" w:eastAsia="arial" w:hAnsi="arial" w:cs="arial"/>
                <w:b/>
                <w:color w:val="000000"/>
                <w:sz w:val="30"/>
                <w:lang w:val="en-US" w:eastAsia="en-US" w:bidi="ar-SA"/>
              </w:rPr>
              <w:t>M.J. ALLAN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accused is charged with three counts: criminal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causing bodily harm pursuant to s. 221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xml:space="preserve">, aggravated assault pursuant to s. 268(2) of the </w:t>
      </w:r>
      <w:r>
        <w:rPr>
          <w:rFonts w:ascii="arial" w:eastAsia="arial" w:hAnsi="arial" w:cs="arial"/>
          <w:i/>
          <w:color w:val="000000"/>
          <w:sz w:val="20"/>
          <w:lang w:val="en-US" w:eastAsia="en-US" w:bidi="ar-SA"/>
        </w:rPr>
        <w:t>Code</w:t>
      </w:r>
      <w:r>
        <w:rPr>
          <w:rFonts w:ascii="arial" w:eastAsia="arial" w:hAnsi="arial" w:cs="arial"/>
          <w:color w:val="000000"/>
          <w:sz w:val="20"/>
          <w:lang w:val="en-US" w:eastAsia="en-US" w:bidi="ar-SA"/>
        </w:rPr>
        <w:t xml:space="preserve">, and assault with a weapon pursuant to s. 267(a) of the </w:t>
      </w:r>
      <w:r>
        <w:rPr>
          <w:rFonts w:ascii="arial" w:eastAsia="arial" w:hAnsi="arial" w:cs="arial"/>
          <w:i/>
          <w:color w:val="000000"/>
          <w:sz w:val="20"/>
          <w:lang w:val="en-US" w:eastAsia="en-US" w:bidi="ar-SA"/>
        </w:rPr>
        <w:t>Code</w:t>
      </w:r>
      <w:r>
        <w:rPr>
          <w:rFonts w:ascii="arial" w:eastAsia="arial" w:hAnsi="arial" w:cs="arial"/>
          <w:color w:val="000000"/>
          <w:sz w:val="20"/>
          <w:lang w:val="en-US" w:eastAsia="en-US" w:bidi="ar-SA"/>
        </w:rPr>
        <w:t>. The charges arise from the accused's attempt to circumcise his four-year-old son D.J. at home on April 2,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Mr. Christie, counsel for the accused, seeks relief in the nature of a constitutional exemption under s. 24(1) of the</w:t>
      </w:r>
      <w:r>
        <w:rPr>
          <w:rFonts w:ascii="arial" w:eastAsia="arial" w:hAnsi="arial" w:cs="arial"/>
          <w:i/>
          <w:color w:val="000000"/>
          <w:sz w:val="20"/>
          <w:lang w:val="en-US" w:eastAsia="en-US" w:bidi="ar-SA"/>
        </w:rPr>
        <w:t xml:space="preserve"> Charter of Rights and Freedoms</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He indicated at the start of the trial that the facts of the attempted circumcision are not in dispute. He said that the accused, who is not Jewish, but follows both the Old and New Testaments of the Bible, believed that it was necessary to circumcise his son before Passover. He said that circumcision resulted from the accused's desire to fulfill his religious duty. He submits that the accused's religious motivation negatives any criminal intent.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At the commencement of the trial, the Crown noted that Mr. Christie had not given notice to the Attorneys General of B.C. and Canada pursuant to s. 8 of the </w:t>
      </w:r>
      <w:r>
        <w:rPr>
          <w:rFonts w:ascii="arial" w:eastAsia="arial" w:hAnsi="arial" w:cs="arial"/>
          <w:i/>
          <w:color w:val="000000"/>
          <w:sz w:val="20"/>
          <w:lang w:val="en-US" w:eastAsia="en-US" w:bidi="ar-SA"/>
        </w:rPr>
        <w:t>Constitutional Question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68</w:t>
      </w:r>
      <w:r>
        <w:rPr>
          <w:rFonts w:ascii="arial" w:eastAsia="arial" w:hAnsi="arial" w:cs="arial"/>
          <w:color w:val="000000"/>
          <w:sz w:val="20"/>
          <w:lang w:val="en-US" w:eastAsia="en-US" w:bidi="ar-SA"/>
        </w:rPr>
        <w:t xml:space="preserve">. Section 8(1) of that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defines a "constitutional remedy" as "a remedy under s. 24(1)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other than a remedy consisting of the exclusion of evidence or consequential on such exclusion." Section 8 requires that notice be given to both Attorneys General of any challenge to the constitutional validity or constitutional applicability of any law, or of any application for a constitutional remedy. Mr. Christie was directed to serve both Attorneys General with the appropriate notice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by the end of the day. Subsequently, the A.G. Canada's office indicated that it did not intend to intervene.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At the end of the evidence, counsel confined their submissions to the issue of whether the Crown had proven the elements of the offences charged beyond a reasonable doubt. The question of whether the accused was entitled to a constitutional exemption from the relevant legislation would only arise in the event that the Crown had proven its case on one or more of the charges.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The accused and his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accused met his wife G.W. in the Philippines in February 2000 and they married later that year in West Vancouver. Although she is well educated and clearly intelligent, she incurred a serious brain injury in a horrific motor vehicle accident shortly after their marriage. The accused was rendered unconscious and broke both wrists and an ankle in the accident. He believes that he also suffered a minor brain injury. He said that he has been to court several times in the last eight years, and has been sent to several psychiatrists who all concluded that he was sane and fit to stand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G.W. was in a coma for 21 days. Subsequently, but while she was still in the hospital, she delivered their daughter M.W. The accused had serious conflicts with the nurses before and during the birth. As soon as M.W. was born, she was taken away from her parents by the Ministry of Children and Family Development and placed in care for eight months at the behest of the accused's parents (to whom the accused had given a power of attorney). The accused testified that his mother had told the hospital staff that he was dangerous, disabled, and brain injured in order to alienate them from him. The accused was evicted from the hospital and told not to return.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D.J. was born two months premature on November 25, 2002. He weighed 2.5 pounds. Realistically, he could not have been circumcised at that time. However, the accused also testified that at the time of D.J.'s birth, he did not believe in blood sacrifices such as killing the Passover lamb and circumcision, which he described as "the chief blood sacrifice".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October 2003, G.W. and the accused separated following an argument during which one of them called 911. G.W. said she phoned because she wanted the police to take the accused out of the house for a night. The accused said that he phoned to have the police take her to a shelter for the night. Although both spouses testified that there was some misunderstanding, the accused was charged with causing "fear of bodily harm" and a no contact order was imposed as a condition of his bail order until the charges were dropped six months later. The couple then saw each other but decided to live apart to give one another other space, both physically and emotionally. The accused saw the children every week for church and at other times. The children were removed by the Ministry again in August 2006, although G.W. was vague about the reasons -- they apparently included allegations relating to domestic violence and the accused's mental health. The couple reunited when the children were removed. The children were returned on October 2,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G.W. is Catholic and she wanted the children to be raised as Catholics. The children attended church with her as well as with the accused. The accused was brought up as a Jehovah's Witness but "disfellowshipped" prior to his marriage. G.W. testified that after M.W. was born and taken into care, the accused began to talk of his spiritual quest, started meeting with other people regarding that quest, and talking about matters that were inconsistent with her Catholic beliefs.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As a result of communications over the Internet, the accused became aware of books written by Richard Hoskins. He understood that Hoskins had a Biblical answer to all of the problems in society, including the number of abortions and homosexuals, and the national debt. The accused said that Hoskins' books changed his world view and he came to understand the great utility in keeping the laws of Moses. Circumcision, which is one of those laws, is a covenant between man and God. He decided that because so many disasters had befallen his family, he had to make things right with God. He searched for local people with whom he could discuss the ideas in Hoskins' books. He discovered the A.C.P. ("Association") and was given a book called </w:t>
      </w:r>
      <w:r>
        <w:rPr>
          <w:rFonts w:ascii="arial" w:eastAsia="arial" w:hAnsi="arial" w:cs="arial"/>
          <w:i/>
          <w:color w:val="000000"/>
          <w:sz w:val="20"/>
          <w:lang w:val="en-US" w:eastAsia="en-US" w:bidi="ar-SA"/>
        </w:rPr>
        <w:t>The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Other End of the World,</w:t>
      </w:r>
      <w:r>
        <w:rPr>
          <w:rFonts w:ascii="arial" w:eastAsia="arial" w:hAnsi="arial" w:cs="arial"/>
          <w:color w:val="000000"/>
          <w:sz w:val="20"/>
          <w:lang w:val="en-US" w:eastAsia="en-US" w:bidi="ar-SA"/>
        </w:rPr>
        <w:t xml:space="preserve"> by Roger Rusk which described the Bible as a legal document and discussed the covenants between man and God.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G.W. assumed that D.J. would be circumcised as a cultural rather than a religious rite. She said that boys in the Philippines were circumcised when they were between the ages of 10 and 15. She understood from her brothers that someone in the village without any formal training lined the boys up and circumcised them using a disinfectant and a pain killer. However, her brothers were circumcised by her aunt who was a doctor.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Chronology of the accused's "planning" for D.J.'s circumcision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accused read numerous books that discussed the issues raised in Hoskins' books. After some hesitation, he concluded that the Biblical laws requiring circumcision were still in place. He rejected what he considered the standard Christian view that baptism had replaced circumcision as the important religious rite. After D.J. was born, the accused heard a seven-hour radio program on circumcision by George Gordon. He considered that to be the final moment of his conversion and he had the program transcribed so that he could study it. At that point, in late 2004 or early 2005, he decided that he had to be circumcised and that he would do it himself.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preparation for his own circumcision, the accused read everything he could find about circumcision on the Internet. There he saw horrible pictures of what could go wrong. I note that this experience is inconsistent with his frequently expressed opinion that circumcision is an obvious and simple procedure. On the Internet, he discussed circumcision with two Jewish men who lived in the U.S. He thought they may have given him advice regarding pain relief. He did not think to ask about how to prevent infection and he did not discuss the possibility of disfigurement or a failed surgery with them. One of the men said he had circumcised his nine-year-old son. The accused then searched the Bible for all references to circumcision.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accused also researched the various tools available to assist in the circumcision -- clamps, shields, the plastibell, and the zenxiring. He obtained a zenxiring from Germany in late 2004 or early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On the day that he circumcised himself, the accused had Band Aids, peroxide and a roll of gauze at hand as precautions against infection. He placed the zenxiring, a little clear plastic ring, around his penis. He understood that the purpose of the zenxiring was to act as an anaesthetic and to kill the foreskin in front of the ring so the accused would not feel it as he cut. He felt some discomfort but left the ring on for a few hours. He saw the skin turning black and concluded that he had stopped the blood flow. He took a razor blade and started cutting his flesh. When he got to the centre of the cut, one vein was still active and the blood came through. He said he thought that was interesting and wondered how to stop the blood, so he called the two Jewish men who had advised him. They told him to pinch the vein and apply pressure. The accused found that very difficult or impossible to do with the ring device on his penis. The ring came off and, because the circumcision was not healed, the edges of the skin separated and he saw a gap of one inch between the two edges of the skin. He covered it with gauze, but it kept bleeding. He was not sure how to stop it. He described his penis as a bit sore, with a dull throbbing. After 45 minutes, he called an ambulance. But before that, he phoned his mother to tell her that he was a heretic and would never go back to her church. He said he wanted to also give her one last chance to see if she would be harsh or sympathetic. She told him to call 911 and hung up. She has not talked to him since.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accused said the emergency room doctor looked at his penis and told him he had made a nice straight cut. The doctor sutured the edges together. The accused declined a needle with anaesthesia because he was afraid the needle might break and he would have a broken needle in his penis. He now has a small scar running around his penis but no disfigurement, impaired function, or entrapment.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After his hospital attendance, he saw Dr. Robbertse, a general practitioner, a number of times to make sure he was healing properly. Dr. Robbertse told him he had an infection and gave him polysporin, which healed the infection.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accused said that his greatest regret was that he did not have access to sutures. If he did, he would have sewed himself up. He was worried that the Ministry would misconstrue the fact that he went to the hospital as proof that he botched his circumcision.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accused conducted additional research before circumcising D.J. During his Internet search, he discovered that in the Jewish Orthodox faith, circumcisions were performed by mohels, who used their long jagged fingernails to cut off the foreskin and separate it from the glans; they then sucked on the end of the penis to get rid of the blood and cleanse the wound. He decided that he did not want a rabbi or a mohel to circumcise his son. He did not concede in cross-examination that he knew that this practice was rarely if ever practiced in modern times in North America. He did agree that he believed Reform Jews would not engage in that 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However, the accused also testified that he consulted two rabbis in Vancouver as part of his "due diligence" to see if having D.J. circumcised by a mohel was an option. One rabbi told him that it was not possible because D.J.'s mother was not Jewish. The other rabbi gave him the phone number of Dr. Neil Pollock. The accused phoned Dr. Pollock who said he would not circumcise a four-year-old boy because he would require a general anaesthetic, and declined the accused's request to assist him. Dr. Pollock told him that he ran a course to train mohels in circumcision on the Internet. The accused signed up for that course in February 2007; however, he was then told that Dr. Pollock only trained doctors.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accused said he was aware that Dr. Pollock used an anaesthetic cream but he was unable to obtain it. He agreed that the course involved a couple of days of intensive training -- initially on dummies, then watching circumcisions, and then doing them under supervision.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accused had never personally observed a circumcision other than his own. At his preliminary inquiry, he testified he had never observed videos of circumcisions, but at trial, he said he had done so but forgotten that fact earlier. He said that the lesson he learned from his own circumcision was that the most immediate danger is from bleeding. He decided that his own circumcision had been too complicated and concluded that if he did his son's circumcision with a simple quick cut, the bleeding would stop by itself. He had tried to avoid all bleeding with his own circumcision but later believed that was wrong because the covenant of circumcision requires the cutting of flesh, and there must be some blood. There is no such thing as a bloodless covenant in the Bible.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accused asked his family doctor, Dr. Etches, if he would circumcise D.J. When he declined, the accused told him that he planned to do it himself and asked Dr. Etches if he would assist. The doctor told him it was not a good idea for him to circumcise his son and that he could not support it. The accused testified that he did not discuss the method he proposed to use because the circumcision was a covenant -- and there was no point in asking a doctor how to do a covenant circumcision.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Dr. Etches told the accused he should consult a urologist. The accused said he attempted to reach a number of urologists and spoke to two by telephone. Both said they would not circumcise a four-year-old boy. The accused also discussed the proposed circumcision with Dr. Robbertse, who said he would not do the procedure or assist the accused while he did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January 2006, the accused took his family to Dr. Andreau, a urologist in Surrey, and asked if he could circumcise D.J. G.W. thought the urologist said it would cost $4,000 or $5,000; the accused thought it was between $2,000 and $3,000. Dr. Andreau told the accused that D.J. would have to be put under a general anaesthetic and it would be hard to gauge the correct amount for a boy as small as D.J. The accused had taken a month to heal from his circumcision but he understood from Dr. Andreau that a young child would heal within a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G.W. said that, at about this time, the accused hinted that she could ask her lawyers for an advance payment from her settlement to pay for the circumcision. Her lawyers had settled her personal injury claim for $1.75 million in October 2006 but she did not receive any money until January 2008. She said that every time the accused talked about circumcising D.J., she would tell him to wait until she had the money to take D.J. to the Philippines and have him circumcised by her aunt who was a doctor, or by someone else who was qualified. She testified that when the accused told her he could not wait because Passover was coming, she did not understand the connection. However, in cross-examination, she conceded that he told her if she didn't get the settlement money, he would do the circumcision himself because Passover was coming and there was no time. When she asked him if he was confident he could do it, he replied, "I guess I will have to." He also told her that if D.J. were not circumcised, he would have to leave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accused agreed that G.W. had repeatedly told him that when she got her settlement money, they would go to the Philippines to have it done by a doctor, and that she told him not to do it because they would get into trouble with the social workers. The accused agreed that if they had the money, he would have followed that course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accused said that two weeks before Passover, he made contact with one of the "brethren", T.M., and his wife B.M. They were dog breeders in the U.S. and B.M. apparently had some past experience working with nurses. The accused and T.M. had previously communicated in 2006 about the fact that they kept the Sabbath, not on Saturday or Sunday, but according to the new moon, as set out in Genesis. In March 2007, the accused mentioned circumcision, to which T.M. responded he had circumcised his 13-year-old son and he had a whole website dedicated to the subject. T.M. told him that part way through the circumcision, he could not stop the bleeding so he called his wife who gave him Blood Stop powder to stop the bleeding, seal the wound, and prevent infection. The accused understood that after a month, the black tarry substance left by the powder dropped off the penis by itself. T.M. told him that Blood Stop powder is used by veterinarians to control bleeding in animals.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accused tried to find Blood Stop powder but the closest location at which he could purchase it was in Cloverdale and it cost $30, which he considered too expensive.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accused was adamant that it was his responsibility to make sure every male in his house was circumcised. He had made plans to drive down to the U.S. to spend the Passover week with a friend, Larry, who lived in Washington State. He thought that by removing himself from the home for the week, he could delay doing D.J.'s circumcision until he could find a doctor to do it or at least supervise him. Larry sent him money for gas, and he drove down on March 31. They chatted but then disagreed about the accused calculating the Sabbath from the new moon. Larry decided the accused was following Satan and did not want to share the Passover lamb with him, so the accused left.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When the accused was driving through Washington State, he stopped at a feed and tackle shop and was told that Wonder Dust was the equivalent of Blood Stop powder and much cheaper. He said because he still had some of Larry's money, he had no excuse: he could afford the Wonder Dust and a blade, and now he had to return home. The accused understood that Wonder Dust was made to a sufficiently high standard to use on a million dollar racehorse. The label reads "Wound Powder for horses and show stock." It states "Contains activated charcoal -- aids in the prevention of proud flesh." It contains cautions that it should be kept out of the reach of children and that it is "not for human use. For veterinary use only." The container also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General: Wonder Dust is a dressing powder and blood coagulant for use on certain types of wounds, cuts and abrasions. Specially formulated for use on horses and valuable show stock. A caustic and drying agent for slow-healing lesions and excessive granulated tissue (proud flesh). Also for use on other livestock as a blood-stop powder after castrating, coking or dehorning. Plus, it contains a deodorant to remove objectionable odors from foul or infected wounds.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accused said that he had a high degree of confidence in the Wonder Dust. He thought that the admonition against human use was simply for the manufacturer's liability protection and FDA concerns. He believed that it was used as a folk remedy for hikers and people who were far from a hospital who cut themselves.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When he returned home on April 1, he decided that if D.J. did not want to be circumcised, G.W. would be responsible; but if D.J. agreed, -- he was a male and had the right to eat the Passover lamb. He told D.J. that if he was circumcised, "he would have extra special protection from God" and could eat the Passover lamb. He said the cutting would be brief and might hurt a bit but not for long. When D.J. told him he was ready to be circumcised, the accused felt that he had no more escape routes. He had spoken to D.J. earlier from time to time about circumcision and emphasized that it was a way of unifying the family and being a family in God. He said he was careful not to make D.J. feel that he would be penalized if he was not circumcised. However, the accused said if D.J. was not circumcised, he would have left the household for as long as D.J. was not circumcised. While he did not remember telling D.J. that specifically, he did tell D.J. that it would make it difficult to stay together as a family. The accused also told D.J. that he would be like his father if he were circumcised, and that he could have all the ice cream he wanted afterwards and pick the movies for a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accused did more research that night and shopped for the necessary supplies the next day. At trial, he insisted that he had purchased a brand new white plastic cutting board at London Drugs that day for the purpose of cutting D.J.'s foreskin. At his preliminary inquiry, he stated that he had put a cedar cutting board under D.J.'s penis and then stretched out his foreskin and cut it off with a razor. He described it as a regular cutting board used to cut food on, and that he found it somewhere in the kitchen. He did not recall when it was bought. At trial, the accused was adamant they had never owned a cedar cutting board and that he had been stressed and confused when he testified earlier.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The circumcision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accused had purchased some rocks or flints with sharp jagged edges over the Internet. He thought that he might use them for circumcising D.J. and "other messianic brothers" who wanted to keep the covenant. He considered that using them would be Biblically authentic. He also purchased razor blades that were sharp enough to cut leather, rubber, carpet and the like. He said he decided he would use the flints if he had a vision from God to use them that day, but he had no such vision.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At trial, the accused said he wished he had known about the use of ice to numb the area, but then mused "how would the Israelites have obtained 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accused put the flint stones and the razor type of blade in a pot of boiling water and then gave D.J. some honey wine that he had made. He estimated that the wine was between eight and 12 percent alcohol and that he gave D.J. about a teacup full -- an ounce at a time every 15 minutes or so. B.M. had told him how much wine to give D.J. based on his weight. He then took his daughter with him to Canadian Tire and Home Depot so that he could look at hardware and relax. He was tense and stressed about performing the circumcision. He left D.J. with G.W. and assumed they were napping. When he got home, he found the water in the pot had boiled away. The blade was on top of the rocks and he thought it was still very sharp. He added more water and boiled the pot again. He believed he had washed the blade first because there was likely oil or grease on the blades in the package. He washed the cutting board with soap and then poured boiling water over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accused laid D.J. on clean garbage bags on the kitchen floor and put a clean towel or diaper under him. He said he ensured D.J. would not move around by talking to him like an adult, explaining what he thought would happen, and then giving him a choice. He said he told D.J. it would hurt and described each step, "so that he felt in control and in possession of his faculties". He showed D.J. the blade and where the cut on his foreskin would be, and told D.J. it was important that he not move. He said that D.J. told him in clear terms that he was ready to go ahead.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accused planned to pull the foreskin beyond the penis and cut a small amount at the end in such a way that the penis would be protected. He was adamant at trial that there is a significant difference between a medical circumcision and a Biblical covenant circumcision. He said that the cutting of D.J.'s foreskin might have taken as much as five seconds but probably took no more than two seconds. The accused made two slices -- forward one way and back the other. When he pulled the foreskin taut, he sliced forward on the foreskin but the cut did not go all the way through the foreskin, so he pulled it back in the same groove to complete the cut. He agreed he had used a sawing motion, although the blade did not have a serrated edge. When he made the first cut, D.J. made a small jerk and the accused's hand jerked a little. As he said he still held the foreskin, I conclude it was the hand holding the knife that slipped. He told D.J. to be still again and made the second cut. The cut started to bleed after a second or two. The accused used paper towels to soak up the little bit of blood and then applied the Wonder Dust. He said you could see the tip of D.J.'s penis so he was not worried about D.J.'s ability to urinate. After he applied the Wonder Dust and tissue to the penis, D.J. bled for another five or 10 minutes, and the bleeding continued to decrease.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He testified that D.J. said "ouch" because it hurt him, that he cried a little for less than two minutes following the procedure, and then he fell asleep. While D.J. was still on the floor, the accused gave him some ice cream, said he was keeping his promise, and told D.J. he could pick all the movies for the week. D.J. then fell asleep again.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accused did the circumcision at about 5:30 p.m. and checked D.J. periodically. He was satisfied that D.J. was sleeping soundly and his penis was not bleeding. He moved D.J. to the couch either before he left the home with M.W. to go to the Assembly of the Eternal at 7:00 p.m., or when he returned at 10:00 p.m.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Post circumcision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Although G.W. was asleep in the bedroom when the accused circumcised D.J. that day, she said she was not surprised as he had been hinting that he would do so. Since late 2006, he had been asking her when she would get her settlement money from the accident to pay for the circumcision. However, she did not think he was serious about doing it himself and, at the preliminary inquiry, she had said it came as a surprise because the circumcision was not planned. She said she woke up to D.J. crying during the circumcision but then went back to sleep because she was exhausted. Because she knew the children were with their father, she was not concerned.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When G.W. got up, she found D.J. asleep on garbage bags on the kitchen floor with sheets both under and over him. The accused insisted that they were plastic sheets, and not garbage bags, although he conceded that they came from a box and some people would use them as garbage bags.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G.W. was left to supervise D.J. when the accused went out that night. She testified that she was unable to inspect D.J.'s penis because she cannot face the sight of blood -- it makes her weaken and want to pass out. The accused felt that she would be able to see any blood through the coverings over D.J.'s penis and she would contact him if there was a problem. The accused said that when he came home, D.J. was asleep and his penis was not bleeding.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G.W. recalled sleeping on a loveseat beside D.J. that night, but the accused said she slept in the family bed with him and M.W. and that they left D.J. on the sofa.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In the night, D.J. called for his mother. She awoke and had the accused take him to the bathroom. She agreed that D.J. was upset, uncomfortable, and crying when he woke up. The accused said the cut had opened up and there was blood on the paper towels that covered D.J.'s penis. The accused said he could see a hole in a vein. He told D.J., who was crying, to stay still and he pinched the vein for two minutes to reroute the blood. He then dried the area with a towel and applied more Wonder Dust. He did not think there was more than a tablespoon of blood. He said that D.J. cried for between five and 10 minutes until the bleeding stopped.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next day, Tuesday, D.J. stayed on the sofa sleeping and resting. The accused carried D.J. to the washroom when he needed to go to the toilet and checked his penis periodically to make sure there was no bleeding or sign of infection. On Wednesday, the accused and M.W. went to Abbotsford for a Passover celebration and stayed the night there after they had killed the lamb, eaten it, burnt the remains and the adults drank wine. He believed that he should leave D.J. at home as there was a minimal risk that the cut might reopen if he were moved. He had read an article describing how an infant had bled to death after his circumcision cut opened two days after the operation. He believed that he was mitigating that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G.W. said that the accused checked D.J.'s penis from time to time when he was at home and that she took D.J.'s temperature. She said that D.J. did not complain about pain and ate some food. G.W. recalled D.J. getting up from the sofa on Wednesday and she felt he was recovering as expected. She said she would have taken D.J. to the doctor or to hospital if there was a problem and she phoned her mother in the Philippines several times to discuss his recovery. G.W. described D.J. on Thursday as cheerful and active. However, the accused said that D.J. walked to the washroom very slowly and carefully with his legs apart to keep his penis away from his legs.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On Friday, April 6, the children went next door to play. The accused said D.J. was playing, but still moving slowly and cautiously. Richard Edwards, a social worker with the Ministry, received information that day that the accused had circumcised his son. Mr. Edwards and his supervisor decided that the report raised child protection concerns. He attended the accused's home that day with two police officers to keep the peace. Mr. Edwards spoke with the accused and his wife and observed D.J. playing with other children next door. He wanted to speak to D.J. but when the accused brought his son home, Mr. Edwards observed that D.J. was tearful and upset and decided to talk to the parents instead.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accused told Mr. Edwards that he had circumcised his son for religious reasons, that the religion was Hebrew, and that it was custom. He said he used a sanitary and clean instrument and that a friend had been present. He said that he had learned to do it from a few people at his church. He said he used "home brew" and the circumcision took place in the kitchen.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The female police officer asked Mr. Edwards: "do we have a yes?", and he answered in the affirmative. She then arrested the accused for aggravated assault and read him his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 Later, one of the officers said they had decided not to arrest him then because he had no malicious intent. Mr. Edwards told G.W. and the accused that they wanted to take D.J. to the Children's Hospital to be seen by a doctor to confirm that he was all right. The accused said he thought that it would benefit everyone to confirm that D.J. had been properly circumcised. He expected D.J. to be brought home that afternoon. Mr. Edwards left the accused with M.W. in the home. That afternoon, the accused wanted to go to a meeting downtown, so he left M.W. with the tenant in the basement.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Mr. Edwards described the home as disorganized and cluttered with dishes, papers, and clothes, etc., but he did not consider it hazardous to the health of a child to live there. The condition of the house did not cause any concerns that would lead to the removal of a child. In cross-examination, he agreed that he would not have removed D.J. if the circumcision had been performed by a rabbi or a doctor. He also agreed that D.J. was not visibly uncomfortable.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G.W. said that when they got to the hospital, the nurses, doctors and hospital social workers were shocked when they saw D.J.'s penis. G.W. felt that they looked at her as if she was a criminal. She said D.J. screamed when the nurses treated him. At the preliminary inquiry, she said that he was crying after the circumcision the same as when he was given an injection at the hospital. G.W. was unable to tell them what the black ash-like substance on his penis was. She reached the accused by telephone and he told her it was Wonder Dust. The social worker who replaced Mr. Edwards told her that the Ministry was removing the children. G.W. said that she stayed with D.J. at the hospital on Friday and Saturday night.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At the Children's Hospital, D.J. was first examined by Dr. Colbourne, a paediatric emergency physician. She observed a coating or shell of hardened ash, like a beehive, on his penis. She tried to soak it off in a sitz bath without success, and asked the urology team to examine him. She found no redness or inflammation in the area that would indicate infection.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In Dr. Colbourne's expert opinion, circumcision should be done with the proper sterile instrument by someone with the proper training. The biggest risk is uncontrolled bleeding, so suture material should be at hand. Sedation and/or analgesia should be given with resuscitative equipment available. Alcohol is not a suitable analgesic or sedative. It is not appropriate to give alcohol to children because it is impossible to measure the effects and there are possible negative outcomes.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In cross-examination, Dr. Colbourne said that she had observed a Bris or religious circumcision, when she was in training but it was performed in the nursery in a sterile environment. She was aware of the Jewish tradition in which people who are not doctors perform circumcisions of male babies in the home. She agreed there was no medical testing of such people but understood they had been through a training program. She agreed that circumcision is generally a minor surgical procedure in infants but that it would have been extremely dangerous to circumcise a baby such as D.J. who weighed 2.5 pounds when he was born. She did not observe any infection, bleeding, or adverse affects from the alcohol D.J. had been given.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Dr. Afshar is a paediatric urologist who practices at Children's Hospital and performs circumcisions. He was qualified to give an expert opinion in the area of paediatric urology. He said training in circumcision was part of his urology residency. At first he just watched the procedure, then he became more involved until he could perform a circumcision without supervision by the end of his five-year residency.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He described circumcision as a painful procedure. Although newborns are just given local anaesthetic to numb or freeze the penis, a general anaesthetic is appropriate for a child. Dr. Afshar described the procedure: the foreskin is cut to remove some of the cylindrical skin structure, but enough is left to permit the two edges to be joined together for cosmetic reasons. There can be a single cut, where the foreskin is pulled over the penis, is cut, and then retracts. Or, the foreskin can be pulled back, two parallel incisions are made circumferentially around the band, and then the sleeve of skin is removed. The two free edges are clamped or sutured together.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Dr. Afshar said there the surgeon will always be concerned about cutting too deeply and about the location of the cut. It is important to cut only the foreskin and not the shaft, the glans, nerves or the urethra. The penis shaft is very vascular and may bleed a lot if cut.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Dr. Afshar examined D.J. on April 6 after he had been told that his father had attempted a home circumcision on him. He observed a black ash-like material covering most of the penile shaft and he was unable to retract the foreskin in order to examine the tip of the penis. He could not remove the ash-like material with gentle methods of washing. He observed that there was no active bleeding or sign of infection in D.J.'s legs or scrotum. He could not see if any of the foreskin had been removed or what shape the penis was in because the black ash covered most of the shaft or body of the penis towards the tip.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He took D.J. to the operating room on an urgent basis. D.J. was given a general anaesthetic and Dr. Afshar removed the very adherent ash-like material with scissors. He talked to G.W. beforehand and explained that he had to remove the ash-like material in order to examine the penis completely, and to make sure there was no deeper damage or ongoing infection below it. He said he needed to explore and debride the wound.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Dr. Afshar testified that the purpose of a general anaesthetic is to put the patient to sleep, give pain relief, and erase the memory of the operation. It is important that the patient not be moving so that the surgeon can be accurate. When children are afraid, they may become agitated and combative -- they may kick and scream. He said that without an anaesthetic, the operation would have been painful for D.J. and there would have been a danger of damaging D.J.'s penis because they operation could not be performed on a moving target.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Dr. Afshar removed the black ash with sharp scissors to expose the whole area. There was some superficial necrosis of the deeper tissue or dead fascia on the dorsal shaft of the penis just below the tip. He said you cannot leave necrotic material in the surgical field because of the danger of infection. The result of necrotic fascia will be a scar that is thicker than a surgical scar. The scar may also heal poorly and present cosmetic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Dr. Afshar observed no damage to the urethra. He observed an incomplete semi-circumferential incision on the proximal part of the foreskin. The cut was through the foreskin into the superficial fascia of the penis on the top half of the penis, but not all the way around the cylindrical part to the bottom part of the penis. Had the cut gone deeper than the fascia, it could have damaged the nerves and the blood supply. At the time, he thought that the circumcision had been started but stopped half way through. He did not think that any of the foreskin had actually been removed, but admitted that it was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Dr. Afshar removed the black ash and the dead necrotic tissue and completed the circumcision by removing the extra skin. He completed the incision all around the circumference and then made a second parallel incision leaving a cuff of five or six millimetres between the cuts. He then removed the cuff and sutured the two edges of the foreskin together.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Dr. Afshar said that if he had not completed the circumcision, D.J.'s penis would have had a very abnormal appearance as the flap of foreskin stuck out on two sides like two arms. The cut may have healed in an uncontrolled fashion. D.J. would have had a scar which might have been irregular and unsightly. Tissue is elastic but scar tissue is hard and inflexible and D.J. may have had a trapped penis -- where the tip cannot come out through the foreskin. In cross-examination, he confirmed that the likelihood of a trapped penis was high.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Dr. Afshar applied a dressing and admitted D.J. to the Hospital for observation. He later observed D.J.'s penis in the clinic, noting that it had healed nicely and looked like a normal circumcised penis.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Dr. Afshar said that one should never give alcohol to a child as an anaesthetic, not even an ounce. Alcohol is a depressant and can lead to respiratory arrest, over-sedation, aspiration, and other serious results in a child. It would be hard to judge the amount of alcohol that would be safe.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In Dr. Afshar's opinion, the home is not an appropriate place to perform a circumcision. The ideal forum is an operating room -- a sterile environment with access to an anaesthetic to minimize pain, and anxiety, and prevent moving. The area would be cleaned with antiseptic to prevent infection. The doctor covers the surgical area and the penis with surgical drapes made of a sterile fabric. If necessary, stainless steel trays are used under the organs because they are easy to sterilize, not toxic to the body, and do not break. For the circumcision itself, a cutting implement designed for the purpose is used: a stainless steel surgical blade that is much sharper than a knife, is sterilized, and used only once.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In Dr. Afshar's opinion, the Wonder Dust was a totally inappropriate substance to apply as a wound healer for a human being. The label says it is for veterinary use only and it is a product for use on animals; it is not for human use and should be kept out of the reach of children. The Wonder Dust, which covered a two to five millimetre gap between the two edges of the cut, appeared to be unsterile material on an open wound, which raised concerns about bleeding, infection and necrosis. The ash could not, as Mr. Christie suggested, act as a suture between the two edges of the cut foreskin. He said that one edge of the cut skin cannot meet the other edge if there is foreign material between the edges. Thus, there would be a larger scar.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Dr. Afshar also examined the blades that the accused used and said they were not appropriate to use to perform a circumcision. They were not sterile. They were thicker than surgical blades and not as sharp. A thicker blade requires more force to cut the skin and may cause bleeding. A wooden board under the penis would not be appropriate. If the board had been used in the kitchen, it would be covered with bacteria from foods -- it would be an invitation to infection.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In cross-examination, Dr. Afshar agreed that in Ontario, male circumcisions are exempted from the </w:t>
      </w:r>
      <w:r>
        <w:rPr>
          <w:rFonts w:ascii="arial" w:eastAsia="arial" w:hAnsi="arial" w:cs="arial"/>
          <w:i/>
          <w:color w:val="000000"/>
          <w:sz w:val="20"/>
          <w:lang w:val="en-US" w:eastAsia="en-US" w:bidi="ar-SA"/>
        </w:rPr>
        <w:t>Regulated Health Professions Act</w:t>
      </w:r>
      <w:r>
        <w:rPr>
          <w:rFonts w:ascii="arial" w:eastAsia="arial" w:hAnsi="arial" w:cs="arial"/>
          <w:color w:val="000000"/>
          <w:sz w:val="20"/>
          <w:lang w:val="en-US" w:eastAsia="en-US" w:bidi="ar-SA"/>
        </w:rPr>
        <w:t xml:space="preserve"> if they are done as part of a religious tradition or ceremony. He also agreed there is no prohibition in B.C. against circumcisions done by people who are not medically trained. However, he does not agree with the practice of non-medical circumcision because he has seen complications of home circumcisions when people are brought to the hospital. He agreed that the major problem is infection and that in this case, there was no infection.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Dr. Afshar agreed that he had observed no active bleeding or open vessels. There was no damage to the glans, the nerves, or the core tissue of the penis. There was no functional damage to the penis or to the urethra. Had there been such problems, they would have been evident by the time he observed D.J. However, he believed that it may have taken a couple of weeks for long term complications, to become evident. It was his professional opinion that surgery was necessary to prevent any complications and to ensure there was no infection, disfigurement or other functional problem such as a trapped penis. He did not agree that the absence of any infection, bleeding, or other problem meant that, in retrospect, the circumcision had been done reasonably.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When D.J. was discharged from the hospital, he was taken to a foster home. He and M.W. were in the care of the accused's parents for the next two and a half years. The grandparents apparently disapprove of the religious views of both G.W. and the accused.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When the accused took the bus home at about eight o'clock that night, he saw a police car in front of his house. He thought something must have gone wrong and that he would probably need legal counsel, whom he thought would be difficult to find from jail on a weekend. He phoned G.W. and learned there was a warrant for his arrest and that the doctors were panicking because they had no idea what the black tarry substance was. He told her to tell them it was Wonder Dust. He then went to a friend's home and located a lawyer. He has not been allowed to speak to D.J. since then.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D.J., who is now six, and his sister M.W., who is now eight, were called as witnesses for the Crown. Both children presently reside with their mother. It is a condition of the accused's bail that he not have any contact with D.J. D.J. recalled that his dad had circumcised him in the kitchen of their home while he was lying on a garbage bag on the ground. He said his father "used a rock that he opened" and "it had a cover". He did not recall eating or drinking anything first. He was asked how it felt and said "not really bad". He was asked if he wanted his dad to do it and answered "I was saying yes. I said yes." He said he was sort of bleeding. He said he did not really cry very much. His dad told him that he had done it to himself but D.J. could not remember why he was going to circumcise D.J. His dad had said before the circumcision that, afterwards, they could eat ice cream and watch movies at night.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In cross-examination, D.J. said he did not really have many discussions with his dad about circumcision. When Mr. Christie asked him if his dad had said he could not share in the Pascal lamb, he first replied "What is that?" but then he agreed that his dad had talked about lamb and said he could watch movies, and eat both ice cream and the Pascal lamb. D.J. agreed that his dad had told him he had circumcised himself and that is what God had wanted. His dad asked him if he wanted to be circumcised and he told his father that he did. He agreed that it was so he could have Pascal lamb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He remembered that after the circumcision, he lay on the couch for a while, ate ice cream, and watched movies. He thought that the next day he went to see the cows in Birch Bay. He said he felt better for some time before the social worker and police officers came, and that he had been playing outside with his sister.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He was sure that there was no towel or cloth when he was lying on the garbage bag during the circumcision. He did not recall any board. He said his dad used a rock that was shaped like a knife and boiled it first. When he was asked if his father was kind to him, he replied, "sort of". He agreed he wanted to be circumcised to be like his dad.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M.W. recalled that her dad had done something to her brother's penis in the kitchen. She saw him lying down on the garbage bag on the floor. She thought there was something else under D.J. but could not remember what it was. She saw D.J. drink something from a glass. Their dad gave it to him and said it would not hurt so much after if he drank it. She thought she had known in the days beforehand that her dad would do the circumcision. She did not see the actual circumcision but went to the bedroom where her mother was. She saw some sharp stones that her dad had boiled before.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M.W. said D.J. cried a lot after it happened. She recalled that D.J. could not play and had to go to the hospital. She saw his penis and the blood and could not remember if their dad had put anything on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In cross-examination, M.W. did not recall her dad saying that D.J. would have ice cream and movies afterwards although he had talked about it before. She did not recall any talk about Pascal lamb or eating lamb in the Fraser Valley. She recalled going to Birch Bay with the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M.W. did not recall how long D.J. had cried. She remembered that he could not stand up but did not remember playing outside with D.J. when the police arrived.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The Credibility of the Accused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When he was affirmed, the accused swore to tell the truth "to the best of my ability". He said that he had taken a course and learned that the average person lies 40 percent of the time even when trying to tell the truth. Generally, however, I found the accused a truthful witness. I did not accept his evidence that he had bought a plastic cutting board which he used instead of the cedar board he had described a number of times at the preliminary inquiry.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accused's evidence was inconsistent on the issue of whether he would have had a doctor circumcise D.J. if he had enough money. At times, he took that position. However, on other occasions, he was adamant that D.J. had to have a religious circumcision rather than a medical one. He had strong views about the amount of foreskin that should be removed -- less than in a medical circumcision. In any event, the doctors he consulted said that they would not circumcise a small boy such as D.J. because of the dangers of administering a general anaesthetic -- which was absolutely necessary. The accused cannot successfully plead poverty as a defence or an excuse.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accused's evidence was also inconsistent with respect to the use of a mohel. On the one hand, he said that he was repulsed by the unhygienic practices he understood that they employed. On the other hand, he said that he had consulted two rabbis to see if a mohel would circumcise D.J.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 also find that the accused minimized the physical and emotional impact that the circumcision had on D.J. and maximized D.J.'s maturity and comprehension of the procedure.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The Accused's Religion and the Practice of Home Circumcision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 accused described his religion as "of the Abrahamic faith". In 2005, he began to attend a study group known as the A.E. ("Study Group") on Saturdays.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M.R. has known the accused since 2005 when the latter joined the Study Group. The group of 15 to 20 observers, which split up in the summer of 2009, observed the first five books of the Old Testament. M.R. was the main preacher at their Saturday meetings, although his brother and the accused occasionally preached. The group believed that a man cannot participate in Passover without being circumcised. M.R. stopped preaching there about two years ago because his spiritual beliefs -- questioning the New Testament and the role of Messiah -- were not compatible with those of the Study Group. He described the Study Group as like the Jewish faith in some ways but not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M.R. approves of the fact that the accused has a Mezuzah with the Ten Commandments posted beside his front door. The accused also wears tzitzis -- small blue tassels on the bottom of his suit jackets. Historically, tzitzis are "fringes" or "tassels" worn by observant Jews on the corners of four-cornered garments. M.R. said most Jews would wear them on their undergarments and he admired the accused for wearing them visibly.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Mr. Christie called F.W., an elderly gentleman who is a member of the Association, to speak to his knowledge of the accused's character in the community. F.W. met the accused at an Association meeting about five years ago. The accused irregularly attended those meetings of mostly elderly folk who subscribe to the theory of British Israel and the ten lost tribes. The accused described their main belief that white Anglo Saxons are one of those ten lost tribes of Israel.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When asked about the accused's general reputation for sincerity and honesty, F.W. replied that was never questioned. The accused said what was on his mind, was exceptionally well read in the Scriptures, and was exact to the extreme. He did not recall the accused ever being caught in a lie or exaggerating something. He got along with most of the members but some people shied away from him. F.W. described some bad feelings between the accused and another member, and said the accused rarely attends meetings 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F.W. also belonged to the Study Group for about four or five months but he adamantly rejects the concept of a Saturday Sabbath. He described the dispute over the Sabbath as one of the biggest arguments in all religion.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Mr. Christie called L.S. as a witness for the defence. She testified that she had circumcised her husband and her three adult sons -- she did a clipping at the edge of the foreskin, rather than the removal of the entire foreskin. She said that there were only a few drops of blood after she did her clippings. On the advice of her family doctor, she used a bag of ice on the head of the penis to numb the area and limit bleeding before she cut the foreskin in one cut. She has done as many as 10 circumcisions without any difficulties during or after the procedure. She used an x-acto knife or a knife with a long blade sterilized in hot water, gauze, and polysporin to prevent infection and stop the bleeding. She said the knife should be as sharp as possible to get a clean slice without multiple attempts. She did not place the foreskin on anything before cutting it. She is aware of other families who have done home circumcisions, including one on a five-year-old boy, and did not know of any problems or complications. She described the procedure as "a no-brainer" that was virtually painless and said the men and boys suffered no ill effect at all afterwards.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L.S. said she and her family and some friends were previously Christian but broke away from the traditional Christianity which they believe has disregarded the Old Testament. They believe that a dozen years after the crucifixion, Paul wrote letters suggesting that it was not necessary to obey the Biblical food laws or foreskin circumcision. She said that Christians have replaced circumcision with baptism. She came to the belief in about 1994 that circumcision of the men in a household was necessary to enter into the covenant with God. She testified that she and her husband had many disagreements about circumcision: she was in favour of it and he was not. One night in 1994, after fasting and praying for a week in Mexico, her husband had heard the voice of God asking: "What about my Sabbath?", and the family had changed their day of worship from Sunday to Saturday. Later, in 1998, she was driving home at night from an auto auction and heard the voice of God asking: "What about my circumcision?" She was able to convince her husband to study the issue further and he concluded that men still had to be circumcised. After L.S. heard the voice of God, she had a number of dreams which she interpreted as symbolic of circumcision. They led her to the conclusion that the circumcision only needed to be a clipping. They believed that a medical circumcision would cost between $4,000 and $6,000.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After L.S.'s family and two other families decided to circumcise the men in their households' families, they read about the subject on the Internet. They decided to perform the circumcisions a couple of weeks before Passover in the spring of 1999. Earlier on the day of the procedures, L.S.'s husband phoned to tell her that he had attempted to circumcise himself and had cut himself in a number of places. She decided to take charge. She went to her doctor to discuss her planned method, and then to the pharmacy to get supplies.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L.S. and her family now celebrate the Jewish holidays. She believes that a man must be circumcised in order to observe Passover. An uncircumcised male would not be welcome in her family's home during Passover.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L.S. did not meet the accused before he circumcised D.J.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C.J. testified that he had performed a circumcision on himself in March 2005 in order to keep the Passover feast and be obedient to the Bible's instructions. He used a utility blade and wooden board, and took off about a quarter of an inch of his foreskin. He had prepared a bandage in advance with polysporin on it. He used ice to numb his penis. He estimated that he had bled about five to 10 millilitres of blood into the bandage and that his penis took about three to four weeks to heal. He said the pain of the actual circumcision was about eight on a 10 point pain scale. His father-in-law at the time was Brian M. who had been circumcised by L.S. and who had told C.J. of the procedure.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C.J. met the accused at the Passover feast in his home in April 2007 after D.J.'s circumcision. C.J. described the killing of the lamb at Passover as a significant Biblical 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Count 1 -- Criminal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Causing Bodily Harm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Section 219(1) of the </w:t>
      </w:r>
      <w:r>
        <w:rPr>
          <w:rFonts w:ascii="arial" w:eastAsia="arial" w:hAnsi="arial" w:cs="arial"/>
          <w:i/>
          <w:color w:val="000000"/>
          <w:sz w:val="20"/>
          <w:lang w:val="en-US" w:eastAsia="en-US" w:bidi="ar-SA"/>
        </w:rPr>
        <w:t>Code</w:t>
      </w:r>
      <w:r>
        <w:rPr>
          <w:rFonts w:ascii="arial" w:eastAsia="arial" w:hAnsi="arial" w:cs="arial"/>
          <w:color w:val="000000"/>
          <w:sz w:val="20"/>
          <w:lang w:val="en-US" w:eastAsia="en-US" w:bidi="ar-SA"/>
        </w:rPr>
        <w:t xml:space="preserve"> defines criminal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Every one is criminally negligent who</w:t>
      </w:r>
    </w:p>
    <w:p>
      <w:pPr>
        <w:numPr>
          <w:numId w:val="10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doing anything, or</w:t>
      </w:r>
    </w:p>
    <w:p>
      <w:pPr>
        <w:numPr>
          <w:numId w:val="10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omitting to do anything that it is his duty to do,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shows wanton or reckless disregard for the lives or safety of other persons.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xml:space="preserve">  Criminal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succinctly reviewed by Hill J. in </w:t>
      </w:r>
      <w:r>
        <w:rPr>
          <w:rFonts w:ascii="arial" w:eastAsia="arial" w:hAnsi="arial" w:cs="arial"/>
          <w:i/>
          <w:color w:val="000000"/>
          <w:sz w:val="20"/>
          <w:lang w:val="en-US" w:eastAsia="en-US" w:bidi="ar-SA"/>
        </w:rPr>
        <w:t>R. v. Menezes,</w:t>
      </w:r>
      <w:r>
        <w:rPr>
          <w:rFonts w:ascii="arial" w:eastAsia="arial" w:hAnsi="arial" w:cs="arial"/>
          <w:color w:val="000000"/>
          <w:sz w:val="20"/>
          <w:lang w:val="en-US" w:eastAsia="en-US" w:bidi="ar-SA"/>
        </w:rPr>
        <w:t xml:space="preserve"> </w:t>
      </w:r>
      <w:hyperlink r:id="rId347" w:history="1">
        <w:r>
          <w:rPr>
            <w:rFonts w:ascii="arial" w:eastAsia="arial" w:hAnsi="arial" w:cs="arial"/>
            <w:i/>
            <w:color w:val="0077CC"/>
            <w:sz w:val="20"/>
            <w:u w:val="single"/>
            <w:shd w:val="clear" w:color="auto" w:fill="FFFFFF"/>
            <w:lang w:val="en-US" w:eastAsia="en-US" w:bidi="ar-SA"/>
          </w:rPr>
          <w:t>(2002), 50 C.R. (5th) 343</w:t>
        </w:r>
      </w:hyperlink>
      <w:r>
        <w:rPr>
          <w:rFonts w:ascii="arial" w:eastAsia="arial" w:hAnsi="arial" w:cs="arial"/>
          <w:color w:val="000000"/>
          <w:sz w:val="20"/>
          <w:lang w:val="en-US" w:eastAsia="en-US" w:bidi="ar-SA"/>
        </w:rPr>
        <w:t xml:space="preserve"> (Sup. Ct. Justice), at para. 72: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Criminal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amounts to a wanton and reckless disregard for the lives and safety of others: Criminal Code, s. 219(1). ... This is a marked and substantial departure in all of the circumstances from the standard of care of a reasonable person: </w:t>
      </w:r>
      <w:r>
        <w:rPr>
          <w:rFonts w:ascii="arial" w:eastAsia="arial" w:hAnsi="arial" w:cs="arial"/>
          <w:i/>
          <w:color w:val="000000"/>
          <w:sz w:val="20"/>
          <w:lang w:val="en-US" w:eastAsia="en-US" w:bidi="ar-SA"/>
        </w:rPr>
        <w:t>R. v. Waite</w:t>
      </w:r>
      <w:r>
        <w:rPr>
          <w:rFonts w:ascii="arial" w:eastAsia="arial" w:hAnsi="arial" w:cs="arial"/>
          <w:color w:val="000000"/>
          <w:sz w:val="20"/>
          <w:lang w:val="en-US" w:eastAsia="en-US" w:bidi="ar-SA"/>
        </w:rPr>
        <w:t xml:space="preserve"> </w:t>
      </w:r>
      <w:hyperlink r:id="rId348" w:history="1">
        <w:r>
          <w:rPr>
            <w:rFonts w:ascii="arial" w:eastAsia="arial" w:hAnsi="arial" w:cs="arial"/>
            <w:i/>
            <w:color w:val="0077CC"/>
            <w:sz w:val="20"/>
            <w:u w:val="single"/>
            <w:shd w:val="clear" w:color="auto" w:fill="FFFFFF"/>
            <w:lang w:val="en-US" w:eastAsia="en-US" w:bidi="ar-SA"/>
          </w:rPr>
          <w:t>(1989), 48 C.C.C. (3d) 1</w:t>
        </w:r>
      </w:hyperlink>
      <w:r>
        <w:rPr>
          <w:rFonts w:ascii="arial" w:eastAsia="arial" w:hAnsi="arial" w:cs="arial"/>
          <w:color w:val="000000"/>
          <w:sz w:val="20"/>
          <w:lang w:val="en-US" w:eastAsia="en-US" w:bidi="ar-SA"/>
        </w:rPr>
        <w:t xml:space="preserve"> (S.C.C.), at 5 per McIntyre J.; </w:t>
      </w:r>
      <w:r>
        <w:rPr>
          <w:rFonts w:ascii="arial" w:eastAsia="arial" w:hAnsi="arial" w:cs="arial"/>
          <w:i/>
          <w:color w:val="000000"/>
          <w:sz w:val="20"/>
          <w:lang w:val="en-US" w:eastAsia="en-US" w:bidi="ar-SA"/>
        </w:rPr>
        <w:t>R. v. Barron</w:t>
      </w:r>
      <w:r>
        <w:rPr>
          <w:rFonts w:ascii="arial" w:eastAsia="arial" w:hAnsi="arial" w:cs="arial"/>
          <w:color w:val="000000"/>
          <w:sz w:val="20"/>
          <w:lang w:val="en-US" w:eastAsia="en-US" w:bidi="ar-SA"/>
        </w:rPr>
        <w:t xml:space="preserve">, </w:t>
      </w:r>
      <w:hyperlink r:id="rId349" w:history="1">
        <w:r>
          <w:rPr>
            <w:rFonts w:ascii="arial" w:eastAsia="arial" w:hAnsi="arial" w:cs="arial"/>
            <w:i/>
            <w:color w:val="0077CC"/>
            <w:sz w:val="20"/>
            <w:u w:val="single"/>
            <w:shd w:val="clear" w:color="auto" w:fill="FFFFFF"/>
            <w:lang w:val="en-US" w:eastAsia="en-US" w:bidi="ar-SA"/>
          </w:rPr>
          <w:t>(1985), 48 C.R. (3d) 334</w:t>
        </w:r>
      </w:hyperlink>
      <w:r>
        <w:rPr>
          <w:rFonts w:ascii="arial" w:eastAsia="arial" w:hAnsi="arial" w:cs="arial"/>
          <w:color w:val="000000"/>
          <w:sz w:val="20"/>
          <w:lang w:val="en-US" w:eastAsia="en-US" w:bidi="ar-SA"/>
        </w:rPr>
        <w:t xml:space="preserve"> (Ont. C.A.) at 340 per Goodman J.A. The term wanton means "heedlessly" (</w:t>
      </w:r>
      <w:r>
        <w:rPr>
          <w:rFonts w:ascii="arial" w:eastAsia="arial" w:hAnsi="arial" w:cs="arial"/>
          <w:i/>
          <w:color w:val="000000"/>
          <w:sz w:val="20"/>
          <w:lang w:val="en-US" w:eastAsia="en-US" w:bidi="ar-SA"/>
        </w:rPr>
        <w:t>R. v. Waite</w:t>
      </w:r>
      <w:r>
        <w:rPr>
          <w:rFonts w:ascii="arial" w:eastAsia="arial" w:hAnsi="arial" w:cs="arial"/>
          <w:color w:val="000000"/>
          <w:sz w:val="20"/>
          <w:lang w:val="en-US" w:eastAsia="en-US" w:bidi="ar-SA"/>
        </w:rPr>
        <w:t xml:space="preserve"> </w:t>
      </w:r>
      <w:hyperlink r:id="rId350" w:history="1">
        <w:r>
          <w:rPr>
            <w:rFonts w:ascii="arial" w:eastAsia="arial" w:hAnsi="arial" w:cs="arial"/>
            <w:i/>
            <w:color w:val="0077CC"/>
            <w:sz w:val="20"/>
            <w:u w:val="single"/>
            <w:shd w:val="clear" w:color="auto" w:fill="FFFFFF"/>
            <w:lang w:val="en-US" w:eastAsia="en-US" w:bidi="ar-SA"/>
          </w:rPr>
          <w:t>(1986), 28 C.C.C. (3d) 326</w:t>
        </w:r>
      </w:hyperlink>
      <w:r>
        <w:rPr>
          <w:rFonts w:ascii="arial" w:eastAsia="arial" w:hAnsi="arial" w:cs="arial"/>
          <w:color w:val="000000"/>
          <w:sz w:val="20"/>
          <w:lang w:val="en-US" w:eastAsia="en-US" w:bidi="ar-SA"/>
        </w:rPr>
        <w:t xml:space="preserve"> (Ont. C.A.) at 341 per Cory J.A. (as he then was)) or "ungoverned" and "undisciplined" (as approved in </w:t>
      </w:r>
      <w:r>
        <w:rPr>
          <w:rFonts w:ascii="arial" w:eastAsia="arial" w:hAnsi="arial" w:cs="arial"/>
          <w:i/>
          <w:color w:val="000000"/>
          <w:sz w:val="20"/>
          <w:lang w:val="en-US" w:eastAsia="en-US" w:bidi="ar-SA"/>
        </w:rPr>
        <w:t>R. v. Sharp</w:t>
      </w:r>
      <w:r>
        <w:rPr>
          <w:rFonts w:ascii="arial" w:eastAsia="arial" w:hAnsi="arial" w:cs="arial"/>
          <w:color w:val="000000"/>
          <w:sz w:val="20"/>
          <w:lang w:val="en-US" w:eastAsia="en-US" w:bidi="ar-SA"/>
        </w:rPr>
        <w:t xml:space="preserve"> </w:t>
      </w:r>
      <w:hyperlink r:id="rId351" w:history="1">
        <w:r>
          <w:rPr>
            <w:rFonts w:ascii="arial" w:eastAsia="arial" w:hAnsi="arial" w:cs="arial"/>
            <w:i/>
            <w:color w:val="0077CC"/>
            <w:sz w:val="20"/>
            <w:u w:val="single"/>
            <w:shd w:val="clear" w:color="auto" w:fill="FFFFFF"/>
            <w:lang w:val="en-US" w:eastAsia="en-US" w:bidi="ar-SA"/>
          </w:rPr>
          <w:t>(1984), 12 C.C.C. (3d) 428</w:t>
        </w:r>
      </w:hyperlink>
      <w:r>
        <w:rPr>
          <w:rFonts w:ascii="arial" w:eastAsia="arial" w:hAnsi="arial" w:cs="arial"/>
          <w:color w:val="000000"/>
          <w:sz w:val="20"/>
          <w:lang w:val="en-US" w:eastAsia="en-US" w:bidi="ar-SA"/>
        </w:rPr>
        <w:t xml:space="preserve"> (Ont. C.A.) at 430 per Morden J.A.)) or an "unrestrained disregard for consequences" (</w:t>
      </w:r>
      <w:r>
        <w:rPr>
          <w:rFonts w:ascii="arial" w:eastAsia="arial" w:hAnsi="arial" w:cs="arial"/>
          <w:i/>
          <w:color w:val="000000"/>
          <w:sz w:val="20"/>
          <w:lang w:val="en-US" w:eastAsia="en-US" w:bidi="ar-SA"/>
        </w:rPr>
        <w:t>R. v. Pinske</w:t>
      </w:r>
      <w:r>
        <w:rPr>
          <w:rFonts w:ascii="arial" w:eastAsia="arial" w:hAnsi="arial" w:cs="arial"/>
          <w:color w:val="000000"/>
          <w:sz w:val="20"/>
          <w:lang w:val="en-US" w:eastAsia="en-US" w:bidi="ar-SA"/>
        </w:rPr>
        <w:t xml:space="preserve"> </w:t>
      </w:r>
      <w:hyperlink r:id="rId352" w:history="1">
        <w:r>
          <w:rPr>
            <w:rFonts w:ascii="arial" w:eastAsia="arial" w:hAnsi="arial" w:cs="arial"/>
            <w:i/>
            <w:color w:val="0077CC"/>
            <w:sz w:val="20"/>
            <w:u w:val="single"/>
            <w:shd w:val="clear" w:color="auto" w:fill="FFFFFF"/>
            <w:lang w:val="en-US" w:eastAsia="en-US" w:bidi="ar-SA"/>
          </w:rPr>
          <w:t>(1988), 6 M.V.R. (2d) 19</w:t>
        </w:r>
      </w:hyperlink>
      <w:r>
        <w:rPr>
          <w:rFonts w:ascii="arial" w:eastAsia="arial" w:hAnsi="arial" w:cs="arial"/>
          <w:color w:val="000000"/>
          <w:sz w:val="20"/>
          <w:lang w:val="en-US" w:eastAsia="en-US" w:bidi="ar-SA"/>
        </w:rPr>
        <w:t xml:space="preserve"> (B.C. C.A.) at 33 per Craig J.A. (affirmed on a different basis, </w:t>
      </w:r>
      <w:hyperlink r:id="rId353" w:history="1">
        <w:r>
          <w:rPr>
            <w:rFonts w:ascii="arial" w:eastAsia="arial" w:hAnsi="arial" w:cs="arial"/>
            <w:i/>
            <w:color w:val="0077CC"/>
            <w:sz w:val="20"/>
            <w:u w:val="single"/>
            <w:shd w:val="clear" w:color="auto" w:fill="FFFFFF"/>
            <w:lang w:val="en-US" w:eastAsia="en-US" w:bidi="ar-SA"/>
          </w:rPr>
          <w:t>[1989] 2 S.C.R. 979</w:t>
        </w:r>
      </w:hyperlink>
      <w:r>
        <w:rPr>
          <w:rFonts w:ascii="arial" w:eastAsia="arial" w:hAnsi="arial" w:cs="arial"/>
          <w:color w:val="000000"/>
          <w:sz w:val="20"/>
          <w:lang w:val="en-US" w:eastAsia="en-US" w:bidi="ar-SA"/>
        </w:rPr>
        <w:t xml:space="preserve"> per Lamer J. (as he then was)). The word "reckless" means "heedless of consequences, headlong, irresponsible": </w:t>
      </w:r>
      <w:r>
        <w:rPr>
          <w:rFonts w:ascii="arial" w:eastAsia="arial" w:hAnsi="arial" w:cs="arial"/>
          <w:i/>
          <w:color w:val="000000"/>
          <w:sz w:val="20"/>
          <w:lang w:val="en-US" w:eastAsia="en-US" w:bidi="ar-SA"/>
        </w:rPr>
        <w:t>R. v. Sharp</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In this case, proof of criminal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requires that the accused showed wanton or reckless disregard for the safety of his son. In order to establish the </w:t>
      </w:r>
      <w:r>
        <w:rPr>
          <w:rFonts w:ascii="arial" w:eastAsia="arial" w:hAnsi="arial" w:cs="arial"/>
          <w:i/>
          <w:color w:val="000000"/>
          <w:sz w:val="20"/>
          <w:lang w:val="en-US" w:eastAsia="en-US" w:bidi="ar-SA"/>
        </w:rPr>
        <w:t>mens rea</w:t>
      </w:r>
      <w:r>
        <w:rPr>
          <w:rFonts w:ascii="arial" w:eastAsia="arial" w:hAnsi="arial" w:cs="arial"/>
          <w:color w:val="000000"/>
          <w:sz w:val="20"/>
          <w:lang w:val="en-US" w:eastAsia="en-US" w:bidi="ar-SA"/>
        </w:rPr>
        <w:t xml:space="preserv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Crown does not have to prove subjective foresight on the part of the accused of the danger of bodily harm. Foresight of the consequences is normally inferred from the facts. The Crown must establish beyond a reasonable doubt that a reasonable person, in the accused's circumstances, would have appreciated that his conduct would expose his son to the danger of bodily harm, and that to engage in the circumcision, in those circumstances, was wanton or reckless. Here, there were numerous risks: excessive bleeding, infection, and a damaged or a disfigured penis.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The accused says he took all the necessary precautions against excessive bleeding or infection and did a straight cut that was aesthetically pleasing. Although he knew that doctors would have used a general anaesthetic, he said they would have snipped away for about 30 seconds and he would only take one or two seconds.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The accused was adamant that D.J. wanted the circumcision and understood that he would have to be still while his father cut his penis with the knife. He testified that D.J. had a calm, even temperament and was not fidgety or squirmy. However, on the morning of the circumcision, social workers had arrived regarding an incident that had occurred a few days earlier. G.W. had left the home to go to London Drugs in order to spend some time by herself and instructed the children to stay with their father in the home. When she was a short distance from the house, D.J. came running after her crying. A passerby called 911 and told her that "in Canada you do not leave your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D.J. testified at the trial and sat through some of his mother's testimony until I requested that both children be removed from the courtroom despite G.W.'s belief that they should remain to "hear the truth". In my opinion, D.J. was a typical six-year-old boy -- delightful, shy and polite, but energetic and frequently squirmy and restless. It was unreasonable for the accused to believe that D.J. could remain still for the circumcision.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There was evidence that when Detective Wu attended the family home on April 6 to search it, the house and kitchen were in an unclean condition. Another officer took photographs of the home that day. Detective Wu noted clutter everywhere with no room to walk about. She did not think the house was clean and she observed a large brownish stain on the carpet in front of the sofa in the living room. It looked like blood but she did not know the results of testing. There were dirty dishes in the kitchen and apparently no place to cook. She thought the floor looked dirty and seemed grimy when she walked on it, although there was no dirt visible in the photos. G.W. thought the kitchen floor had been mopped that morning by one of her rehabilitation helpers. There is no evidence as to the state of the kitchen on April 2 when the circumcision was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Detective Wu said she observed a cockroach trap in one of the kitchen cupboards. G.W. said that she did not know whether it was a bug trap of some sort. She said it was there when they moved into the home in 2000 and she never looked at it carefully.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The accused was asked if one of the photographs depicted mice droppings. He agreed that it probably did. He said that the tenant downstairs had mice and sometimes the mice would come upstairs but he would get rid of the droppings when he saw them. At some point, he had got G.W. a cat to take care of the mice.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 am satisfied that a reasonable person in the accused's circumstances would have appreciated that it was dangerous to attempt a home circumcision on his four-year-old son. His conduct was a marked and substantial departure in all of the circumstances from the standard of care of a reasonable person. I am also satisfied that the accused showed both wanton and reckless disregard for D.J.'s safety.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Mr. Christie submits that circumcision is a reasonable religious practice and that the removal of extraneous skin is not a dangerous or life threatening action. He suggests that the accused's actions were designed to perform a religious ritual or covenant rather than a medical procedure, and that the actual circumcision was no more "a surgical operation" than lancing a boil. Alternatively, it is akin to body piercing or tattooing. While piercing children's ears may be an acceptable practice, it is likely that a parent could not legally tattoo or invasively body pierce a four-year-old child. Mr. Christie also describes the foreskin as extraneous tissue and that cutting it off is akin to cutting off a hangnail. Such an analogy is inapt. The risks of a carelessly performed circumcision -- blood loss, infection, and penile disfigurement -- are not comparable to any risk from the careless removal of a hangnail.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xml:space="preserve">  Mr. Christie also submits that circumcision is not "a harm or an injury" because if it were, doctors could not perform such an operation. Because D.J.'s circumcision did not result in an infection or dangerous blood loss, the circumcision cannot amount to "bodily harm". In Mr. Christie's opinion, the best test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found in the result. With respect, that reasoning is fallacious. A patient may develop an infection after an operation conducted by a skilled and careful surgeon in sterile surroundings. That unfortunate result does not invite the necessary conclusion that the surgeon was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Mr. Christie seeks to draw an analogy between mental retardation and the accused's sincere religious beliefs, which affected his judgment and limited his options. I consider that analogy to be without merit.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 v. Ubhi</w:t>
      </w:r>
      <w:r>
        <w:rPr>
          <w:rFonts w:ascii="arial" w:eastAsia="arial" w:hAnsi="arial" w:cs="arial"/>
          <w:color w:val="000000"/>
          <w:sz w:val="20"/>
          <w:lang w:val="en-US" w:eastAsia="en-US" w:bidi="ar-SA"/>
        </w:rPr>
        <w:t xml:space="preserve"> </w:t>
      </w:r>
      <w:hyperlink r:id="rId354" w:history="1">
        <w:r>
          <w:rPr>
            <w:rFonts w:ascii="arial" w:eastAsia="arial" w:hAnsi="arial" w:cs="arial"/>
            <w:i/>
            <w:color w:val="0077CC"/>
            <w:sz w:val="20"/>
            <w:u w:val="single"/>
            <w:shd w:val="clear" w:color="auto" w:fill="FFFFFF"/>
            <w:lang w:val="en-US" w:eastAsia="en-US" w:bidi="ar-SA"/>
          </w:rPr>
          <w:t>(1994), 27 C.R. (4th) 332</w:t>
        </w:r>
      </w:hyperlink>
      <w:r>
        <w:rPr>
          <w:rFonts w:ascii="arial" w:eastAsia="arial" w:hAnsi="arial" w:cs="arial"/>
          <w:color w:val="000000"/>
          <w:sz w:val="20"/>
          <w:lang w:val="en-US" w:eastAsia="en-US" w:bidi="ar-SA"/>
        </w:rPr>
        <w:t xml:space="preserve"> (B.C.C.A.), the Court granted an application to adduce fresh evidence that suggested the accused was a 25-year-old man whose mental functioning was that of a six or seven-year-old. The accused had been convicted of criminal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causing death and criminal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causing bodily harm when the brakes on his dump truck had failed and the truck struck a number of people. The brakes on the truck had not been adjusted for a considerable time before the accident. The court noted, at p. 334, that </w:t>
      </w:r>
      <w:r>
        <w:rPr>
          <w:rFonts w:ascii="arial" w:eastAsia="arial" w:hAnsi="arial" w:cs="arial"/>
          <w:i/>
          <w:color w:val="000000"/>
          <w:sz w:val="20"/>
          <w:lang w:val="en-US" w:eastAsia="en-US" w:bidi="ar-SA"/>
        </w:rPr>
        <w:t>R. v. Creighton,</w:t>
      </w:r>
      <w:r>
        <w:rPr>
          <w:rFonts w:ascii="arial" w:eastAsia="arial" w:hAnsi="arial" w:cs="arial"/>
          <w:color w:val="000000"/>
          <w:sz w:val="20"/>
          <w:lang w:val="en-US" w:eastAsia="en-US" w:bidi="ar-SA"/>
        </w:rPr>
        <w:t xml:space="preserve"> </w:t>
      </w:r>
      <w:hyperlink r:id="rId355" w:history="1">
        <w:r>
          <w:rPr>
            <w:rFonts w:ascii="arial" w:eastAsia="arial" w:hAnsi="arial" w:cs="arial"/>
            <w:i/>
            <w:color w:val="0077CC"/>
            <w:sz w:val="20"/>
            <w:u w:val="single"/>
            <w:shd w:val="clear" w:color="auto" w:fill="FFFFFF"/>
            <w:lang w:val="en-US" w:eastAsia="en-US" w:bidi="ar-SA"/>
          </w:rPr>
          <w:t>[1993] 3 S.C.R. 3</w:t>
        </w:r>
      </w:hyperlink>
      <w:r>
        <w:rPr>
          <w:rFonts w:ascii="arial" w:eastAsia="arial" w:hAnsi="arial" w:cs="arial"/>
          <w:color w:val="000000"/>
          <w:sz w:val="20"/>
          <w:lang w:val="en-US" w:eastAsia="en-US" w:bidi="ar-SA"/>
        </w:rPr>
        <w:t xml:space="preserve">, established that the fault standard for criminal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objective mens rea was and that "individual characteristics of an accused, short of incapacity to perceive or assess the risk of danger to the lives or safety of others, are irrelevant to the determination." However, the court concluded that evidence of the accused's mental retardation was directly relevant to the question of capacity to understand or appreciate the risk in not performing brake inspections and adjustments.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Creighton,</w:t>
      </w:r>
      <w:r>
        <w:rPr>
          <w:rFonts w:ascii="arial" w:eastAsia="arial" w:hAnsi="arial" w:cs="arial"/>
          <w:color w:val="000000"/>
          <w:sz w:val="20"/>
          <w:lang w:val="en-US" w:eastAsia="en-US" w:bidi="ar-SA"/>
        </w:rPr>
        <w:t xml:space="preserve"> Justice McLachlin stated, at p. 58: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Objective mens rea, on the other hand, is not concerned with what the accused intended or knew. Rather, the mental fault lies in failure to direct the mind to a risk which the reasonable person would have appreciated. Objective mens rea is not concerned with what was actually in the accused's mind, but with what should have been there, had the accused proceeded reasonably.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Further, at p. 67, McLachlin.J. underscored the merits of a uniform standard of conduct for everyone: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These considerations suggest that the practical as well as the theoretical concerns of the criminal law in the field of penal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are best served by insisting on a uniform standard of conduct for everyone, subject to cases where the accused was not capable of recognizing and avoiding the risk attendant on the activity in question. Beyond this, the standard should not be individualized by reason of the peculiar personal characteristics of the accused. The purpose of Parliament in creating an offence of objective foresight, as in manslaughter, is to stipulate a minimum standard which people engaged in the activity in question are expected to meet. If the standard is lowered by reason of the lack of experience, education, or the presence of some other "personal characteristic" of the accused, the minimum standard which the law imposes on those engaging in the activity in question will be eroded. The objective test inevitably is transformed into a subjective test, violating the wise admonition in </w:t>
      </w:r>
      <w:r>
        <w:rPr>
          <w:rFonts w:ascii="arial" w:eastAsia="arial" w:hAnsi="arial" w:cs="arial"/>
          <w:i/>
          <w:color w:val="000000"/>
          <w:sz w:val="20"/>
          <w:lang w:val="en-US" w:eastAsia="en-US" w:bidi="ar-SA"/>
        </w:rPr>
        <w:t>R. v. Hundal</w:t>
      </w:r>
      <w:r>
        <w:rPr>
          <w:rFonts w:ascii="arial" w:eastAsia="arial" w:hAnsi="arial" w:cs="arial"/>
          <w:color w:val="000000"/>
          <w:sz w:val="20"/>
          <w:lang w:val="en-US" w:eastAsia="en-US" w:bidi="ar-SA"/>
        </w:rPr>
        <w:t xml:space="preserve">, </w:t>
      </w:r>
      <w:hyperlink r:id="rId356" w:history="1">
        <w:r>
          <w:rPr>
            <w:rFonts w:ascii="arial" w:eastAsia="arial" w:hAnsi="arial" w:cs="arial"/>
            <w:i/>
            <w:color w:val="0077CC"/>
            <w:sz w:val="20"/>
            <w:u w:val="single"/>
            <w:shd w:val="clear" w:color="auto" w:fill="FFFFFF"/>
            <w:lang w:val="en-US" w:eastAsia="en-US" w:bidi="ar-SA"/>
          </w:rPr>
          <w:t>[1993] 1 S.C.R. 867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that there should be a clear distinction in the law between subjective and objective standards, and negating the legislative goal of a minimum standard of care for all those who choose to engage in criminally dangerous conduct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Cory J. at p. 883; per McLachlin J. at p. 873).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The Crown relies on s. 216 of the </w:t>
      </w:r>
      <w:r>
        <w:rPr>
          <w:rFonts w:ascii="arial" w:eastAsia="arial" w:hAnsi="arial" w:cs="arial"/>
          <w:i/>
          <w:color w:val="000000"/>
          <w:sz w:val="20"/>
          <w:lang w:val="en-US" w:eastAsia="en-US" w:bidi="ar-SA"/>
        </w:rPr>
        <w:t>Code</w:t>
      </w:r>
      <w:r>
        <w:rPr>
          <w:rFonts w:ascii="arial" w:eastAsia="arial" w:hAnsi="arial" w:cs="arial"/>
          <w:color w:val="000000"/>
          <w:sz w:val="20"/>
          <w:lang w:val="en-US" w:eastAsia="en-US" w:bidi="ar-SA"/>
        </w:rPr>
        <w:t xml:space="preserve"> which is designed to protect doctors and others who perform a surgical or medical treatment: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Every one who undertakes to administer surgical or medical treatment to another person or to do any other lawful act that may endanger the life of another person is, except in cases of necessity, under a legal duty to have and to use reasonable knowledge, skill and care in so doing.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The applicable standard of care in s. 216 is that of a competent person possessing reasonable knowledge and skill and exercising reasonable care in performing a circumcision. That standard applies to a general practitioner, a urologist, a mohel, or anyone else who undertakes a circumcision.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 v. Rogers</w:t>
      </w:r>
      <w:r>
        <w:rPr>
          <w:rFonts w:ascii="arial" w:eastAsia="arial" w:hAnsi="arial" w:cs="arial"/>
          <w:color w:val="000000"/>
          <w:sz w:val="20"/>
          <w:lang w:val="en-US" w:eastAsia="en-US" w:bidi="ar-SA"/>
        </w:rPr>
        <w:t xml:space="preserve">, </w:t>
      </w:r>
      <w:hyperlink r:id="rId357" w:history="1">
        <w:r>
          <w:rPr>
            <w:rFonts w:ascii="arial" w:eastAsia="arial" w:hAnsi="arial" w:cs="arial"/>
            <w:i/>
            <w:color w:val="0077CC"/>
            <w:sz w:val="20"/>
            <w:u w:val="single"/>
            <w:shd w:val="clear" w:color="auto" w:fill="FFFFFF"/>
            <w:lang w:val="en-US" w:eastAsia="en-US" w:bidi="ar-SA"/>
          </w:rPr>
          <w:t>[1968] 4 C.C.C. 278</w:t>
        </w:r>
      </w:hyperlink>
      <w:r>
        <w:rPr>
          <w:rFonts w:ascii="arial" w:eastAsia="arial" w:hAnsi="arial" w:cs="arial"/>
          <w:color w:val="000000"/>
          <w:sz w:val="20"/>
          <w:lang w:val="en-US" w:eastAsia="en-US" w:bidi="ar-SA"/>
        </w:rPr>
        <w:t xml:space="preserve"> (B.C.C.A.), the Court considered the standard of "reasonable knowledge, skill and care" imposed by the precursor section to s. 216 of the </w:t>
      </w:r>
      <w:r>
        <w:rPr>
          <w:rFonts w:ascii="arial" w:eastAsia="arial" w:hAnsi="arial" w:cs="arial"/>
          <w:i/>
          <w:color w:val="000000"/>
          <w:sz w:val="20"/>
          <w:lang w:val="en-US" w:eastAsia="en-US" w:bidi="ar-SA"/>
        </w:rPr>
        <w:t>Code</w:t>
      </w:r>
      <w:r>
        <w:rPr>
          <w:rFonts w:ascii="arial" w:eastAsia="arial" w:hAnsi="arial" w:cs="arial"/>
          <w:color w:val="000000"/>
          <w:sz w:val="20"/>
          <w:lang w:val="en-US" w:eastAsia="en-US" w:bidi="ar-SA"/>
        </w:rPr>
        <w:t xml:space="preserve">. There the accused, a doctor who practiced as a naturopath after he had been struck from the rolls of the College of Physicians and Surgeons, was convicted of criminal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causing death when he improperly prescribed a low protein diet for a one-year-old child. The accused argued, on appeal, that a subjective test ought to have been applied and that the jury should have been told that if the accused held an honest belief that his treatment was beneficial to the child, he must be acquitted. The Court disagreed. At p. 285, Tysoe J.A.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the standard of "reasonable knowledge, skill and care" which a person who undertakes to administer medical treatment to another must have and use, within the meaning of</w:t>
      </w:r>
      <w:r>
        <w:rPr>
          <w:rFonts w:ascii="arial" w:eastAsia="arial" w:hAnsi="arial" w:cs="arial"/>
          <w:i/>
          <w:color w:val="000000"/>
          <w:sz w:val="20"/>
          <w:lang w:val="en-US" w:eastAsia="en-US" w:bidi="ar-SA"/>
        </w:rPr>
        <w:t xml:space="preserve"> Code</w:t>
      </w:r>
      <w:r>
        <w:rPr>
          <w:rFonts w:ascii="arial" w:eastAsia="arial" w:hAnsi="arial" w:cs="arial"/>
          <w:color w:val="000000"/>
          <w:sz w:val="20"/>
          <w:lang w:val="en-US" w:eastAsia="en-US" w:bidi="ar-SA"/>
        </w:rPr>
        <w:t xml:space="preserve"> s. 187, is not that of the person himself, but of those who possess reasonable knowledge and skill and are qualified by proper training to administer such treatment - in this case members of the medical profession generally. It if were otherwise, the requirement that the person "have ... reasonable knowledge, skill" would seem to be meaningless. It follows that the test is not a subjective one but an objective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It follows that, in this case, the accused's subjective beliefs that he was compelled to perform the circumcision for religious reasons and that he had taken careful measures to ensure that it could be done safely were insufficient. The appropriate standard of reasonable knowledge, skill and care to perform such an act is that described by Dr. Afshar. The accused ignored the advice of doctors and urologists and, instead, relied on his experience gained from his own badly performed circumcision and the experience of lay persons with whom he communicated over the Internet and the telephone.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Mr. Christie submits that the accused took the following steps which show that he took reasonable care in circumcising D.J.: He sterilized the knife and the cutting board. He placed clean, unused plastic garbage bags under D.J.. He did a lot of research on circumcision, including the negative aspects of it and did not ignore the dangers. He communicated with others who had done home circumcisions, including T.M. He circumcised himself. He was alive to the risk of bleeding and obtained the Wonder Dust as a precaution against blood loss. He placed paper towels around the circumcision so that he could observe any blood loss. He intended the wine to have an anaesthetic effect on D.J. -- and if his intended effect is reasonable, then the intent cannot be unreasonable. He consulted rabbis and doctors and asked them to perform the circumcision or stand by while he did it. He obtained D.J.'s consent and co-operation. After the circumcision, he gave D.J. ice cream and ensured he was warm and comfortable. He left D.J. that evening and the next day in G.W.'s charge with appropriate instructions. In the night, when D.J.'s penis began bleeding, he washed the area, pinched the vein, and applied more Wonder Dust.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xml:space="preserve">  In my opinion, the fact that the accused had previously ineptly circumcised himself exacerbates, rather than minimizes, his awareness of the risks of home circumcision and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Defences of Necessity and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Mr. Christie also submits that the accused was driven to circumcise his son by necessity: he was too poor to afford a doctor or even the Blood Stop powder recommended by T.M., and D.J. had to be circumcised before Passover. After the motor vehicle accident, the accused had lost his job as a relatively high paid computer programmer and the family income consisted of their disability allowances and small programming contracts the accused procured from time to time. In April 2007, the family's monthly income was about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Mr. Christie concedes that the accused may have been religiously obsessed and acted foolishly. However, he felt it necessary to get D.J. circumcised because he was feeling persecuted by the social workers and he had to make things right with God. Hence, the circumcision was necessary for the maintenance of his family and his covenant with God.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On some occasions the accused testified that, if he had the money, he would have had a doctor perform the circumcision. However, at other times he said that he did not want a medical circumcision performed. It was important that D.J. have a religious circumcision because circumcision was a covenant with God and he did not wish more than a small portion of D.J.'s foreskin to be removed. His evidence as to whether he wanted a rabbi or a mohel to circumcise D.J. was also inconsistent.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Mr. Christie further submits that D.J. consented to his father circumcising him and understood the procedure and its consequences. In the alternative, the accused consented to the procedure on his son's behalf.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I have no hesitation in rejecting those submissions. I accept the evidence of Drs. Colbourne and Afshar that circumcision is a serious medical procedure that must be carried out by a person with the necessary knowledge and skill, and that the potential consequences of the accused's actions included uncontrolled bleeding, infection and disfigurement. While the accused may have honestly believed that it was necessary to circumcise D.J. when he did, he cannot avail himself of the legal defence of necessity. Indeed, his motivations could be characterized as selfish or even deluded insofar as he believed that he was unable to live in his home at Passover with any uncircumcised male, including his four-year-old 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Finally, a four-year-old child cannot, at law, consent to a procedure such as the negligently performed circumcision in question. In any event, on the accused's own evidence, any "consent" by D.J. was obtained after the accused told him that God would give him special protection, he would be like his father, and he would have unlimited ice cream and movies. There is no suggestion that the accused told D.J. of the risks of the procedure, other than to say it would hurt for a short while. D.J. was far too young to understand and appreciate the possible consequences of the circumcision. It is obvious that D.J. agreed because he wished to please his father. Moreover, the accused could not validly give parental consent to himself -- a person without the necessary skill and knowledge -- to conduct a circumcision on his four-year-old 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I conclude that the Crown has proven the following relevant facts beyond a reasonable doubt:</w:t>
      </w:r>
      <w:r>
        <w:rPr>
          <w:rFonts w:ascii="arial" w:eastAsia="arial" w:hAnsi="arial" w:cs="arial"/>
          <w:sz w:val="20"/>
          <w:lang w:val="en-US" w:eastAsia="en-US" w:bidi="ar-SA"/>
        </w:rPr>
        <w:cr/>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accused did not have the knowledge, experience, or skill to conduct a circumcision;</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a result of circumcising himself a couple of years earlier -- causing his foreskin to bleed in nine places, requiring the assistance of 911 and sutures in hospital, and suffering an infected penis -- the accused was aware of the dangers of performing a circumcision on his son;</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accused's extensive research on the Internet showed the dangers of home circumcision;</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D.J. did not (and could not, in law) consent to his father circumcising him;</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 unrealistic to believe that D.J. or any four-year-old boy could lie still while the accused cut his foreskin; indeed, the accused's hand slipped when D.J. shuddered and cried;</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accused could not legally consent as D.J.'s parent to a home circumcision performed by the accused;</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kitchen was not a sterile, or even a sanitary, environment in which to perform a circumcision;</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accused inappropriately gave his son a quantity of alcohol prior to the circumcision;</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accused inappropriately utilized a cedar cutting board that was likely to harbour bacteria;</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blade used by the accused was not as sharp or efficient as a surgical instrument;</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accused inappropriately used a veterinary powder, Wonder Dust, on D.J.'s bleeding penis. Wonder Dust is suitable for use on horses and livestock but not humans, and is clearly labelled as such;</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lack of funds and the imminence of Passover did not create any necessity to circumcise D.J.;</w:t>
      </w:r>
    </w:p>
    <w:p>
      <w:pPr>
        <w:numPr>
          <w:numId w:val="1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D.J. suffered bodily harm: his penis bled at the time of the circumcision and later that night, and it was obviously painful as he cried on both occasions;</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D.J. slept or rested for a couple of days after the circumcision -- even when he got up on the third day, he was moving cautiously and carefully to avoid his penis rubbing against his legs; and</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 necessary to hospitalize D.J. in order to remove the black tarry Wonder Dust that had adhered to D.J.'s penis and to properly circumcise him so as to prevent any disfigurement and functional impairment.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Bodily Harm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xml:space="preserve">  Section 2 of the </w:t>
      </w:r>
      <w:r>
        <w:rPr>
          <w:rFonts w:ascii="arial" w:eastAsia="arial" w:hAnsi="arial" w:cs="arial"/>
          <w:i/>
          <w:color w:val="000000"/>
          <w:sz w:val="20"/>
          <w:lang w:val="en-US" w:eastAsia="en-US" w:bidi="ar-SA"/>
        </w:rPr>
        <w:t>Code</w:t>
      </w:r>
      <w:r>
        <w:rPr>
          <w:rFonts w:ascii="arial" w:eastAsia="arial" w:hAnsi="arial" w:cs="arial"/>
          <w:color w:val="000000"/>
          <w:sz w:val="20"/>
          <w:lang w:val="en-US" w:eastAsia="en-US" w:bidi="ar-SA"/>
        </w:rPr>
        <w:t xml:space="preserve"> defines bodily harm: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any hurt or injury to a person that interferes with the health or comfort of the person and that is more than merely transient or trifling in 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In this case, D.J. was clearly hurt when his father cut his foreskin -- he cried at the time of the circumcision and later that night when the cut opened and bled. There was obviously considerable interference with D.J.'s comfort for a number of days. D.J. was immobilized wholly or partially for a few days. I accept Dr. Afshar's evidence that surgery was necessary to repair the damage or injury that the accused had done to D.J.'s penis and to prevent the likely disfigurement. I would not characterize the injury as merely transient or trifling.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 Regarding Count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I note that it is the accused's conduct on April 2, 2007 that is in issue in this case, not the legality of the practice of home circumcision generally. I find the accused's actions to have been criminally negligent and that his conduct caused bodily harm to D.J. His conduct constituted a marked and substantial departure from the standard of care of a reasonable person in all the circumstances and showed a wanton and reckless disregard for his son's safety. Accordingly, the Crown has proved the elements of the offence charged in count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Count 2 -- Aggravated Assault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xml:space="preserve">  The Crown submits that the accused is also guilty of aggravated assault. Section 268(1) of the </w:t>
      </w:r>
      <w:r>
        <w:rPr>
          <w:rFonts w:ascii="arial" w:eastAsia="arial" w:hAnsi="arial" w:cs="arial"/>
          <w:i/>
          <w:color w:val="000000"/>
          <w:sz w:val="20"/>
          <w:lang w:val="en-US" w:eastAsia="en-US" w:bidi="ar-SA"/>
        </w:rPr>
        <w:t>Code</w:t>
      </w:r>
      <w:r>
        <w:rPr>
          <w:rFonts w:ascii="arial" w:eastAsia="arial" w:hAnsi="arial" w:cs="arial"/>
          <w:color w:val="000000"/>
          <w:sz w:val="20"/>
          <w:lang w:val="en-US" w:eastAsia="en-US" w:bidi="ar-SA"/>
        </w:rPr>
        <w:t xml:space="preserve"> states: "Every one commits an aggravated assault who wounds, maims, disfigures or endangers the life of the complainant." D.J. was not maimed and his life was not seriously endangered. Dr. Afshar's operating prevented D.J. from suffering a disfigurement. The Crown says that the accused's actions inflicted a wound which constituted an aggravated assault. Within the context of the offence, a "wound" is generally defined as a breaking of the skin in a way that causes more than minor bodily harm. While it is true that a "wound" to D.J.'s penis resulted from the circumcision, it is not the type of injury that constitutes an aggravated assault. The </w:t>
      </w:r>
      <w:r>
        <w:rPr>
          <w:rFonts w:ascii="arial" w:eastAsia="arial" w:hAnsi="arial" w:cs="arial"/>
          <w:i/>
          <w:color w:val="000000"/>
          <w:sz w:val="20"/>
          <w:lang w:val="en-US" w:eastAsia="en-US" w:bidi="ar-SA"/>
        </w:rPr>
        <w:t>Code</w:t>
      </w:r>
      <w:r>
        <w:rPr>
          <w:rFonts w:ascii="arial" w:eastAsia="arial" w:hAnsi="arial" w:cs="arial"/>
          <w:color w:val="000000"/>
          <w:sz w:val="20"/>
          <w:lang w:val="en-US" w:eastAsia="en-US" w:bidi="ar-SA"/>
        </w:rPr>
        <w:t xml:space="preserve"> contains a number of escalating offences against the person which reflect the severity of the assault or harm and the resulting penalties. For instance, simple assault, if charged as an indictable offence, carries with it a maximum sentence of five years imprisonment. Assault with a weapon or causing bodily harm, if charged as an indictable offence, carries a maximum penalty of 10 years imprisonment. Aggravated assault is an indictable offence only with a maximum penalty of 14 years imprisonment. Causing bodily harm by criminal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an indictable offence punishable by a maximum sentence of 10 years imprisonment.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In this case, D.J.'s injury, while significant, should be placed at the lower end of the spectrum of bodily harm. The actual degree of the bodily harm that he suffered is not analogous to a maiming or a disfigurement, and his life was not endangered.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I find the accused not guilty of the offence of aggravated assault.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Count 3 -- Assault with a Weapon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xml:space="preserve">  Finally, the Crown submits that the accused committed an assault with a weapon. Section 2 of the </w:t>
      </w:r>
      <w:r>
        <w:rPr>
          <w:rFonts w:ascii="arial" w:eastAsia="arial" w:hAnsi="arial" w:cs="arial"/>
          <w:i/>
          <w:color w:val="000000"/>
          <w:sz w:val="20"/>
          <w:lang w:val="en-US" w:eastAsia="en-US" w:bidi="ar-SA"/>
        </w:rPr>
        <w:t>Code</w:t>
      </w:r>
      <w:r>
        <w:rPr>
          <w:rFonts w:ascii="arial" w:eastAsia="arial" w:hAnsi="arial" w:cs="arial"/>
          <w:color w:val="000000"/>
          <w:sz w:val="20"/>
          <w:lang w:val="en-US" w:eastAsia="en-US" w:bidi="ar-SA"/>
        </w:rPr>
        <w:t xml:space="preserve"> defines "weapon" as "any thing used, designed to be used or intended for use ... in causing death or injury to any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The blade used by the accused to cut D.J.'s penis was not designed or intended for use in causing death or injury. The accused did not wield the blade as a weapon.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I find the accused not guilty of assault with a weapon.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Accused's Notice of a Constitutional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xml:space="preserve">  Counsel may address the issue of the defence's application for a Constitutional remedy under s. 24(1) of the </w:t>
      </w:r>
      <w:r>
        <w:rPr>
          <w:rFonts w:ascii="arial" w:eastAsia="arial" w:hAnsi="arial" w:cs="arial"/>
          <w:i/>
          <w:color w:val="000000"/>
          <w:sz w:val="20"/>
          <w:lang w:val="en-US" w:eastAsia="en-US" w:bidi="ar-SA"/>
        </w:rPr>
        <w:t>Charter.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M.J. ALLAN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77" style="position:absolute;z-index:25186611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58"/>
          <w:headerReference w:type="default" r:id="rId359"/>
          <w:footerReference w:type="even" r:id="rId360"/>
          <w:footerReference w:type="default" r:id="rId361"/>
          <w:headerReference w:type="first" r:id="rId362"/>
          <w:footerReference w:type="first" r:id="rId36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64" w:history="1">
        <w:r>
          <w:rPr>
            <w:rFonts w:ascii="arial" w:eastAsia="arial" w:hAnsi="arial" w:cs="arial"/>
            <w:b/>
            <w:bCs/>
            <w:i/>
            <w:color w:val="0077CC"/>
            <w:kern w:val="32"/>
            <w:sz w:val="28"/>
            <w:szCs w:val="32"/>
            <w:u w:val="single"/>
            <w:shd w:val="clear" w:color="auto" w:fill="FFFFFF"/>
            <w:lang w:val="en-US" w:eastAsia="en-US" w:bidi="ar-SA"/>
          </w:rPr>
          <w:t>Salo v. Insurance Corp. of British Columbia, [2017] I.L.R. para. M-3016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Canadian Insurance Law Reporter Cases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Supreme Court of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Before: MacKenzie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Decision: August 11,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No. M144721</w:t>
      </w:r>
    </w:p>
    <w:p>
      <w:pPr>
        <w:rPr>
          <w:rFonts w:ascii="arial" w:eastAsia="arial" w:hAnsi="arial" w:cs="arial"/>
          <w:sz w:val="20"/>
          <w:lang w:val="en-US" w:eastAsia="en-US" w:bidi="ar-SA"/>
        </w:rPr>
      </w:pPr>
    </w:p>
    <w:p>
      <w:pPr>
        <w:spacing w:before="120" w:after="120" w:line="280" w:lineRule="atLeast"/>
        <w:rPr>
          <w:rFonts w:ascii="arial" w:eastAsia="arial" w:hAnsi="arial" w:cs="arial"/>
          <w:sz w:val="20"/>
          <w:lang w:val="en-US" w:eastAsia="en-US" w:bidi="ar-SA"/>
        </w:rPr>
      </w:pPr>
      <w:r>
        <w:rPr>
          <w:rFonts w:ascii="arial" w:eastAsia="arial" w:hAnsi="arial" w:cs="arial"/>
          <w:b/>
          <w:i/>
          <w:color w:val="000000"/>
          <w:sz w:val="22"/>
          <w:lang w:val="en-US" w:eastAsia="en-US" w:bidi="ar-SA"/>
        </w:rPr>
        <w:t xml:space="preserve">Canadian Insurance Law Reporter Cases  </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Cases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2010s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2017</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[2017] I.L.R. para. M-3016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365" w:history="1">
        <w:r>
          <w:rPr>
            <w:rFonts w:ascii="arial" w:eastAsia="arial" w:hAnsi="arial" w:cs="arial"/>
            <w:i/>
            <w:color w:val="0077CC"/>
            <w:sz w:val="20"/>
            <w:u w:val="single"/>
            <w:shd w:val="clear" w:color="auto" w:fill="FFFFFF"/>
            <w:lang w:val="en-US" w:eastAsia="en-US" w:bidi="ar-SA"/>
          </w:rPr>
          <w:t>[2017] B.C.J. No. 1578</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365" w:history="1">
        <w:r>
          <w:rPr>
            <w:rFonts w:ascii="arial" w:eastAsia="arial" w:hAnsi="arial" w:cs="arial"/>
            <w:i/>
            <w:color w:val="0077CC"/>
            <w:sz w:val="20"/>
            <w:u w:val="single"/>
            <w:shd w:val="clear" w:color="auto" w:fill="FFFFFF"/>
            <w:lang w:val="en-US" w:eastAsia="en-US" w:bidi="ar-SA"/>
          </w:rPr>
          <w:t>2017 BCSC 1418</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Matthew Eric Salo v. Insurance Corporation of British Columbia</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78" style="position:absolute;z-index:2516695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71" w:name="Keywords_10"/>
      <w:bookmarkEnd w:id="71"/>
      <w:r>
        <w:rPr>
          <w:rFonts w:ascii="arial" w:eastAsia="arial" w:hAnsi="arial" w:cs="arial"/>
          <w:b/>
          <w:color w:val="000000"/>
          <w:sz w:val="20"/>
          <w:lang w:val="en-US" w:eastAsia="en-US" w:bidi="ar-SA"/>
        </w:rPr>
        <w:t xml:space="preserve">Tort, motor vehicle — Liability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Unknown driver — Cyclist — Evidence — Plaintiff cyclist was seriously injured in accident in July 2014 — Plaintiff approached T-intersection with stop sign intending to turn right — Witness described seeing SUV stopped at stop sign, waiting to turn right — Witness saw bicycle after seeing SUV and saw plaintiff airborne behind SUV — SUV driver was not located — Plaintiff had no recollection of accident — Plaintiff brought claim against defendant ICBC, claiming unidentified driver was negligent — ICBC brought application for summary dismissal of plaintiff's action — Onus was on plaintiff to provide evidence to support allegations of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There was no evidence of movements of SUV pre-accident — It would be pure speculation to infer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on part of SUV driver — Plaintiff did not meet its onus — Plaintiff's action was dismissed — Application allowed — Insurance (Vehicle) Act, </w:t>
      </w:r>
      <w:hyperlink r:id="rId366" w:history="1">
        <w:r>
          <w:rPr>
            <w:rFonts w:ascii="arial" w:eastAsia="arial" w:hAnsi="arial" w:cs="arial"/>
            <w:b/>
            <w:i/>
            <w:color w:val="0077CC"/>
            <w:sz w:val="20"/>
            <w:u w:val="single"/>
            <w:shd w:val="clear" w:color="auto" w:fill="FFFFFF"/>
            <w:lang w:val="en-US" w:eastAsia="en-US" w:bidi="ar-SA"/>
          </w:rPr>
          <w:t>RSBC 1996, c. 231, s. 24</w:t>
        </w:r>
      </w:hyperlink>
      <w:r>
        <w:rPr>
          <w:rFonts w:ascii="arial" w:eastAsia="arial" w:hAnsi="arial" w:cs="arial"/>
          <w:b/>
          <w:color w:val="000000"/>
          <w:sz w:val="20"/>
          <w:lang w:val="en-US" w:eastAsia="en-US" w:bidi="ar-SA"/>
        </w:rPr>
        <w: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72" w:name="Case Summary_10"/>
            <w:bookmarkEnd w:id="72"/>
          </w:p>
          <w:p>
            <w:pPr>
              <w:spacing w:before="120" w:line="260" w:lineRule="atLeast"/>
              <w:ind w:left="240"/>
              <w:jc w:val="both"/>
              <w:rPr>
                <w:rFonts w:ascii="arial" w:eastAsia="arial" w:hAnsi="arial" w:cs="arial"/>
                <w:sz w:val="20"/>
                <w:lang w:val="en-US" w:eastAsia="en-US" w:bidi="ar-SA"/>
              </w:rPr>
            </w:pPr>
            <w:r>
              <w:rPr>
                <w:rFonts w:ascii="arial" w:eastAsia="arial" w:hAnsi="arial" w:cs="arial"/>
                <w:b/>
                <w:color w:val="000000"/>
                <w:sz w:val="20"/>
                <w:lang w:val="en-US" w:eastAsia="en-US" w:bidi="ar-SA"/>
              </w:rPr>
              <w:t>Facts:</w:t>
            </w:r>
            <w:r>
              <w:rPr>
                <w:rFonts w:ascii="arial" w:eastAsia="arial" w:hAnsi="arial" w:cs="arial"/>
                <w:color w:val="000000"/>
                <w:sz w:val="20"/>
                <w:lang w:val="en-US" w:eastAsia="en-US" w:bidi="ar-SA"/>
              </w:rPr>
              <w:t xml:space="preserve"> The plaintiff cyclist was seriously injured in an accident in July 2014. The plaintiff was riding a bicycle near a T-intersection with a stop sign. The plaintiff was planning on turning right and heading south. He did not come to a complete stop but only slowed down to check for oncoming traffic. A witness described seeing an SUV stopped at the intersection, waiting to turn right to proceed in the same direction as the plaintiff intended to go. The witness saw the bicycle when it was abreast of the SUV. The witness saw the plaintiff "in the air" ten feet behind the SUV. The witness claimed that the SUV then completed its turn in an ordinary manner. Its driver was not located. The plaintiff had been knocked unconscious and had no recollection of the accident. He brought a claim against the defendant ICBC under section 24 of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xml:space="preserve">, claiming that the unidentified driver was negligent in stopping abruptly or sideswiping him and knocking him off his bicycle. The ICBC took the position that the plaintiff's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the accident. It brought an application for summary dismissal of the plaintiff's action.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73" w:name="Holdings of Court_10"/>
            <w:bookmarkEnd w:id="73"/>
            <w:r>
              <w:rPr>
                <w:rFonts w:ascii="arial" w:eastAsia="arial" w:hAnsi="arial" w:cs="arial"/>
                <w:color w:val="000000"/>
                <w:sz w:val="20"/>
                <w:lang w:val="en-US" w:eastAsia="en-US" w:bidi="ar-SA"/>
              </w:rPr>
              <w:t>HELD: The application was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found that it was appropriate to order severance, with liability determined separately from quantum of damages. It was appropriate to proceed by way of summary trial. The onus was on the plaintiff to provide evidence to support the allegations contained in the pleadings. The Court accepted the witness's evidence that the SUV was already stopped at the stop sign when he saw it and there was thus no evidence of the movements of the SUV pre-accident. Accordingly, it would be pure speculation to infer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SUV driver. The Court agreed with the ICBC that there were no positive proven facts based on which the Court could infer that the unknown driver was negligent. Accordingly, the plaintiff did not meet its onus and his action was dismissed.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74" w:name="Counsel_10"/>
      <w:bookmarkEnd w:id="7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79" style="position:absolute;z-index:2517207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H.F. Turnham for the plaintiff; K.A. McCullagh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75" w:name="Judgment_10"/>
      <w:bookmarkEnd w:id="75"/>
      <w:r>
        <w:pict>
          <v:line id="_x0000_s1080" style="position:absolute;z-index:25177190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71"/>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76" w:name="B.D. MacKENZIE J."/>
            <w:bookmarkEnd w:id="76"/>
            <w:r>
              <w:rPr>
                <w:rFonts w:ascii="arial" w:eastAsia="arial" w:hAnsi="arial" w:cs="arial"/>
                <w:b/>
                <w:color w:val="000000"/>
                <w:sz w:val="30"/>
                <w:lang w:val="en-US" w:eastAsia="en-US" w:bidi="ar-SA"/>
              </w:rPr>
              <w:t>B.D. MacKENZIE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action by the plaintiff, Mr. Salo, for personal injuries he suffered while riding a bicycle. The salient facts are that on July 3, 2014, Mr. Salo was riding his hybrid bicycle near a T-intersection on Salt Spring Island. The roadway Mr. Salo was cycling on has a stop sign at the intersection with North End Road. Apparently Mr. Salo was going to turn right onto North End Road, heading south, without coming to a complete stop, but rather to simply slow down to check for oncoming traffic and then complete his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only witness to the incident, Mr. Cunningham, who was driving south on North End Road, observed an SUV stopped at the intersection. The SUV was "apparently" waiting to turn right on North End Road to proceed south, the same direction Mr. Salo intended to go. As Mr. Cunningham approached this T-intersection, when he was "abreast of the SUV" to his right, he saw the bicycle and Mr. Salo in "mid-air" about ten feet behind the SUV.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According to his deposition, Mr. Cunningham did not see the plaintiff prior to seeing him in mid-air. Mr. Cunningham could not tell if the plaintiff collided with the rear of the SUV or whether there was any collision "at all". He did not hear any sound of a collision or impact between the SUV and the bicycle.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After observing this dramatic event, Mr. Cunningham stopped on the side of the road to render assistance. Once out of his vehicle he saw the SUV after it completed its right turn driving past him south on North End Road in "an ordinary manner". The SUV and its driver have never been located.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Unfortunately, Mr. Salo suffered very significant injuries and was in hospital until August 21, 2014, some seven weeks after the incident. What makes this action unique and difficult, indeed for both Mr. Salo and the Insurance Corporation of British Columbia ("ICBC"), is that as Mr. Salo was knocked unconscious, he has absolutely no recollection as to what happened the morning of July 3rd at the intersection in question. The police investigated but were unable to locate the vehicle in question or the driver. As a result, Sgt. Beardsmore deposed "we were not able to ascertain the circumstances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However, by his notice of civil claim, Mr. Salo alleges he was knocked off his bicycle because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unidentified motorist, resulting in a claim against ICBC under s. 24 of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 xml:space="preserve">. In particular, the plaintiff alleges in his notice of civil claim the following particulars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unidentified driver:</w:t>
      </w:r>
      <w:r>
        <w:rPr>
          <w:rFonts w:ascii="arial" w:eastAsia="arial" w:hAnsi="arial" w:cs="arial"/>
          <w:sz w:val="20"/>
          <w:lang w:val="en-US" w:eastAsia="en-US" w:bidi="ar-SA"/>
        </w:rPr>
        <w:cr/>
      </w:r>
    </w:p>
    <w:p>
      <w:pPr>
        <w:numPr>
          <w:numId w:val="10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provide sufficient clearance when passing the plaintiff's bicycle;</w:t>
      </w:r>
    </w:p>
    <w:p>
      <w:pPr>
        <w:numPr>
          <w:numId w:val="10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striking the plaintiff's bicycle in the course of passing it;</w:t>
      </w:r>
    </w:p>
    <w:p>
      <w:pPr>
        <w:numPr>
          <w:numId w:val="10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pulling in front of the plaintiff's bicycle so closely, and braking so sharply, that the plaintiff had no opportunity to avoid colliding with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ICBC admits the incident occurred but says Mr. Salo's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trial is set for ten days in May 2018, in front of a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At this point, however, ICBC has filed an application seeking that Mr. Salo's claim be dismissed on a summary trial basis pursuant to Rule 9-7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The fact that the trial is to be heard by a jury does not preclude either party from applying for judgment by way of this rule.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his response, Mr. Salo likewise relies on the provisions of Rule 9-7 and seeks summary judgment against ICBC.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Moreover, both parties also submit that the circumstances of this case are such that the court should sever the question of liability from the question of quantum of damages. On this point it is important to note that even where, as here, very experienced counsel agree that severance of liability and quantum of damages is appropriate and the action could properly proceed by way of a summary trial on the question of liability alone, this is not determinative of the issues, although the position of counsel should be given appropriate weight.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Burg Properties Ltd. v. Economical Mutual Insurance Company</w:t>
      </w:r>
      <w:r>
        <w:rPr>
          <w:rFonts w:ascii="arial" w:eastAsia="arial" w:hAnsi="arial" w:cs="arial"/>
          <w:color w:val="000000"/>
          <w:sz w:val="20"/>
          <w:lang w:val="en-US" w:eastAsia="en-US" w:bidi="ar-SA"/>
        </w:rPr>
        <w:t xml:space="preserve">, </w:t>
      </w:r>
      <w:hyperlink r:id="rId367" w:history="1">
        <w:r>
          <w:rPr>
            <w:rFonts w:ascii="arial" w:eastAsia="arial" w:hAnsi="arial" w:cs="arial"/>
            <w:i/>
            <w:color w:val="0077CC"/>
            <w:sz w:val="20"/>
            <w:u w:val="single"/>
            <w:shd w:val="clear" w:color="auto" w:fill="FFFFFF"/>
            <w:lang w:val="en-US" w:eastAsia="en-US" w:bidi="ar-SA"/>
          </w:rPr>
          <w:t>2013 BCSC 209</w:t>
        </w:r>
      </w:hyperlink>
      <w:r>
        <w:rPr>
          <w:rFonts w:ascii="arial" w:eastAsia="arial" w:hAnsi="arial" w:cs="arial"/>
          <w:color w:val="000000"/>
          <w:sz w:val="20"/>
          <w:lang w:val="en-US" w:eastAsia="en-US" w:bidi="ar-SA"/>
        </w:rPr>
        <w:t>, Gerow J. reviewed the principles governing an application for severance: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[27] There is authority for the proposition that in a summary trial application where a party seeks to proceed only on liability, a two step approach should be followed: the first step is to determine whether there should be severance, and the second step is to determine if a summary trial on the issue of liability is appropriate: </w:t>
      </w:r>
      <w:r>
        <w:rPr>
          <w:rFonts w:ascii="arial" w:eastAsia="arial" w:hAnsi="arial" w:cs="arial"/>
          <w:i/>
          <w:color w:val="000000"/>
          <w:sz w:val="20"/>
          <w:lang w:val="en-US" w:eastAsia="en-US" w:bidi="ar-SA"/>
        </w:rPr>
        <w:t>Chun v. Smit</w:t>
      </w:r>
      <w:r>
        <w:rPr>
          <w:rFonts w:ascii="arial" w:eastAsia="arial" w:hAnsi="arial" w:cs="arial"/>
          <w:color w:val="000000"/>
          <w:sz w:val="20"/>
          <w:lang w:val="en-US" w:eastAsia="en-US" w:bidi="ar-SA"/>
        </w:rPr>
        <w:t xml:space="preserve">, </w:t>
      </w:r>
      <w:hyperlink r:id="rId368" w:history="1">
        <w:r>
          <w:rPr>
            <w:rFonts w:ascii="arial" w:eastAsia="arial" w:hAnsi="arial" w:cs="arial"/>
            <w:i/>
            <w:color w:val="0077CC"/>
            <w:sz w:val="20"/>
            <w:u w:val="single"/>
            <w:shd w:val="clear" w:color="auto" w:fill="FFFFFF"/>
            <w:lang w:val="en-US" w:eastAsia="en-US" w:bidi="ar-SA"/>
          </w:rPr>
          <w:t>2011 BCSC 412</w:t>
        </w:r>
      </w:hyperlink>
      <w:r>
        <w:rPr>
          <w:rFonts w:ascii="arial" w:eastAsia="arial" w:hAnsi="arial" w:cs="arial"/>
          <w:color w:val="000000"/>
          <w:sz w:val="20"/>
          <w:lang w:val="en-US" w:eastAsia="en-US" w:bidi="ar-SA"/>
        </w:rPr>
        <w:t xml:space="preserve"> at paras. 8-9. In </w:t>
      </w:r>
      <w:r>
        <w:rPr>
          <w:rFonts w:ascii="arial" w:eastAsia="arial" w:hAnsi="arial" w:cs="arial"/>
          <w:i/>
          <w:color w:val="000000"/>
          <w:sz w:val="20"/>
          <w:lang w:val="en-US" w:eastAsia="en-US" w:bidi="ar-SA"/>
        </w:rPr>
        <w:t>Chun</w:t>
      </w:r>
      <w:r>
        <w:rPr>
          <w:rFonts w:ascii="arial" w:eastAsia="arial" w:hAnsi="arial" w:cs="arial"/>
          <w:color w:val="000000"/>
          <w:sz w:val="20"/>
          <w:lang w:val="en-US" w:eastAsia="en-US" w:bidi="ar-SA"/>
        </w:rPr>
        <w:t xml:space="preserve">, the court stated that the test for severance is whether there are extraordinary, exceptional or compelling reasons for the severance. A compelling reason to order severance is a likelihood of a significant savings in time and expense realized by a summary trial: </w:t>
      </w:r>
      <w:r>
        <w:rPr>
          <w:rFonts w:ascii="arial" w:eastAsia="arial" w:hAnsi="arial" w:cs="arial"/>
          <w:i/>
          <w:color w:val="000000"/>
          <w:sz w:val="20"/>
          <w:lang w:val="en-US" w:eastAsia="en-US" w:bidi="ar-SA"/>
        </w:rPr>
        <w:t>Bramwell v. Greater Vancouver Transportation Authority</w:t>
      </w:r>
      <w:r>
        <w:rPr>
          <w:rFonts w:ascii="arial" w:eastAsia="arial" w:hAnsi="arial" w:cs="arial"/>
          <w:color w:val="000000"/>
          <w:sz w:val="20"/>
          <w:lang w:val="en-US" w:eastAsia="en-US" w:bidi="ar-SA"/>
        </w:rPr>
        <w:t xml:space="preserve">, </w:t>
      </w:r>
      <w:hyperlink r:id="rId369" w:history="1">
        <w:r>
          <w:rPr>
            <w:rFonts w:ascii="arial" w:eastAsia="arial" w:hAnsi="arial" w:cs="arial"/>
            <w:i/>
            <w:color w:val="0077CC"/>
            <w:sz w:val="20"/>
            <w:u w:val="single"/>
            <w:shd w:val="clear" w:color="auto" w:fill="FFFFFF"/>
            <w:lang w:val="en-US" w:eastAsia="en-US" w:bidi="ar-SA"/>
          </w:rPr>
          <w:t>2008 BCSC 1180</w:t>
        </w:r>
      </w:hyperlink>
      <w:r>
        <w:rPr>
          <w:rFonts w:ascii="arial" w:eastAsia="arial" w:hAnsi="arial" w:cs="arial"/>
          <w:color w:val="000000"/>
          <w:sz w:val="20"/>
          <w:lang w:val="en-US" w:eastAsia="en-US" w:bidi="ar-SA"/>
        </w:rPr>
        <w:t xml:space="preserve"> at para. 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See also </w:t>
      </w:r>
      <w:r>
        <w:rPr>
          <w:rFonts w:ascii="arial" w:eastAsia="arial" w:hAnsi="arial" w:cs="arial"/>
          <w:i/>
          <w:color w:val="000000"/>
          <w:sz w:val="20"/>
          <w:lang w:val="en-US" w:eastAsia="en-US" w:bidi="ar-SA"/>
        </w:rPr>
        <w:t>Thomas v. The Roman Catholic Archbishop of Vancouver</w:t>
      </w:r>
      <w:r>
        <w:rPr>
          <w:rFonts w:ascii="arial" w:eastAsia="arial" w:hAnsi="arial" w:cs="arial"/>
          <w:color w:val="000000"/>
          <w:sz w:val="20"/>
          <w:lang w:val="en-US" w:eastAsia="en-US" w:bidi="ar-SA"/>
        </w:rPr>
        <w:t xml:space="preserve">, </w:t>
      </w:r>
      <w:hyperlink r:id="rId370" w:history="1">
        <w:r>
          <w:rPr>
            <w:rFonts w:ascii="arial" w:eastAsia="arial" w:hAnsi="arial" w:cs="arial"/>
            <w:i/>
            <w:color w:val="0077CC"/>
            <w:sz w:val="20"/>
            <w:u w:val="single"/>
            <w:shd w:val="clear" w:color="auto" w:fill="FFFFFF"/>
            <w:lang w:val="en-US" w:eastAsia="en-US" w:bidi="ar-SA"/>
          </w:rPr>
          <w:t>2016 BCSC 1466</w:t>
        </w:r>
      </w:hyperlink>
      <w:r>
        <w:rPr>
          <w:rFonts w:ascii="arial" w:eastAsia="arial" w:hAnsi="arial" w:cs="arial"/>
          <w:color w:val="000000"/>
          <w:sz w:val="20"/>
          <w:lang w:val="en-US" w:eastAsia="en-US" w:bidi="ar-SA"/>
        </w:rPr>
        <w:t xml:space="preserve"> at para. 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Hewson v. British Columbia</w:t>
      </w:r>
      <w:r>
        <w:rPr>
          <w:rFonts w:ascii="arial" w:eastAsia="arial" w:hAnsi="arial" w:cs="arial"/>
          <w:color w:val="000000"/>
          <w:sz w:val="20"/>
          <w:lang w:val="en-US" w:eastAsia="en-US" w:bidi="ar-SA"/>
        </w:rPr>
        <w:t xml:space="preserve">, </w:t>
      </w:r>
      <w:hyperlink r:id="rId371" w:history="1">
        <w:r>
          <w:rPr>
            <w:rFonts w:ascii="arial" w:eastAsia="arial" w:hAnsi="arial" w:cs="arial"/>
            <w:i/>
            <w:color w:val="0077CC"/>
            <w:sz w:val="20"/>
            <w:u w:val="single"/>
            <w:shd w:val="clear" w:color="auto" w:fill="FFFFFF"/>
            <w:lang w:val="en-US" w:eastAsia="en-US" w:bidi="ar-SA"/>
          </w:rPr>
          <w:t>2016 BCSC 803</w:t>
        </w:r>
      </w:hyperlink>
      <w:r>
        <w:rPr>
          <w:rFonts w:ascii="arial" w:eastAsia="arial" w:hAnsi="arial" w:cs="arial"/>
          <w:color w:val="000000"/>
          <w:sz w:val="20"/>
          <w:lang w:val="en-US" w:eastAsia="en-US" w:bidi="ar-SA"/>
        </w:rPr>
        <w:t xml:space="preserve"> the court observed: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 In the present case, significant time and expense will be saved by proceeding in this fashion, with liability determined separately from quantum of damages. If the defendant is found liable, then a truncated trial will occur; whereas if the defendant is held not to be liable, the entire trial will be avoided. The assessment of damages, if it is necessary, will be complicated by the plaintiff's extensive medical history and potential pre-existing conditions. A number of experts will likely be required, at a significant cost. The evidence related to liability is relatively limited, the legal framework is uncontentious, and the issue of liability is discrete from the assessment of damages. To the extent that the plaintiff's credibility is relevant, in my view, it primarily relates to the issue of damages, given that the issue of liability in this case turns on the question of whether the defendant has breached its standard of care and if so, whether the test for causation has been met. Thus, severance is appropriate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support of their joint application for a summary trial, both counsel point out that as the plaintiff recalls nothing about the accident, his credibility or even his version of events is not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Perhaps most significantly, the defendant emphasizes that, on this application, if the court does not find the SUV driver negligent then this will obviate the need for the entire additional conventional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Given the totality of the circumstances and the positions of both counsel, I am prepared to find this is one of those rare cases where it is appropriate to order severance, with liability determined separately from quantum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Turning next to the question of whether the action is suitable for determination by way of summary trial, even with the agreement of counsel, the ultimate decision again rests with the court, as certain provisions of Rule 9-7 make clear:</w:t>
      </w:r>
      <w:r>
        <w:rPr>
          <w:rFonts w:ascii="arial" w:eastAsia="arial" w:hAnsi="arial" w:cs="arial"/>
          <w:sz w:val="20"/>
          <w:lang w:val="en-US" w:eastAsia="en-US" w:bidi="ar-SA"/>
        </w:rPr>
        <w:cr/>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hearing of a summary trial application, the court may</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grant judgment in favour of any party, either on an issue or generally, unless</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is unable, on the whole of the evidence before the court on the application, to find the facts necessary to decide the issues of fact or law, or</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is of the opinion that it would be unjust to decide the issues on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Both parties agree that </w:t>
      </w:r>
      <w:r>
        <w:rPr>
          <w:rFonts w:ascii="arial" w:eastAsia="arial" w:hAnsi="arial" w:cs="arial"/>
          <w:i/>
          <w:color w:val="000000"/>
          <w:sz w:val="20"/>
          <w:lang w:val="en-US" w:eastAsia="en-US" w:bidi="ar-SA"/>
        </w:rPr>
        <w:t>Inspiration Managment Ltd. v. McDermid St. Lawrence Ltd</w:t>
      </w:r>
      <w:r>
        <w:rPr>
          <w:rFonts w:ascii="arial" w:eastAsia="arial" w:hAnsi="arial" w:cs="arial"/>
          <w:color w:val="000000"/>
          <w:sz w:val="20"/>
          <w:lang w:val="en-US" w:eastAsia="en-US" w:bidi="ar-SA"/>
        </w:rPr>
        <w:t xml:space="preserve">. </w:t>
      </w:r>
      <w:hyperlink r:id="rId372" w:history="1">
        <w:r>
          <w:rPr>
            <w:rFonts w:ascii="arial" w:eastAsia="arial" w:hAnsi="arial" w:cs="arial"/>
            <w:i/>
            <w:color w:val="0077CC"/>
            <w:sz w:val="20"/>
            <w:u w:val="single"/>
            <w:shd w:val="clear" w:color="auto" w:fill="FFFFFF"/>
            <w:lang w:val="en-US" w:eastAsia="en-US" w:bidi="ar-SA"/>
          </w:rPr>
          <w:t>(1989), 36 B.C.L.R. (2d) 202</w:t>
        </w:r>
      </w:hyperlink>
      <w:r>
        <w:rPr>
          <w:rFonts w:ascii="arial" w:eastAsia="arial" w:hAnsi="arial" w:cs="arial"/>
          <w:color w:val="000000"/>
          <w:sz w:val="20"/>
          <w:lang w:val="en-US" w:eastAsia="en-US" w:bidi="ar-SA"/>
        </w:rPr>
        <w:t xml:space="preserve"> (C.A.) remains the leading authority on whether an action is suitable for summary trial. In that case, McEachern C.J.B.C. suggested chambers judges should not be bashful or reluctant to proceed by way of summary judgment if it would not be unjust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On the present application both parties agree there is no need for </w:t>
      </w:r>
      <w:r>
        <w:rPr>
          <w:rFonts w:ascii="arial" w:eastAsia="arial" w:hAnsi="arial" w:cs="arial"/>
          <w:i/>
          <w:color w:val="000000"/>
          <w:sz w:val="20"/>
          <w:lang w:val="en-US" w:eastAsia="en-US" w:bidi="ar-SA"/>
        </w:rPr>
        <w:t>viva voce</w:t>
      </w:r>
      <w:r>
        <w:rPr>
          <w:rFonts w:ascii="arial" w:eastAsia="arial" w:hAnsi="arial" w:cs="arial"/>
          <w:color w:val="000000"/>
          <w:sz w:val="20"/>
          <w:lang w:val="en-US" w:eastAsia="en-US" w:bidi="ar-SA"/>
        </w:rPr>
        <w:t xml:space="preserve"> evidence with respect to liability, most importantly in my view as it relates to Mr. Cunningham, the only witness. The reason is that, at the plaintiff's request, Mr. Cunningham gave a deposition two months ago where counsel examined and cross-examined him as to what he saw on the day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As a result, I am prepared to accede to the urging of both counsel and conclude I can decide the issue of liability by way of a summary trial application and that it would not be unjust to either party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addition to agreeing that hearing the question of liability on the summary application is appropriate, both counsel agree that something "drastic" happened to catapult Mr. Salo into the air behind the SUV, when the SUV was stopped at the stop sign. However, no one can definitively say what that was, given Mr. Salo's lack of memory, the SUV driver was never located, and Mr. Cunningham cannot say a collision even occurred between the SUV and the cyclist.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Nevertheless, counsel for Mr. Salo says "the court should be prepared to accept that what happened here is very unlikely to have happened without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someone". He further submits that "he has established" that Mr. Salo was not negligent and thus the driver of the SUV was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plaintiff submits this "inference is strongly reinforced by the driver's departure from the scene in circumstances where, especially if he were 'innocent', he would have been expected to remain and to render assistance," as Mr. Cunningham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On this particular point, the defendant says even if a collision occurred and the driver of the SUV knew this, not staying at the scene, in and of itself, does equate to a finding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(See </w:t>
      </w:r>
      <w:r>
        <w:rPr>
          <w:rFonts w:ascii="arial" w:eastAsia="arial" w:hAnsi="arial" w:cs="arial"/>
          <w:i/>
          <w:color w:val="000000"/>
          <w:sz w:val="20"/>
          <w:lang w:val="en-US" w:eastAsia="en-US" w:bidi="ar-SA"/>
        </w:rPr>
        <w:t>Finlayson v. Insurance Corporation of British Columbia</w:t>
      </w:r>
      <w:r>
        <w:rPr>
          <w:rFonts w:ascii="arial" w:eastAsia="arial" w:hAnsi="arial" w:cs="arial"/>
          <w:color w:val="000000"/>
          <w:sz w:val="20"/>
          <w:lang w:val="en-US" w:eastAsia="en-US" w:bidi="ar-SA"/>
        </w:rPr>
        <w:t xml:space="preserve">, </w:t>
      </w:r>
      <w:hyperlink r:id="rId373" w:history="1">
        <w:r>
          <w:rPr>
            <w:rFonts w:ascii="arial" w:eastAsia="arial" w:hAnsi="arial" w:cs="arial"/>
            <w:i/>
            <w:color w:val="0077CC"/>
            <w:sz w:val="20"/>
            <w:u w:val="single"/>
            <w:shd w:val="clear" w:color="auto" w:fill="FFFFFF"/>
            <w:lang w:val="en-US" w:eastAsia="en-US" w:bidi="ar-SA"/>
          </w:rPr>
          <w:t>[1994] B.C.J. No. 2884</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addition, Mr. Cunningham has deposed that when the SUV turned right onto North End Road and drove past him it did so in an appropriate manner. Mr. Cunningham's evidence is that there was nothing unusual in the way the SUV was being operated, and went on to say "it just seemed to be pulling away as if it was -- didn't have any idea of anything that had happened."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To support its position that the court should dismiss the claim, the defendant emphasizes that Mr. Cunningham deposed that he observed the SUV stopped at the stop sign. At page 6, lines 18 to 21, 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As I was approaching the intersection -- I'd be about, oh, 20 to 30 feet from the actual intersection -- I noticed a beige vehicle stopped at the stop sign.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At page 7, lines 16 to 25, he provided the following answers to the questions asked: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When you first saw the beige SUV, where was it in relation to the stop sign at this intersection?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It was stopped, as far as I -- it was stopped.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And are you able to say whether it had stopped even with the stop sign or on one side or the other of the stop sign?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Well, I would say stopped right at the stop sign or just before the stop sign, but it was stopped when I passed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Cunningham's deposition then proceeded at page 8, lines 1 through to page 9, line 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Okay. When -- was it moving or stopped when you first saw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When I saw it, it was stopped.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Now you mentioned having seen a bicycle. Where were you when you first saw the bicycle?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I was abreast of the vehicle that stopped at the stop sign. I didn't see the bicycle until then. Until I had got abreast of the vehicle stopped at the stop sign, I didn't even see a bike. And then, all of a sudden, there's this bike in the air with a body atop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And where was that in relation to the Beige SUV?</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Directly behind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Did you see any collision?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No, I didn't actually see a collision.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Do you know if there was a collision?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I don't know for sure. I don't know. It wasn't until I saw the vehicle -- the person in midair that it drew my attention to a -- to an incident, because prior to that everything seemed normal.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Now, during the time you witnessed these events you described, did you hear any sounds associated with them?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None.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Did you hear the sound of a collision?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No.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cross-examination Mr. Cunningham confirmed he saw the SUV stopped at the stop sign before he saw the plaintiff in the air behind the SUV. At page 24, line 20 through to page 25, line 4, he testified: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You seem to be certain that the first moment you saw the SUV it was already stopped at or very close to the stop sign?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Exactly. Correct.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So from your point of view, it could have been there for five minutes for all you know?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It could have been.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You're definite you did not see the vehicle coming to a stop?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No, I didn't.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submissions, counsel for the plaintiff referred to a sketch prepared by Mr. Cunningham about an hour or so after the accident on July 3, 2014. On that sketch Mr. Cunningham wrote "I saw the car stop at stop sign as I approached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Counsel submits that this undermines Mr. Cunningham's deposition testimony made almost three years later when he unequivocally stated that the SUV was stopped at the stop sign when he first observed it. Counsel for the plaintiff submits I should accept what Mr. Cunningham wrote on his sketch and find that the SUV was in the process of stopping when the cyclist became airborne, as opposed to being stopped at the stop sign, thereby lending credence to the assertion that the SUV sideswiped Mr. Salo or came to a sudden and negligent stop.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Given the totality of the evidence, I cannot accept the plaintiff's interpretation of what Mr. Cunningham says he observed when he saw the cyclist in mid-air behind the SUV, especially when Mr. Salo's counsel did not ask Mr. Cunningham about what he wrote on the sketch during cross-examination at his deposition.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As a result, I accept the evidence of Mr. Cunningham when he says the SUV was stopped at the intersection. Therefore I agree with the defendant that as there is "no evidence whatsoever of the movements of the vehicle before the accident ... it would be pure speculation to infer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vehicle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Indeed, given the fact that the evidence establishes the SUV was stationary at the time Mr. Cunningham observed the plaintiff was airborne, the defendant submits that if the incident was indeed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someone, the most logical inference is that the plaintiff is at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As noted, the plaintiff's claim is under s. 24 of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xml:space="preserve">, which permits an action to proceed against ICBC when a plaintiff can make out a cause of action against an unidentified motorist. But, as in other cases, to establish a cause of action, the plaintiff must prove fault on the part of the unidentified motorist, on a balance of probabilities. In this case, as the plaintiff has alleged the unidentified motorist was negligent in the operation of his or her vehicle, the plaintiff must establish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a balance of probabilities.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It is well settled that on a summary trial application, as at a full trial, the plaintiff has the onus to provide evidence to support the allegations contained in the pleadings: </w:t>
      </w:r>
      <w:r>
        <w:rPr>
          <w:rFonts w:ascii="arial" w:eastAsia="arial" w:hAnsi="arial" w:cs="arial"/>
          <w:i/>
          <w:color w:val="000000"/>
          <w:sz w:val="20"/>
          <w:lang w:val="en-US" w:eastAsia="en-US" w:bidi="ar-SA"/>
        </w:rPr>
        <w:t>Muira v. Muira</w:t>
      </w:r>
      <w:r>
        <w:rPr>
          <w:rFonts w:ascii="arial" w:eastAsia="arial" w:hAnsi="arial" w:cs="arial"/>
          <w:color w:val="000000"/>
          <w:sz w:val="20"/>
          <w:lang w:val="en-US" w:eastAsia="en-US" w:bidi="ar-SA"/>
        </w:rPr>
        <w:t xml:space="preserve"> </w:t>
      </w:r>
      <w:hyperlink r:id="rId374" w:history="1">
        <w:r>
          <w:rPr>
            <w:rFonts w:ascii="arial" w:eastAsia="arial" w:hAnsi="arial" w:cs="arial"/>
            <w:i/>
            <w:color w:val="0077CC"/>
            <w:sz w:val="20"/>
            <w:u w:val="single"/>
            <w:shd w:val="clear" w:color="auto" w:fill="FFFFFF"/>
            <w:lang w:val="en-US" w:eastAsia="en-US" w:bidi="ar-SA"/>
          </w:rPr>
          <w:t>(1992), 66 B.C.L.R. (2d) 345</w:t>
        </w:r>
      </w:hyperlink>
      <w:r>
        <w:rPr>
          <w:rFonts w:ascii="arial" w:eastAsia="arial" w:hAnsi="arial" w:cs="arial"/>
          <w:color w:val="000000"/>
          <w:sz w:val="20"/>
          <w:lang w:val="en-US" w:eastAsia="en-US" w:bidi="ar-SA"/>
        </w:rPr>
        <w:t xml:space="preserve"> (C.A.). The parties agree this burden does not shift even when the defendant brings an application seeking dismissal of the action pursuant to the provisions of Rule 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In addition, in cases where "the evidence is circumstantial, inferences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cannot be drawn unless there are positive proven facts from which such inferences can be made": </w:t>
      </w:r>
      <w:r>
        <w:rPr>
          <w:rFonts w:ascii="arial" w:eastAsia="arial" w:hAnsi="arial" w:cs="arial"/>
          <w:i/>
          <w:color w:val="000000"/>
          <w:sz w:val="20"/>
          <w:lang w:val="en-US" w:eastAsia="en-US" w:bidi="ar-SA"/>
        </w:rPr>
        <w:t>Plett v. Insurance Corporation of British Columbia</w:t>
      </w:r>
      <w:r>
        <w:rPr>
          <w:rFonts w:ascii="arial" w:eastAsia="arial" w:hAnsi="arial" w:cs="arial"/>
          <w:color w:val="000000"/>
          <w:sz w:val="20"/>
          <w:lang w:val="en-US" w:eastAsia="en-US" w:bidi="ar-SA"/>
        </w:rPr>
        <w:t xml:space="preserve"> </w:t>
      </w:r>
      <w:hyperlink r:id="rId375" w:history="1">
        <w:r>
          <w:rPr>
            <w:rFonts w:ascii="arial" w:eastAsia="arial" w:hAnsi="arial" w:cs="arial"/>
            <w:i/>
            <w:color w:val="0077CC"/>
            <w:sz w:val="20"/>
            <w:u w:val="single"/>
            <w:shd w:val="clear" w:color="auto" w:fill="FFFFFF"/>
            <w:lang w:val="en-US" w:eastAsia="en-US" w:bidi="ar-SA"/>
          </w:rPr>
          <w:t>(1987), 12 B.C.L.R. (2d) 336</w:t>
        </w:r>
      </w:hyperlink>
      <w:r>
        <w:rPr>
          <w:rFonts w:ascii="arial" w:eastAsia="arial" w:hAnsi="arial" w:cs="arial"/>
          <w:color w:val="000000"/>
          <w:sz w:val="20"/>
          <w:lang w:val="en-US" w:eastAsia="en-US" w:bidi="ar-SA"/>
        </w:rPr>
        <w:t xml:space="preserve"> (C.A.) at para. 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Plett</w:t>
      </w:r>
      <w:r>
        <w:rPr>
          <w:rFonts w:ascii="arial" w:eastAsia="arial" w:hAnsi="arial" w:cs="arial"/>
          <w:color w:val="000000"/>
          <w:sz w:val="20"/>
          <w:lang w:val="en-US" w:eastAsia="en-US" w:bidi="ar-SA"/>
        </w:rPr>
        <w:t xml:space="preserve">, our Court of Appeal cited with approval </w:t>
      </w:r>
      <w:r>
        <w:rPr>
          <w:rFonts w:ascii="arial" w:eastAsia="arial" w:hAnsi="arial" w:cs="arial"/>
          <w:i/>
          <w:color w:val="000000"/>
          <w:sz w:val="20"/>
          <w:lang w:val="en-US" w:eastAsia="en-US" w:bidi="ar-SA"/>
        </w:rPr>
        <w:t>Caswell v. Powell Duffryn Associated Collieries Ltd.</w:t>
      </w:r>
      <w:r>
        <w:rPr>
          <w:rFonts w:ascii="arial" w:eastAsia="arial" w:hAnsi="arial" w:cs="arial"/>
          <w:color w:val="000000"/>
          <w:sz w:val="20"/>
          <w:lang w:val="en-US" w:eastAsia="en-US" w:bidi="ar-SA"/>
        </w:rPr>
        <w:t>, [1940] A.C. 152, where Lord Wright said that "if there are no positive proved facts from which the inference can be made, the method of inference fails and what is left is mere speculation or conjecture": at 170.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In this case there is no direct evidence as to what caused Mr. Salo to become airborne when the SUV was stopped at the stop sign. Both counsel have suggested possible scenarios or explanations as to what might have happened, some more fanciful or implausible than others. But, as the defendant asserts, absent any evidence "about the movements of the SUV before the collision", it would be pure speculation to infer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SUV driver. In addition, whether the SUV turned right a few seconds after Mr. Cunningham observed it stopped at the intersection or a moment or two later, this, in my view, does not assist the court in determining what caused Mr. Salo to become airborne near the rear of the SUV, or in drawing an inference that the SUV driver was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Given the paucity of evidence as to what occurred on July 3, 2014 when Mr. Salo unfortunately suffered significant injuries while riding his bicycle, I agree with the defendant when it submits there are no positive proved facts from which I can infer that the unknown driver was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As a result, the action is dismissed. Subject to any agreement between the parties, the defendant is entitled to costs on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B.D. MacKENZIE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81" style="position:absolute;z-index:25182310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76"/>
          <w:headerReference w:type="default" r:id="rId377"/>
          <w:footerReference w:type="even" r:id="rId378"/>
          <w:footerReference w:type="default" r:id="rId379"/>
          <w:headerReference w:type="first" r:id="rId380"/>
          <w:footerReference w:type="first" r:id="rId38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82" w:history="1">
        <w:r>
          <w:rPr>
            <w:rFonts w:ascii="arial" w:eastAsia="arial" w:hAnsi="arial" w:cs="arial"/>
            <w:b/>
            <w:bCs/>
            <w:i/>
            <w:color w:val="0077CC"/>
            <w:kern w:val="32"/>
            <w:sz w:val="28"/>
            <w:szCs w:val="32"/>
            <w:u w:val="single"/>
            <w:shd w:val="clear" w:color="auto" w:fill="FFFFFF"/>
            <w:lang w:val="en-US" w:eastAsia="en-US" w:bidi="ar-SA"/>
          </w:rPr>
          <w:t>Widdowson v. Rockwell, [2017] I.L.R. para. G-2769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Canadian Insurance Law Reporter Cases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Supreme Court of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Before: Kent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Decision: March 8,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No. M135143</w:t>
      </w:r>
    </w:p>
    <w:p>
      <w:pPr>
        <w:rPr>
          <w:rFonts w:ascii="arial" w:eastAsia="arial" w:hAnsi="arial" w:cs="arial"/>
          <w:sz w:val="20"/>
          <w:lang w:val="en-US" w:eastAsia="en-US" w:bidi="ar-SA"/>
        </w:rPr>
      </w:pPr>
    </w:p>
    <w:p>
      <w:pPr>
        <w:spacing w:before="120" w:after="120" w:line="280" w:lineRule="atLeast"/>
        <w:rPr>
          <w:rFonts w:ascii="arial" w:eastAsia="arial" w:hAnsi="arial" w:cs="arial"/>
          <w:sz w:val="20"/>
          <w:lang w:val="en-US" w:eastAsia="en-US" w:bidi="ar-SA"/>
        </w:rPr>
      </w:pPr>
      <w:r>
        <w:rPr>
          <w:rFonts w:ascii="arial" w:eastAsia="arial" w:hAnsi="arial" w:cs="arial"/>
          <w:b/>
          <w:i/>
          <w:color w:val="000000"/>
          <w:sz w:val="22"/>
          <w:lang w:val="en-US" w:eastAsia="en-US" w:bidi="ar-SA"/>
        </w:rPr>
        <w:t xml:space="preserve">Canadian Insurance Law Reporter Cases  </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Cases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2010s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2017</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[2017] I.L.R. para. G-2769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383" w:history="1">
        <w:r>
          <w:rPr>
            <w:rFonts w:ascii="arial" w:eastAsia="arial" w:hAnsi="arial" w:cs="arial"/>
            <w:i/>
            <w:color w:val="0077CC"/>
            <w:sz w:val="20"/>
            <w:u w:val="single"/>
            <w:shd w:val="clear" w:color="auto" w:fill="FFFFFF"/>
            <w:lang w:val="en-US" w:eastAsia="en-US" w:bidi="ar-SA"/>
          </w:rPr>
          <w:t>[2017] B.C.J. No. 457</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383" w:history="1">
        <w:r>
          <w:rPr>
            <w:rFonts w:ascii="arial" w:eastAsia="arial" w:hAnsi="arial" w:cs="arial"/>
            <w:i/>
            <w:color w:val="0077CC"/>
            <w:sz w:val="20"/>
            <w:u w:val="single"/>
            <w:shd w:val="clear" w:color="auto" w:fill="FFFFFF"/>
            <w:lang w:val="en-US" w:eastAsia="en-US" w:bidi="ar-SA"/>
          </w:rPr>
          <w:t>2017 BCSC 385</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Stuart Widdowson v. Bradley James Rockwell, Ridge Sheet Metal Ltd., Insurance Corporation of British Columbia, Sam Yehia, The Cambie Malone's Corporation, The Cambie Malone's Group, John Doe and ABC Corp.; Insurance Corporation of British Columbia (Third Party); Sam Yehia, the Cambie Malone's Corporation, the Cambie Malone's Group, John Doe and ABC Corp. (Further Third Parties)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82" style="position:absolute;z-index:2516705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77" w:name="Keywords_11"/>
      <w:bookmarkEnd w:id="77"/>
      <w:r>
        <w:rPr>
          <w:rFonts w:ascii="arial" w:eastAsia="arial" w:hAnsi="arial" w:cs="arial"/>
          <w:b/>
          <w:color w:val="000000"/>
          <w:sz w:val="20"/>
          <w:lang w:val="en-US" w:eastAsia="en-US" w:bidi="ar-SA"/>
        </w:rPr>
        <w:t xml:space="preserve">Tort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Liquor liability — Commercial host — Pub — Plaintiff pedestrian suffered severe injuries after being struck by truck driven by defendant — Defendant driver had left work at noon and went to defendant pub to drink with friends — Accident took place at 5 p.m. — Plaintiff brought action in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for damages and applied for summary trial — Court had to determine pub's liability — Court accepted driver was "falling-down drunk" at scene of accident — Only reasonable inference was that driver consumed significant amount of alcohol at pub — Plaintiff had at least five to six drinks at pub — Driver consumed additional alcohol at his residence — Pub's employees failed in abiding by employer's directive that intoxicated persons must not be permitted to drive — Arriving home safely after leaving the pub did not break chain of causation — Intoxication resulting from pub was part of cause of accident and plaintiff's resulting injuries — Court allocated liability as 75 per cent to driver and 25 per cent to pub — Application allowed.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78" w:name="Case Summary_11"/>
            <w:bookmarkEnd w:id="78"/>
          </w:p>
          <w:p>
            <w:pPr>
              <w:spacing w:before="120" w:line="260" w:lineRule="atLeast"/>
              <w:ind w:left="240"/>
              <w:jc w:val="both"/>
              <w:rPr>
                <w:rFonts w:ascii="arial" w:eastAsia="arial" w:hAnsi="arial" w:cs="arial"/>
                <w:sz w:val="20"/>
                <w:lang w:val="en-US" w:eastAsia="en-US" w:bidi="ar-SA"/>
              </w:rPr>
            </w:pPr>
            <w:r>
              <w:rPr>
                <w:rFonts w:ascii="arial" w:eastAsia="arial" w:hAnsi="arial" w:cs="arial"/>
                <w:b/>
                <w:color w:val="000000"/>
                <w:sz w:val="20"/>
                <w:lang w:val="en-US" w:eastAsia="en-US" w:bidi="ar-SA"/>
              </w:rPr>
              <w:t>Facts:</w:t>
            </w:r>
            <w:r>
              <w:rPr>
                <w:rFonts w:ascii="arial" w:eastAsia="arial" w:hAnsi="arial" w:cs="arial"/>
                <w:color w:val="000000"/>
                <w:sz w:val="20"/>
                <w:lang w:val="en-US" w:eastAsia="en-US" w:bidi="ar-SA"/>
              </w:rPr>
              <w:t xml:space="preserve"> The plaintiff was a pedestrian struck by a truck owned by the defendants Ridge Sheet Metal Ltd. and driven by the defendant Mr. Rockwell. The plaintiff suffered severe injuries. Mr. Rockwell was highly intoxicated. Earlier that day, at noon, he had gone to a pub owned and operated by the defendant Cambie Malone's Corporation (the "pub"). He subsequently went home and left the house again. The accident occurred at 5 p.m. Mr. Rockwell was convicted of dangerous operation of a motor vehicle causing bodily harm and sentenced to nine months in jail. He had a blood alcohol content of .334, which would require consuming at least 11 bottles of beer and 6.6 ounces of liquor. The automobile insurer denied coverage to Mr. Rockwell. The plaintiff brought an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damages related to his injuries. He applied for summary trial. The Court had to determine the pub's liability.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79" w:name="Holdings of Court_11"/>
            <w:bookmarkEnd w:id="79"/>
            <w:r>
              <w:rPr>
                <w:rFonts w:ascii="arial" w:eastAsia="arial" w:hAnsi="arial" w:cs="arial"/>
                <w:color w:val="000000"/>
                <w:sz w:val="20"/>
                <w:lang w:val="en-US" w:eastAsia="en-US" w:bidi="ar-SA"/>
              </w:rPr>
              <w:t>HELD: The application was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accepted that Mr. Rockwell was "falling-down drunk" at the scene of the accident. The pub did not challenge the findings of the blood content expert. Considering that Mr. Rockwell was severely intoxicated at the accident scene, the Court concluded that the only reasonable inference was that he consumed a significant amount of alcohol at the pub. The Court accepted that the plaintiff and his workmates spent two hours in the pub, until 2:30 p.m. The Court found that the plaintiff had at least five to six drinks at the pub and was significantly intoxicated. The Court found that Mr. Rockwell consumed additional alcohol at his residence. It was not necessary to determine the precise amount of alcohol consumed after the pub. The pub's employees utterly failed in abiding by their own employer's directive that intoxicated persons must not be permitted to drive. The Court rejected the pub's argument that once a patron arrives home safely, this breaks the chain of causation with respect to the pub's liability. The intoxication resulting from the pub existed and was thus part of the cause of the accident and the plaintiff's resulting injuries. Applying the causation principles from case law, this was sufficient to found liability on the part of the pub. While the pub was negligent, there was no proof of deliberate disregard for its obligations. The Court allocated liability as 75 per cent to Mr. Rockwell and 25 per cent to the pub. Mr. Rockwell and the pub were jointly and severally liable to the plaintiff for the accident and resulting injuries.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spacing w:line="260" w:lineRule="atLeast"/>
        <w:jc w:val="both"/>
        <w:rPr>
          <w:rFonts w:ascii="arial" w:eastAsia="arial" w:hAnsi="arial" w:cs="arial"/>
          <w:sz w:val="20"/>
          <w:lang w:val="en-US" w:eastAsia="en-US" w:bidi="ar-SA"/>
        </w:rPr>
      </w:pPr>
      <w:bookmarkStart w:id="80" w:name="Counsel_11"/>
      <w:bookmarkEnd w:id="80"/>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Counsel:</w:t>
      </w:r>
      <w:r>
        <w:rPr>
          <w:rFonts w:ascii="arial" w:eastAsia="arial" w:hAnsi="arial" w:cs="arial"/>
          <w:color w:val="000000"/>
          <w:sz w:val="20"/>
          <w:lang w:val="en-US" w:eastAsia="en-US" w:bidi="ar-SA"/>
        </w:rPr>
        <w:t xml:space="preserve"> Giuseppe Battista, QC, and P.J. Bosco for the plaintiff; E. Craig Watson and K. Brar for the defendant Ridge Sheet Metal Ltd. and third party Insurance Corporation of British Columbia; L. Folick and M. Bellomo for the defendants and further third parties Yehia, The Cambie Malone's Corporation, and The Cambie Malone's Group</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81" w:name="Judgment_11"/>
      <w:bookmarkEnd w:id="81"/>
      <w:r>
        <w:pict>
          <v:line id="_x0000_s1083" style="position:absolute;z-index:25172172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SUITABILITY FOR SUMMARY TRIAL</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POLICE OBSERVATIONS AND INTERACTIONS</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BLOOD-ALCOHOL TESTIMONY</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ROCKWELL'S EVIDENCE</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ROCKWELL CO-WORKER EVIDENCE</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PUB EMPLOYEE EVIDENCE</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ANALYSIS AND FINDINGS RE ALCOHOL CONSUMPTION</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THE LAW OF COMMERCIAL HOST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Commercial Host Liability at Common Law Is arrival at home a complete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ALLOCATION OF FAULT</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SUMMARY AND CONCLUSION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0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82" w:name="N.P. KENT J."/>
            <w:bookmarkEnd w:id="82"/>
            <w:r>
              <w:rPr>
                <w:rFonts w:ascii="arial" w:eastAsia="arial" w:hAnsi="arial" w:cs="arial"/>
                <w:b/>
                <w:color w:val="000000"/>
                <w:sz w:val="30"/>
                <w:lang w:val="en-US" w:eastAsia="en-US" w:bidi="ar-SA"/>
              </w:rPr>
              <w:t>N.P. KENT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parties seek summary trial of a "commercial host" liquor liability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At approximately 5:00 p.m. on February 17, 2012 the plaintiff Widdowson was walking home from work along a sidewalk in Port Moody, British Columbia, when he was hit by a truck owned by the defendant Ridge Sheet Metal Ltd. ("Ridge") and driven by the defendant Bradley Rockwell. Widdowson suffered severe injuries, including brain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Rockwell was highly intoxicated at the time of the accident. He was, quite literally, falling-down drunk. He had been attempting to make a right turn when he lost control of the truck, which then climbed the sidewalk and struck Widdowson.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Earlier that day, after leaving work early, Rockwell and three co-workers had visited the Cambie Bar &amp; Grill in downtown Vancouver for drinks. The pub is owned and operated by the defendant Cambie Malone's Corporation ("Cambie Malone's"). The amount of alcohol served and consumed at the pub is at the heart of this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Rockwell was arrested at the scene of the accident and charged with three criminal offences. He later pled guilty and was convicted of dangerous operation of a motor vehicle causing bodily harm contrary to s. 249(3)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xml:space="preserve">, </w:t>
      </w:r>
      <w:hyperlink r:id="rId384" w:history="1">
        <w:r>
          <w:rPr>
            <w:rFonts w:ascii="arial" w:eastAsia="arial" w:hAnsi="arial" w:cs="arial"/>
            <w:i/>
            <w:color w:val="0077CC"/>
            <w:sz w:val="20"/>
            <w:u w:val="single"/>
            <w:shd w:val="clear" w:color="auto" w:fill="FFFFFF"/>
            <w:lang w:val="en-US" w:eastAsia="en-US" w:bidi="ar-SA"/>
          </w:rPr>
          <w:t>R.S.C. 1985, c. C-46</w:t>
        </w:r>
      </w:hyperlink>
      <w:r>
        <w:rPr>
          <w:rFonts w:ascii="arial" w:eastAsia="arial" w:hAnsi="arial" w:cs="arial"/>
          <w:color w:val="000000"/>
          <w:sz w:val="20"/>
          <w:lang w:val="en-US" w:eastAsia="en-US" w:bidi="ar-SA"/>
        </w:rPr>
        <w:t>. He was sentenced to nine months in jail.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truck was insured by ICBC. While liability coverage under that policy has been affirmed for the employer, Ridge, ICBC has denied coverage to Rockwell and, pursuant to the provisions of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 has made itself a third party in these proceedings so that it might contest any liability on the part of Rockwell to Widdowson.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Rockwell has not defended or participated in the lawsuit. Although Ridge and ICBC have formally denied liability to Widdowson for the accident, such liability is tacitly conceded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No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Widdowson is alleged in this lawsuit; it was alleged in the pleadings but the parties advised the Court during this application that no such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exists. The only liability issue in dispute is thus whether the pub has any legal responsibility for Widdowson's injuries and, if so, how fault for the accident should be allocated as between Rockwell and the pub.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For the reasons that follow, I find Cambie Malone's liable and allocate it 25% of the fault for Widdowson's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Suitability for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During the course of this application I was supplied with affidavits sworn by some 17 witnesses. Five of the affiants, four pub employees and one of Rockwell's co-workers, were cross-examined on their respective affidavits at the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affidavit material included hospital records, police records (including transcripts of witness interviews), a report by a blood-alcohol expert, and examination for discovery transcripts. Rockwell did not attend the summary trial, although duly served with the process, nor did he provide any affidavit evidence. However, he had been examined for discovery during the course of the litigation and some of that discovery evidence was tendered at the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Widdowson, Ridge, ICBC and Cambie Malone's all consented to this matter proceeding as a summary trial and, indeed, urged the Court to proceed in that fashion even though credibility of some witnesses was very much in issue and even though the absence of direct evidence on certain matters would require findings of fact based on inference. Agreements were made by the parties respecting the use of discovery transcripts and the admissibility of other documents so as to facilitate the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It is clear from the submissions of counsel that resolving the issue of Cambie Malone's liability will facilitate settlement of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 am satisfied that, notwithstanding the challenging findings of fact that are required, the issues raised by this summary trial application can be resolved by the summary trial process and will assist the efficient resolution of the proceeding. I therefore accede to the parties' joint request that the matter proceed as a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Police Observations and Interactions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RCMP Cst. Dheri is the individual who arrested Rockwell at the scene of the accident and escorted him to the Coquitlam detachment. He swore an affidavit setting out his observations of Rockwell both at the scene and thereafter. Rockwell exuded a strong odour of alcohol. His speech was slurred, rambling and profane. He was unable to maintain his balance without assistance or by leaning against walls. At one point, he almost fell over. When advised about his right to counsel, Rockwell stated he wanted to speak with Ozzie Osbourne and started to play air guitar with his hands.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Cst. Dheri is very clear in his recollections: Rockwell "was drunk when arrested" and "clearly intoxicated" throughout their interactions.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Cst. Dheri also observed Rockwell's passenger, Kevin Sahanovitch, at the scene of the accident. He too was "clearly intoxicated", belligerent and causing a disturbance.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Cst. Dheri asked Rockwell how many drinks he had consumed. According to the constable," Rockwell advised that he had two beers and three Fireball whiskey drinks while at the Cambie Hotel". Rockwell did not state that he had anything to drink at any other location.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evidence of Cst. Dheri, and indeed of all the police officers who swore affidavits for the summary trial, was not challenged in any way by Cambie Malone's. I accept the police affidavit evidence in its entirety and I have no hesitation in finding as a fact that at the time of the accident Rockwell was indeed "falling-down drunk".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Blood-Alcohol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At approximately 8:00 p.m. on the day of the accident, Rockwell fell from his bed in the jail cell and sustained a laceration over his right eye. He was taken by ambulance to Eagle Ridge Hospital in Port Moody, British Columbia. He was accompanied by a police officer throughout, including on the return trip to the Coquitlam RCMP jail cells. He was observed to be intoxicated and belligerent throughout.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Following his release from jail at approximately 3:30 a.m. on February 18, 2012 Rockwell again attended Eagle Ridge Hospital. Intake notes made at 6:13 a.m. record complaints of chest pain and headaches. The "initial assessment record" notes admission time as 6:45 a.m. and notes patient complaints of "nausea", "vomiting 100 times today", and "pain to left chest and ribs". Blood chemistry testing at the hospital at 7:28 a.m. measured 28.3 mmol/L of alcohol in serum.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Also put into evidence was an expert report by Ms. Carolyn Kirkwood dated February 26, 2014. She is a forensic chemist with experience in toxicology, serology, and alcohol analysis. Ms. Kirkwood frequently appears as an expert witness in the Courts of British Columbia and has previously been qualified to provide opinion evidence on the interpretation of blood-alcohol testing results, the various stages of alcoholic influence, and the clinical signs or symptomology of intoxication.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No objection was taken by Cambie Malone's to either Ms. Kirkwood's qualifications or any aspect of her report, including the statements of fact upon which the report relied, the calculations with respect to alcohol, and the intoxication opinions expressed.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Ms. Kirkwood expresses the following opinions and conclusions, all of which I accept without hesitation:</w:t>
      </w:r>
      <w:r>
        <w:rPr>
          <w:rFonts w:ascii="arial" w:eastAsia="arial" w:hAnsi="arial" w:cs="arial"/>
          <w:sz w:val="20"/>
          <w:lang w:val="en-US" w:eastAsia="en-US" w:bidi="ar-SA"/>
        </w:rPr>
        <w:cr/>
      </w:r>
    </w:p>
    <w:p>
      <w:pPr>
        <w:numPr>
          <w:numId w:val="10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takes approximately 30 minutes for a drink of alcohol to be completely absorbed and the peak Blood Alcohol Concentration ("BAC") to be reached. Such factors as the amount and type of food in the stomach, concentration of the beverage, rate of consumption of the beverage, drugs, diseases and emotional states may slow the absorption of the alcohol from the stomach and small intestine;</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alcohol is eliminated from the human body at a relatively constant rate of 15mg of alcohol in 100ml of blood (15mg%) per hour. As soon as alcohol is consumed, the body begins to break down the alcohol and eliminate it from the body;</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hospital reading of 28.3 mmol/L of alcohol in serum translates into a serum alcohol concentration of 130mg of alcohol in 100ml of serum. Serum alcohol concentrations are approximately 10% higher than a whole blood analysis, meaning that the results from the sample taken at 7:28am on February 18, 2012 which indicated 130mg of alcohol in 100ml of serum is equivalent to117mg of alcohol in 100ml of blood, or a BAC of .117;</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Rockwell's BAC at 5:00pm on February 17, 2012 would have been approximately .334 (334mg of alcohol in 100ml of blood) or 217mg higher than the reading at 7:28am on February 18, 2012. This approximation is calculated by adjusting the February 18, 2012 reading of .117 BAC for Rockwell's body weight (161 pounds), the absence of any alcohol consumption between the time of arrest and the blood testing, and by applying the absorption/elimination factor referred to above;</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BAC of .334 is more than four times the legal limit for operating a motor vehicle and a person with such a reading would be severely impaired, exhibiting slurred speech, loss of fine motor control, loss of balance, loss of coordination and loss of judgment;</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 BAC of .33 virtually all the general population would exhibit gross symptoms of impairment; and</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worst judge of an individual's state of impairment is another individual who has also been consuming alcohol.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Ms. Kirkwood produced a table demonstrating the minimum amount of certain types of alcohol that a 161-pound male would need to consume during the period of noon to 4:30 p.m. in order to produce a BAC of .334 (334mg of alcohol in 100ml of blood) at 5 p.m., </w:t>
      </w:r>
      <w:r>
        <w:rPr>
          <w:rFonts w:ascii="arial" w:eastAsia="arial" w:hAnsi="arial" w:cs="arial"/>
          <w:i/>
          <w:color w:val="000000"/>
          <w:sz w:val="20"/>
          <w:lang w:val="en-US" w:eastAsia="en-US" w:bidi="ar-SA"/>
        </w:rPr>
        <w:t>i.e</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26.6 ounces of liquor (33%/volume alcohol);</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21.9 x 8-ounce glasses of draft beer (5%/volume alcohol);</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11 x 16-ounce pints of draft beer (5%/volume alcohol);</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15.4 x 12-ounce bottles of bottled beer (5%/volume alcohol); or</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61.5 ounces of wine (14%/volume alcohol).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She points out that these are conservative estimates and that an individual may actually need as much as 1.5 to 2 times the calculated amount of alcohol to achieve the stated BAC.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For example, a 160-pound male who began drinking at noon, had a BAC of .334 at 5:00 p.m. and who consumed a combination of 12-ounce bottles of beer as well as drinks of liquor containing 33%/volume alcohol would have had to consume:</w:t>
      </w:r>
      <w:r>
        <w:rPr>
          <w:rFonts w:ascii="arial" w:eastAsia="arial" w:hAnsi="arial" w:cs="arial"/>
          <w:sz w:val="20"/>
          <w:lang w:val="en-US" w:eastAsia="en-US" w:bidi="ar-SA"/>
        </w:rPr>
        <w:cr/>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7.5 bottles of beer and 13.2 ounces of liquor, or</w:t>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11 bottles of beer and 6.6 ounces of liquor.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Clearly, by 5:00 p.m. on February 17, 2012, Rockwell had consumed a very substantial amount of alcohol. The real questions in issue in this case are when and where?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Rockwell's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As indicated earlier, Rockwell has not actively defended this lawsuit and has tendered no affidavit evidence in the summary trial. He was, however, examined for discovery by all of the parties, each of whom has sought to tender excerpts from that examination in the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Rule 9-7(5)(c) permits evidence taken on an examination for discovery to be tendered at a summary trial. Such evidence is, however, subject to Rule 9-7(6) which, in turn, makes the evidence subject to trial procedures in Rules 12-5(46) and (49) among others. These rules say that:</w:t>
      </w:r>
      <w:r>
        <w:rPr>
          <w:rFonts w:ascii="arial" w:eastAsia="arial" w:hAnsi="arial" w:cs="arial"/>
          <w:sz w:val="20"/>
          <w:lang w:val="en-US" w:eastAsia="en-US" w:bidi="ar-SA"/>
        </w:rPr>
        <w:cr/>
      </w:r>
    </w:p>
    <w:p>
      <w:pPr>
        <w:numPr>
          <w:numId w:val="1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any such discovery evidence is admissible only against the adverse party who was examined (</w:t>
      </w:r>
      <w:r>
        <w:rPr>
          <w:rFonts w:ascii="arial" w:eastAsia="arial" w:hAnsi="arial" w:cs="arial"/>
          <w:i/>
          <w:color w:val="000000"/>
          <w:sz w:val="20"/>
          <w:lang w:val="en-US" w:eastAsia="en-US" w:bidi="ar-SA"/>
        </w:rPr>
        <w:t>i.e.</w:t>
      </w:r>
      <w:r>
        <w:rPr>
          <w:rFonts w:ascii="arial" w:eastAsia="arial" w:hAnsi="arial" w:cs="arial"/>
          <w:color w:val="000000"/>
          <w:sz w:val="20"/>
          <w:lang w:val="en-US" w:eastAsia="en-US" w:bidi="ar-SA"/>
        </w:rPr>
        <w:t>, Rockwell) (Rule 12-5(46));</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can review the entirety of the examination and enter into evidence any other part of the examination that is closely connected with the part tendered by one or more of the parties (Rule 12-5(49)).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The parties were questioned by the Court about the limitations and implications of Rule 12-5(46). The Court was advised that the discovery evidence was to be considered admissible against all of the parties for the purposes of this summary trial, </w:t>
      </w:r>
      <w:r>
        <w:rPr>
          <w:rFonts w:ascii="arial" w:eastAsia="arial" w:hAnsi="arial" w:cs="arial"/>
          <w:i/>
          <w:color w:val="000000"/>
          <w:sz w:val="20"/>
          <w:lang w:val="en-US" w:eastAsia="en-US" w:bidi="ar-SA"/>
        </w:rPr>
        <w:t>i.e.</w:t>
      </w:r>
      <w:r>
        <w:rPr>
          <w:rFonts w:ascii="arial" w:eastAsia="arial" w:hAnsi="arial" w:cs="arial"/>
          <w:color w:val="000000"/>
          <w:sz w:val="20"/>
          <w:lang w:val="en-US" w:eastAsia="en-US" w:bidi="ar-SA"/>
        </w:rPr>
        <w:t>, not just against Rockwell alone.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relevant parts of Rockwell's discovery testimony include:</w:t>
      </w:r>
      <w:r>
        <w:rPr>
          <w:rFonts w:ascii="arial" w:eastAsia="arial" w:hAnsi="arial" w:cs="arial"/>
          <w:sz w:val="20"/>
          <w:lang w:val="en-US" w:eastAsia="en-US" w:bidi="ar-SA"/>
        </w:rPr>
        <w:cr/>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was 51 years old and weighed approximately 155 pounds at the time of the accident;</w:t>
      </w:r>
    </w:p>
    <w:p>
      <w:pPr>
        <w:numPr>
          <w:numId w:val="1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has a grade 11 education, works as a journeyman sheet metal worker, and was employed by Ridge for 16 years;</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was a foreman for Ridge and performed such work as the installation of industrial, commercial and residential air ducts, and heating and cooling systems;</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was supplied with and drove a company truck which he took home at the end of each day;</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period before the accident the company had been short-staffed and for at least five weeks he had been working double shifts, putting in between 60 to 70 hours of work a week;</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time of the accident he was working on two jobs for Ridge, one at what is now called the "Point Pub" on Abbott Street in Gastown, as well as additional work at night at the Bentall buildings;</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arrived home from work the night before the accident at approximately 1:30 a.m. and only had about 3 1/2 hours sleep before getting up again. He had to be at the Abbott Street location for 6:30 a.m. He drove directly from his home in Port Moody to the Abbott Street location making one stop on the way for coffee. He had nothing to eat for breakfast. He had another coffee and a muffin at approximately 10:00 a.m.;</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and Sahanovitch were the only Ridge employees working at the Abbott Street location as they were finishing up the project. It was Sahanovitch's last day with Ridge as he was going to "sheet-metal school" starting the following week. The two other Ridge employees who were drinking with them at the pub were Messrs. MacKinnon and Sauve, although they were working elsewhere on that day;</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Sahanovitch had reached out to MacKinnon and arranged to meet at the pub for some good-bye drinks;</w:t>
      </w:r>
    </w:p>
    <w:p>
      <w:pPr>
        <w:numPr>
          <w:numId w:val="2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Sahanovitch asked if they could leave work early. Rockwell agreed as the work on the job was essentially finished "and I was pretty tired";</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Rockwell and Sahanovitch arrived at the pub shortly before noon. Rockwell greeted the others and then left to go to a nearby bank to get some cash, returning a few minutes later;</w:t>
      </w:r>
    </w:p>
    <w:p>
      <w:pPr>
        <w:numPr>
          <w:numId w:val="2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Rockwell picked up Sahanovitch at the pub at approximately 3:00 p.m. in order to drive home. He had left some 20 to 30 minutes earlier in order to load up the truck which was parked outside the Abbott Street location a couple of blocks away;</w:t>
      </w:r>
    </w:p>
    <w:p>
      <w:pPr>
        <w:numPr>
          <w:numId w:val="2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2 to 2 1/2 hours that Rockwell was at the pub, he consumed only 2 1/2 bottles of Budweiser beer. Sahanovitch, however, was "drinking hard" and "getting really intoxicated" such that Rockwell thought he "was in no shape to take public transit at the time", which was why Rockwell had offered to drive him out to Port Moody so Sahanovitch's mother could pick him up at Rockwell's house;</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Sahanovitch was "slurring and staggering and pretty drunk". MacKinnon was also drinking a lot and was "pretty lit up" and "feeling no pain";</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Rockwell does not recall being served by a waitress. He recalls members of the group going up to the bar to buy rounds of drinks;</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others had already purchased a round by the time Rockwell returned to the pub from the bank. Rockwell went to the bar himself twice, each time to buy "beers and two vodka things", the latter for Sahanovitch. On the second occasion he also bought the other three "some kind of cinnamon drink", a Fireball cinnamon whiskey shot;</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told [Rockwell] ordered six Budweiser and four of those [vodka] drinks and three fireballs". He thinks the vodkas were doubles because they were so expensive but he "cannot say that positively";</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apart from the drinks purchased by Rockwell, MacKinnon also went up to the bar to buy "vodka drinks" for Sahanovitch and "more beer" for himself and Sauve. The last beer that Rockwell partially consumed before leaving the pub was purchased by Sauve;</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Rockwell stated, "I was drinking my beer slow. Like I said, I don't drink much, so I wasn't slamming like those guys";</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leaving the pub at approximately 3:00 p.m., Rockwell and Sahanovitch drove down Hastings Street stopping at a 7-Eleven store so Rockwell could purchase a coffee;</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further down Hastings Street, heading east towards the Barnett Highway, Sahanovitch requested Rockwell to stop at a beer and wine store whereupon Sahanovitch bought a six-pack of beer and a "mickey of whiskey";</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Sahanovitch drank some of the whiskey before getting back into the truck and also drank "some beers" during the drive out to Port Moody;</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Rockwell "didn't think" he was feeling any effects of the alcohol, although he was "feeling extremely tired";</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Rockwell's house in Port Moody Sahanovitch called his mother and learned that she was unable to pick him up, rather he would have to meet her at Coquitlam Centre, a mall in Coquitlam, British Columbia, "That's why [Rockwell] had to drive after that";</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Rockwell and Sahanovitch were at the former's house for approximately 15 to 20 minutes. Sahanovitch wanted to have a drink with Rockwell before they left. Because Rockwell "didn't want another beer" nor "that whiskey", and because Sahanovitch was urging him on, they split the remains of some flavoured vodka which Rockwell said was the only liquor he had in the house;</w:t>
      </w:r>
    </w:p>
    <w:p>
      <w:pPr>
        <w:numPr>
          <w:numId w:val="4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they each had one shot of vodka using "a little shot glass" which could not have contained "more than an ounce and a quarter, ounce and a half may be". All of the vodka remains were gone after the two shots;</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Rockwell and Sahanovitch got into the truck with the former driving. At a blind turn on Guildford Way he "gunned" the truck to get ahead of an approaching vehicle causing his truck to "fishtail" in the pouring rain whereupon he lost control and the truck mounted the sidewalk, striking Widdowson; and</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Rockwell has no memory of the accident nor, indeed, of anything else until his attendance at Eagle Ridge Hospital the following morning.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Rockwell Co-worker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Cambie Malone's tendered two affidavits from Sauve and MacKinnon respectively. Both were served with a subpoena to attend the summary trial hearing for cross-examination on their affidavits. Sauve attended and was cross-examined. MacKinnon did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parties agree that the failure of MacKinnon to attend for cross-examination does not necessarily mean his affidavit must be struck and his evidence completely disregarded. However, counsel agree that the effect of the case law in this area is that MacKinnon's testimony should be accorded little weight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their affidavits, both MacKinnon and Sauve place the time of their arrival at the pub at approximately 1:00 p.m. Both place their departure from the pub about an hour thereafter. Neither described the amount of alcohol consumed by anyone other than Rockwell.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his affidavit Sauve says he recalls Rockwell consuming one or two bottles of beer at the pub. MacKinnon says only that Rockwell "was not drinking heavily". Both affiants say Rockwell did not exhibit any signs of intoxication.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On cross-examination Sauve stated that he was not paying attention to how much the others were drinking and that he has little recollection of what actually happened. He cannot remember who bought what alcohol or who paid.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Notwithstanding this failure of recollection, however, Sauve did acknowledge under cross-examination that Sahanovitch was obviously drunk, that he was red in the face, slurring his words and becoming louder.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transcript of MacKinnon's police interview is included in the police file put into evidence. Among other things, MacKinnon told the police:</w:t>
      </w:r>
      <w:r>
        <w:rPr>
          <w:rFonts w:ascii="arial" w:eastAsia="arial" w:hAnsi="arial" w:cs="arial"/>
          <w:sz w:val="20"/>
          <w:lang w:val="en-US" w:eastAsia="en-US" w:bidi="ar-SA"/>
        </w:rPr>
        <w:cr/>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and Sauve around arrived approximately arrived at the pub approximately 1:00 p.m. and left after half an hour or 45 minutes, possibly as late as 2:00 p.m.;</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Rockwell and Sahanovitch were already at the pub when MacKinnon and Sauve arrived but Sahanovitch was "drinking heavy", including double vodkas and cranberry, and looking "like he's going to get hammered tonight ... He was slamming those vodkas pretty hard";</w:t>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MacKinnon believed he had a Moosehead beer and he believes Rockwell also only had one bottle of beer; and</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MacKinnon was "not a hard liquor kind of guy" and answered "no" when asked, "Did you guys do shooters?"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Sahanovitch cannot be located by any of the parties and has not provided any affidavit evidence. He too was interviewed by the police and a transcript of that interview, which was held at 1:00 a.m. on February 18, 2012, is in the police file. His memory of events was extremely poor and he was unable to remember how or why he came to be in jail.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Among other things, Sahanovitch stated during his interview:</w:t>
      </w:r>
      <w:r>
        <w:rPr>
          <w:rFonts w:ascii="arial" w:eastAsia="arial" w:hAnsi="arial" w:cs="arial"/>
          <w:sz w:val="20"/>
          <w:lang w:val="en-US" w:eastAsia="en-US" w:bidi="ar-SA"/>
        </w:rPr>
        <w:cr/>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initially thought they had stopped work at the normal time of 3:00 p.m. that day but then remembered that they actually left work about noon;</w:t>
      </w:r>
    </w:p>
    <w:p>
      <w:pPr>
        <w:numPr>
          <w:numId w:val="4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at the pub, Sahanovitch had "five beer and then I had about seven or eight double vodka and cranberry because they were on special";</w:t>
      </w:r>
    </w:p>
    <w:p>
      <w:pPr>
        <w:numPr>
          <w:numId w:val="5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thinks they may have been in the pub for four to six hours;</w:t>
      </w:r>
    </w:p>
    <w:p>
      <w:pPr>
        <w:numPr>
          <w:numId w:val="5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thinks Rockwell only drank one or two beer;</w:t>
      </w:r>
    </w:p>
    <w:p>
      <w:pPr>
        <w:numPr>
          <w:numId w:val="5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and Rockwell drove out to Rockwell's house in the latter's truck;</w:t>
      </w:r>
    </w:p>
    <w:p>
      <w:pPr>
        <w:numPr>
          <w:numId w:val="5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way home they stopped so Sahanovitch could buy a "mickey of Fireball, and a six or eight-pack of beer";</w:t>
      </w:r>
    </w:p>
    <w:p>
      <w:pPr>
        <w:numPr>
          <w:numId w:val="5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did not think they had actually stopped at Rockwell's house before the accident; and</w:t>
      </w:r>
    </w:p>
    <w:p>
      <w:pPr>
        <w:numPr>
          <w:numId w:val="5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initially denied any recollection of an accident but then vaguely recalled one, although not the details, "It's a blur from there. And then I remember getting handcuffed and then waking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Pub Employee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evidence from the pub employees has little value. None of the manager, the two barmen or the waitress on duty that day have any recollection of the Rockwell group.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All three serving staff swore affidavits containing identical paragraphs on important substantive issues. For example, the three affidavits sworn by them contain the following identical paragraphs:</w:t>
      </w:r>
      <w:r>
        <w:rPr>
          <w:rFonts w:ascii="arial" w:eastAsia="arial" w:hAnsi="arial" w:cs="arial"/>
          <w:sz w:val="20"/>
          <w:lang w:val="en-US" w:eastAsia="en-US" w:bidi="ar-SA"/>
        </w:rPr>
        <w:cr/>
      </w:r>
    </w:p>
    <w:p>
      <w:pPr>
        <w:numPr>
          <w:numId w:val="5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"Moreover, upon being hired by the Cambie, I reviewed, and agreed to abide by the Cambie's written policies and procedures for serving alcohol (the "Policies and Procedures"). In particular, the Cambie's written Policies and Procedures require all serving staff, including myself, to take care that patrons do not become intoxicated at the establishment. The Cambie's Policies and Procedures further require all serving staff to immediately stop serving an intoxicated patron and take steps to ensure that an intoxicated patron is provided with a safe means of transportation home ..."</w:t>
      </w:r>
    </w:p>
    <w:p>
      <w:pPr>
        <w:numPr>
          <w:numId w:val="5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 would never serve a patron who was slurring her words, staggering, unable to count their money or exhibiting any other signs of intoxication."</w:t>
      </w:r>
    </w:p>
    <w:p>
      <w:pPr>
        <w:numPr>
          <w:numId w:val="5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 did not observe any patrons exhibiting signs of intoxication on February 17, 2012 or serve alcohol to any patrons at the Cambie who were exhibiting signs of intoxication during my shift on February 17, 2012. Had I observed patrons exhibiting signs of intoxication, I would not have served them further alcohol, and I would have taken steps to ensure that the intoxicated patron had a safe ride home, by calling a cab if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These paragraphs deserve little if any weight. They were drafted by a lawyer and purportedly adopted by the witnesses. They clearly do not represent the witnesses' own words. The content is "lawyer speak" not "ordinary person speak". And having observed these various witnesses being cross-examined, it is clear that if asked proper questions on direct examination, none of them would have given this evidence in the same words or syntax found in these paragraphs. These paragraphs are in effect testimony manufactured by counsel, and the use of such identical language in multiple affidavits from different witnesses is simply not an acceptable method of adducing evidence (let alone credible evidence) on a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Furthermore, the cross-examination of the employees revealed that some of the assertions in the affidavits are not true or, at least, did not represent the actual conduct of the employees on the day in question. For example, the waitress Kennedy stated that if she saw a person drunk in the bar she would "give them water and wait for them to leave on their own". The bartender Wyse stated that if four people in the space of two hours consumed eight beer, four double vodkas, and six shooters, this is something that would </w:t>
      </w:r>
      <w:r>
        <w:rPr>
          <w:rFonts w:ascii="arial" w:eastAsia="arial" w:hAnsi="arial" w:cs="arial"/>
          <w:color w:val="000000"/>
          <w:sz w:val="20"/>
          <w:u w:val="single"/>
          <w:lang w:val="en-US" w:eastAsia="en-US" w:bidi="ar-SA"/>
        </w:rPr>
        <w:t>not</w:t>
      </w:r>
      <w:r>
        <w:rPr>
          <w:rFonts w:ascii="arial" w:eastAsia="arial" w:hAnsi="arial" w:cs="arial"/>
          <w:color w:val="000000"/>
          <w:sz w:val="20"/>
          <w:lang w:val="en-US" w:eastAsia="en-US" w:bidi="ar-SA"/>
        </w:rPr>
        <w:t xml:space="preserve"> attract his attention. He also stated what I consider to very likely be the reality of day-to-day practice in this establishment, namely, that intervention depends on how the patrons are behaving and would not likely occur if they do not act like they are drunk.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It should be noted that the pub had a surveillance camera system in place in February 2012 which recorded activities within the bar including the conduct of patrons. The police attended at the pub shortly following the accident to secure a copy of the camera footage on the day in question, however neither the bar manager nor the server knew how to download the video without corrupting it in the process. Hence, the video was not available to the police investigators nor, indeed, to the Court, although this result was simply accidental and not intentional.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 and Findings re Alcohol Consumption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There is little reliable about the Sahanovitch statement to the police and it is not admissible on this summary trial for the truth of its contents. I give it no weight.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Sauve has no meaningful recollection of what happened at the pub on the day in question, or how much his co-workers had to drink. His evidence on these critical matters is not reliable enough to attract any significant weight.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 also give MacKinnon's affidavit evidence little weight. His failure to address the totality of the drinking (</w:t>
      </w:r>
      <w:r>
        <w:rPr>
          <w:rFonts w:ascii="arial" w:eastAsia="arial" w:hAnsi="arial" w:cs="arial"/>
          <w:i/>
          <w:color w:val="000000"/>
          <w:sz w:val="20"/>
          <w:lang w:val="en-US" w:eastAsia="en-US" w:bidi="ar-SA"/>
        </w:rPr>
        <w:t>i.e.</w:t>
      </w:r>
      <w:r>
        <w:rPr>
          <w:rFonts w:ascii="arial" w:eastAsia="arial" w:hAnsi="arial" w:cs="arial"/>
          <w:color w:val="000000"/>
          <w:sz w:val="20"/>
          <w:lang w:val="en-US" w:eastAsia="en-US" w:bidi="ar-SA"/>
        </w:rPr>
        <w:t>, how much all parties) consumed is a significant omission. As will be seen, I prefer and give more weight to, the more complete evidence of Rockwell on most of these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It is unfortunate that I was unable to hear and observe Rockwell testify in person. It would have assisted me in assessing his credibility (truthfulness/honesty) and the reliability (accuracy) of his evidence. I did, however, carefully review all of the transcripts of his examination for discovery in the application record so as to assess his evidence as a whole, a step I considered both fair and necessary in light of the parties' insistence that the determination of the pub's liability proceed by way of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It should also be noted that in determining facts (</w:t>
      </w:r>
      <w:r>
        <w:rPr>
          <w:rFonts w:ascii="arial" w:eastAsia="arial" w:hAnsi="arial" w:cs="arial"/>
          <w:i/>
          <w:color w:val="000000"/>
          <w:sz w:val="20"/>
          <w:lang w:val="en-US" w:eastAsia="en-US" w:bidi="ar-SA"/>
        </w:rPr>
        <w:t>i.e.</w:t>
      </w:r>
      <w:r>
        <w:rPr>
          <w:rFonts w:ascii="arial" w:eastAsia="arial" w:hAnsi="arial" w:cs="arial"/>
          <w:color w:val="000000"/>
          <w:sz w:val="20"/>
          <w:lang w:val="en-US" w:eastAsia="en-US" w:bidi="ar-SA"/>
        </w:rPr>
        <w:t>, making findings on the balance of probabilities as to what actually occurred in any given case) the court is free to reject some aspects of a witness's evidence and accept others and, indeed, to assign different weight to different parts of a witness's evidence. While I am prepared to accept some aspects of Rockwell's evidence at discovery, I assign less weight to others, particularly his evidence respecting the extent of his own alcohol consumption.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proverbial elephant in the room is Rockwell's BAC. The pub did not challenge the accuracy of the blood chemistry testing undertaken at Eagle Ridge Hospital at 7:28 a.m. on February 18, 2012. Nor did it in any way challenge the calculations and conclusions made by the blood-alcohol expert, Ms. Kirkwood. I have accepted this evidence and I find as a fact that Rockwell's BAC was .334 (334mg of alcohol in 100ml of blood) at 5:00 p.m. on February 17,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It is apparent from the BAC, as well as the observations of the police officers at the scene of the accident, that Rockwell was severely intoxicated by alcohol when this accident happened. What, then, can be reasonably inferred from this evidence as to when and where Rockwell consumed the alcohol necessary to achieve this level of intoxication? In my view, the only reasonable inference is that Rockwell consumed a significant amount of alcohol at the pub.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R. v. Villaroman</w:t>
      </w:r>
      <w:r>
        <w:rPr>
          <w:rFonts w:ascii="arial" w:eastAsia="arial" w:hAnsi="arial" w:cs="arial"/>
          <w:color w:val="000000"/>
          <w:sz w:val="20"/>
          <w:lang w:val="en-US" w:eastAsia="en-US" w:bidi="ar-SA"/>
        </w:rPr>
        <w:t xml:space="preserve">, </w:t>
      </w:r>
      <w:hyperlink r:id="rId385" w:history="1">
        <w:r>
          <w:rPr>
            <w:rFonts w:ascii="arial" w:eastAsia="arial" w:hAnsi="arial" w:cs="arial"/>
            <w:i/>
            <w:color w:val="0077CC"/>
            <w:sz w:val="20"/>
            <w:u w:val="single"/>
            <w:shd w:val="clear" w:color="auto" w:fill="FFFFFF"/>
            <w:lang w:val="en-US" w:eastAsia="en-US" w:bidi="ar-SA"/>
          </w:rPr>
          <w:t>2016 SCC 33</w:t>
        </w:r>
      </w:hyperlink>
      <w:r>
        <w:rPr>
          <w:rFonts w:ascii="arial" w:eastAsia="arial" w:hAnsi="arial" w:cs="arial"/>
          <w:color w:val="000000"/>
          <w:sz w:val="20"/>
          <w:lang w:val="en-US" w:eastAsia="en-US" w:bidi="ar-SA"/>
        </w:rPr>
        <w:t>, is the Supreme Court of Canada's latest statement on the law respecting the "range of reasonable inferences that can be drawn" from circumstantial evidence. Any such inferences must be "considered in light of all the evidence and the absence of evidence, assessed logically, and in light of human experience and common sense". The party having the burden of proof, here the plaintiff and Ridge/ICBC, may have to negative other reasonable possibilities based on the evidence but they do not have to negative "every possible conjecture no matter how irrational or fanciful".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 accept Rockwell's testimony and find as a fact that he and his co-workers spent about two hours in the pub from approximately 12:30 to 2:30 p.m., and that he left the pub to load up his truck at the worksite and returned to pick up Sahanovitch at or shortly before 3:00 p.m. I also find as a fact that it took Rockwell and Sahanovitch between 50 minutes and an hour to negotiate the Friday afternoon traffic from downtown Vancouver to Rockwell's residence in Port Moody, and that enroute Sahanovitch stopped into a beer and wine store to purchase a mickey of Fireball cinnamon whiskey and a six-pack of Budweiser beer.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 find as a fact that Rockwell and Sahanovitch spent approximately 30 minutes in Rockwell's residence in Port Moody, where they learned that Sahanovitch's mother was unable to pick him up. This development was the reason they were in Rockwell's truck heading towards the Coquitlam Centre mall when the accident happened.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Insofar as consumption of alcohol is concerned, I find as a fact that Sahanovitch was drinking aggressively at the pub and consumed a large number of beer, vodka drinks, and fireball shooters before departing the premises with Rockwell. It is not necessary to identify the exact number of drinks that Sahanovitch consumed at the pub but suffice it to say I find as a fact that by the time he left he had become substantially and visibly intoxicated, slurring his speech and talking loudly.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Insofar as Rockwell's consumption is concerned, I do not accept his evidence that he only consumed 2 1/2 beers at the pub. Rather, I find as a fact that each of the co-workers bought at least one round of drinks for the other members of the group (and possibly more) and that Rockwell himself bought at least two rounds that included beer (for himself and Sauve), vodka (for Sahanovitch) and Fireball whiskey shooters (for all). I find as a fact that by the time he left the pub to retrieve his truck, Rockwell had consumed at least five to six drinks, a combination of beer and liquor, and that he was significantly intoxicated by alcohol. I also have no doubt, and I find as a fact, that the influence of alcohol on Rockwell was exacerbated by both a lack of food in the preceding 12 to 15 hours (and probably longer), and a high level of fatigue caused by extremely long work hours and inadequate sleep over an extended period of time. His ability to drive safely was significantly impaired when he left the pub.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 recognize another possible theory of Rockwell's intoxication is that he drank only two to three beers at the pub and in the two-hour period thereafter, he consumed substantial quantities of beer and/or liquor, whether at home or elsewhere, before the accident occurred. While it certainly appears that Sahanovitch was an aggressive and irresponsible drinker of a sort who might engage in such behaviour, there is no evidence to support such a characterization of Rockwell. When one subtracts the amount of time that it would have taken for Rockwell to drive home, this theory would require him to have consumed an enormous amount of alcohol in less than an hour, a proposition which is not consistent with his previous conduct and which, assessed from the perspective of robust logic and common sense, amounts to nothing more than wishful thinking and unfounded speculation on the part of Cambie Malone's.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 am also satisfied however, and find as a fact, that Rockwell did indeed consume further alcohol after he departed the pub. On the balance of probabilities, I find that this occurred at his residence and included consumption of vodka or other liquor in quantities more than Rockwell claims in his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It is not necessary to ascribe a precise figure to the amount of alcohol that Rockwell consumed after he left the pub. It is sufficient to find that he was significantly intoxicated when he left the pub and that he became even more severely intoxicated through the consumption of additional alcohol before the accident happened.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Law of Commercial Host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In Ontario, s. 39 of that province's </w:t>
      </w:r>
      <w:r>
        <w:rPr>
          <w:rFonts w:ascii="arial" w:eastAsia="arial" w:hAnsi="arial" w:cs="arial"/>
          <w:i/>
          <w:color w:val="000000"/>
          <w:sz w:val="20"/>
          <w:lang w:val="en-US" w:eastAsia="en-US" w:bidi="ar-SA"/>
        </w:rPr>
        <w:t>Liquor Licence Act</w:t>
      </w:r>
      <w:r>
        <w:rPr>
          <w:rFonts w:ascii="arial" w:eastAsia="arial" w:hAnsi="arial" w:cs="arial"/>
          <w:color w:val="000000"/>
          <w:sz w:val="20"/>
          <w:lang w:val="en-US" w:eastAsia="en-US" w:bidi="ar-SA"/>
        </w:rPr>
        <w:t xml:space="preserve">, </w:t>
      </w:r>
      <w:hyperlink r:id="rId386" w:history="1">
        <w:r>
          <w:rPr>
            <w:rFonts w:ascii="arial" w:eastAsia="arial" w:hAnsi="arial" w:cs="arial"/>
            <w:i/>
            <w:color w:val="0077CC"/>
            <w:sz w:val="20"/>
            <w:u w:val="single"/>
            <w:shd w:val="clear" w:color="auto" w:fill="FFFFFF"/>
            <w:lang w:val="en-US" w:eastAsia="en-US" w:bidi="ar-SA"/>
          </w:rPr>
          <w:t>R.S.O. 1990, c. L. 19</w:t>
        </w:r>
      </w:hyperlink>
      <w:r>
        <w:rPr>
          <w:rFonts w:ascii="arial" w:eastAsia="arial" w:hAnsi="arial" w:cs="arial"/>
          <w:color w:val="000000"/>
          <w:sz w:val="20"/>
          <w:lang w:val="en-US" w:eastAsia="en-US" w:bidi="ar-SA"/>
        </w:rPr>
        <w:t xml:space="preserve"> imposes civil liability on commercial hosts to:</w:t>
      </w:r>
      <w:r>
        <w:rPr>
          <w:rFonts w:ascii="arial" w:eastAsia="arial" w:hAnsi="arial" w:cs="arial"/>
          <w:sz w:val="20"/>
          <w:lang w:val="en-US" w:eastAsia="en-US" w:bidi="ar-SA"/>
        </w:rPr>
        <w:cr/>
      </w:r>
    </w:p>
    <w:p>
      <w:pPr>
        <w:numPr>
          <w:numId w:val="5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who suffers injury or property damage that is caused by a "person to or for whom the liquor is sold";</w:t>
      </w:r>
    </w:p>
    <w:p>
      <w:pPr>
        <w:numPr>
          <w:numId w:val="6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when the liquor was sold to or for that person, that person's "condition is such that the consumption of liquor would apparently intoxicate the person or increase the person's intoxication so that he or she would be in danger of causing injury to himself or herself of injury or damage to another person or the property of another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There is no statutory equivalent in British Columbia, so the question of commercial host liability in this province is to be determined by principles of common law. Such liability is simply a variant of the tort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Liability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requires a plaintiff to prove on the balance of probabilities the following constituent elements of the tort:</w:t>
      </w:r>
      <w:r>
        <w:rPr>
          <w:rFonts w:ascii="arial" w:eastAsia="arial" w:hAnsi="arial" w:cs="arial"/>
          <w:sz w:val="20"/>
          <w:lang w:val="en-US" w:eastAsia="en-US" w:bidi="ar-SA"/>
        </w:rPr>
        <w:cr/>
      </w:r>
    </w:p>
    <w:p>
      <w:pPr>
        <w:numPr>
          <w:numId w:val="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owed the plaintiff a duty of care (to avoid acts or omissions which might be reasonably foreseeable to cause injury to the latter);</w:t>
      </w:r>
    </w:p>
    <w:p>
      <w:pPr>
        <w:numPr>
          <w:numId w:val="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acts or omissions breached the standard of care applicable to that duty;</w:t>
      </w:r>
    </w:p>
    <w:p>
      <w:pPr>
        <w:numPr>
          <w:numId w:val="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suffered damage of the sort that is recognized and compensable in law; and</w:t>
      </w:r>
    </w:p>
    <w:p>
      <w:pPr>
        <w:numPr>
          <w:numId w:val="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breach was causative, in both fact and law, of the plaintiff's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See </w:t>
      </w:r>
      <w:r>
        <w:rPr>
          <w:rFonts w:ascii="arial" w:eastAsia="arial" w:hAnsi="arial" w:cs="arial"/>
          <w:i/>
          <w:color w:val="000000"/>
          <w:sz w:val="20"/>
          <w:lang w:val="en-US" w:eastAsia="en-US" w:bidi="ar-SA"/>
        </w:rPr>
        <w:t>Hill v. Hamilton-Wentworth Regional Police Services Board</w:t>
      </w:r>
      <w:r>
        <w:rPr>
          <w:rFonts w:ascii="arial" w:eastAsia="arial" w:hAnsi="arial" w:cs="arial"/>
          <w:color w:val="000000"/>
          <w:sz w:val="20"/>
          <w:lang w:val="en-US" w:eastAsia="en-US" w:bidi="ar-SA"/>
        </w:rPr>
        <w:t xml:space="preserve">, </w:t>
      </w:r>
      <w:hyperlink r:id="rId387" w:history="1">
        <w:r>
          <w:rPr>
            <w:rFonts w:ascii="arial" w:eastAsia="arial" w:hAnsi="arial" w:cs="arial"/>
            <w:i/>
            <w:color w:val="0077CC"/>
            <w:sz w:val="20"/>
            <w:u w:val="single"/>
            <w:shd w:val="clear" w:color="auto" w:fill="FFFFFF"/>
            <w:lang w:val="en-US" w:eastAsia="en-US" w:bidi="ar-SA"/>
          </w:rPr>
          <w:t>2007 SCC 41</w:t>
        </w:r>
      </w:hyperlink>
      <w:r>
        <w:rPr>
          <w:rFonts w:ascii="arial" w:eastAsia="arial" w:hAnsi="arial" w:cs="arial"/>
          <w:color w:val="000000"/>
          <w:sz w:val="20"/>
          <w:lang w:val="en-US" w:eastAsia="en-US" w:bidi="ar-SA"/>
        </w:rPr>
        <w:t xml:space="preserve"> at para. 96; </w:t>
      </w:r>
      <w:r>
        <w:rPr>
          <w:rFonts w:ascii="arial" w:eastAsia="arial" w:hAnsi="arial" w:cs="arial"/>
          <w:i/>
          <w:color w:val="000000"/>
          <w:sz w:val="20"/>
          <w:lang w:val="en-US" w:eastAsia="en-US" w:bidi="ar-SA"/>
        </w:rPr>
        <w:t>Mustapha v. Culligan of Canada Ltd.</w:t>
      </w:r>
      <w:r>
        <w:rPr>
          <w:rFonts w:ascii="arial" w:eastAsia="arial" w:hAnsi="arial" w:cs="arial"/>
          <w:color w:val="000000"/>
          <w:sz w:val="20"/>
          <w:lang w:val="en-US" w:eastAsia="en-US" w:bidi="ar-SA"/>
        </w:rPr>
        <w:t xml:space="preserve">, </w:t>
      </w:r>
      <w:hyperlink r:id="rId388" w:history="1">
        <w:r>
          <w:rPr>
            <w:rFonts w:ascii="arial" w:eastAsia="arial" w:hAnsi="arial" w:cs="arial"/>
            <w:i/>
            <w:color w:val="0077CC"/>
            <w:sz w:val="20"/>
            <w:u w:val="single"/>
            <w:shd w:val="clear" w:color="auto" w:fill="FFFFFF"/>
            <w:lang w:val="en-US" w:eastAsia="en-US" w:bidi="ar-SA"/>
          </w:rPr>
          <w:t>2008 SCC 27</w:t>
        </w:r>
      </w:hyperlink>
      <w:r>
        <w:rPr>
          <w:rFonts w:ascii="arial" w:eastAsia="arial" w:hAnsi="arial" w:cs="arial"/>
          <w:color w:val="000000"/>
          <w:sz w:val="20"/>
          <w:lang w:val="en-US" w:eastAsia="en-US" w:bidi="ar-SA"/>
        </w:rPr>
        <w:t xml:space="preserve"> at para. 3; </w:t>
      </w:r>
      <w:r>
        <w:rPr>
          <w:rFonts w:ascii="arial" w:eastAsia="arial" w:hAnsi="arial" w:cs="arial"/>
          <w:i/>
          <w:color w:val="000000"/>
          <w:sz w:val="20"/>
          <w:lang w:val="en-US" w:eastAsia="en-US" w:bidi="ar-SA"/>
        </w:rPr>
        <w:t>Ediger v. Johnston</w:t>
      </w:r>
      <w:r>
        <w:rPr>
          <w:rFonts w:ascii="arial" w:eastAsia="arial" w:hAnsi="arial" w:cs="arial"/>
          <w:color w:val="000000"/>
          <w:sz w:val="20"/>
          <w:lang w:val="en-US" w:eastAsia="en-US" w:bidi="ar-SA"/>
        </w:rPr>
        <w:t xml:space="preserve">, </w:t>
      </w:r>
      <w:hyperlink r:id="rId389" w:history="1">
        <w:r>
          <w:rPr>
            <w:rFonts w:ascii="arial" w:eastAsia="arial" w:hAnsi="arial" w:cs="arial"/>
            <w:i/>
            <w:color w:val="0077CC"/>
            <w:sz w:val="20"/>
            <w:u w:val="single"/>
            <w:shd w:val="clear" w:color="auto" w:fill="FFFFFF"/>
            <w:lang w:val="en-US" w:eastAsia="en-US" w:bidi="ar-SA"/>
          </w:rPr>
          <w:t>2013 SCC 18</w:t>
        </w:r>
      </w:hyperlink>
      <w:r>
        <w:rPr>
          <w:rFonts w:ascii="arial" w:eastAsia="arial" w:hAnsi="arial" w:cs="arial"/>
          <w:color w:val="000000"/>
          <w:sz w:val="20"/>
          <w:lang w:val="en-US" w:eastAsia="en-US" w:bidi="ar-SA"/>
        </w:rPr>
        <w:t xml:space="preserve"> at para. 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The legislation that was in effect in British Columbia at the time of the accident, the </w:t>
      </w:r>
      <w:r>
        <w:rPr>
          <w:rFonts w:ascii="arial" w:eastAsia="arial" w:hAnsi="arial" w:cs="arial"/>
          <w:i/>
          <w:color w:val="000000"/>
          <w:sz w:val="20"/>
          <w:lang w:val="en-US" w:eastAsia="en-US" w:bidi="ar-SA"/>
        </w:rPr>
        <w:t>Liquor Control and Licensing Act</w:t>
      </w:r>
      <w:r>
        <w:rPr>
          <w:rFonts w:ascii="arial" w:eastAsia="arial" w:hAnsi="arial" w:cs="arial"/>
          <w:color w:val="000000"/>
          <w:sz w:val="20"/>
          <w:lang w:val="en-US" w:eastAsia="en-US" w:bidi="ar-SA"/>
        </w:rPr>
        <w:t xml:space="preserve">, </w:t>
      </w:r>
      <w:hyperlink r:id="rId390" w:history="1">
        <w:r>
          <w:rPr>
            <w:rFonts w:ascii="arial" w:eastAsia="arial" w:hAnsi="arial" w:cs="arial"/>
            <w:i/>
            <w:color w:val="0077CC"/>
            <w:sz w:val="20"/>
            <w:u w:val="single"/>
            <w:shd w:val="clear" w:color="auto" w:fill="FFFFFF"/>
            <w:lang w:val="en-US" w:eastAsia="en-US" w:bidi="ar-SA"/>
          </w:rPr>
          <w:t>R.S.B.C. 1996, c. 267</w:t>
        </w:r>
      </w:hyperlink>
      <w:r>
        <w:rPr>
          <w:rFonts w:ascii="arial" w:eastAsia="arial" w:hAnsi="arial" w:cs="arial"/>
          <w:color w:val="000000"/>
          <w:sz w:val="20"/>
          <w:lang w:val="en-US" w:eastAsia="en-US" w:bidi="ar-SA"/>
        </w:rPr>
        <w:t xml:space="preserve">, did not expressly impose civil liability similar to its Ontario counterpart, it did however impose mandatory obligations on a commercial host in respect of "drunkenness". At the relevant time, s. 43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provided that such a commercial host:</w:t>
      </w:r>
      <w:r>
        <w:rPr>
          <w:rFonts w:ascii="arial" w:eastAsia="arial" w:hAnsi="arial" w:cs="arial"/>
          <w:sz w:val="20"/>
          <w:lang w:val="en-US" w:eastAsia="en-US" w:bidi="ar-SA"/>
        </w:rPr>
        <w:cr/>
      </w:r>
    </w:p>
    <w:p>
      <w:pPr>
        <w:numPr>
          <w:numId w:val="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must not sell or give liquor to an intoxicated person or a person apparently under the influence of liquor; and</w:t>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must not permit a person to become intoxicated.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did not define the perhaps elastic terms "intoxicated" or "under the influence of liquor". The general intent of the prohibition, however, cannot be denied.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It is worth noting that the current version of British Columbia's Legislation, </w:t>
      </w:r>
      <w:r>
        <w:rPr>
          <w:rFonts w:ascii="arial" w:eastAsia="arial" w:hAnsi="arial" w:cs="arial"/>
          <w:i/>
          <w:color w:val="000000"/>
          <w:sz w:val="20"/>
          <w:lang w:val="en-US" w:eastAsia="en-US" w:bidi="ar-SA"/>
        </w:rPr>
        <w:t>Liquor Control and Licensing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2015, c. 19</w:t>
      </w:r>
      <w:r>
        <w:rPr>
          <w:rFonts w:ascii="arial" w:eastAsia="arial" w:hAnsi="arial" w:cs="arial"/>
          <w:color w:val="000000"/>
          <w:sz w:val="20"/>
          <w:lang w:val="en-US" w:eastAsia="en-US" w:bidi="ar-SA"/>
        </w:rPr>
        <w:t>, also does not expressly impose civil liability similar to what exists in the Ontario legislation.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Commercial Host Liability at Common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The seminal case respecting a commercial host's liability is generally considered to be </w:t>
      </w:r>
      <w:r>
        <w:rPr>
          <w:rFonts w:ascii="arial" w:eastAsia="arial" w:hAnsi="arial" w:cs="arial"/>
          <w:i/>
          <w:color w:val="000000"/>
          <w:sz w:val="20"/>
          <w:lang w:val="en-US" w:eastAsia="en-US" w:bidi="ar-SA"/>
        </w:rPr>
        <w:t>Jordan House Ltd. v. Menow</w:t>
      </w:r>
      <w:r>
        <w:rPr>
          <w:rFonts w:ascii="arial" w:eastAsia="arial" w:hAnsi="arial" w:cs="arial"/>
          <w:color w:val="000000"/>
          <w:sz w:val="20"/>
          <w:lang w:val="en-US" w:eastAsia="en-US" w:bidi="ar-SA"/>
        </w:rPr>
        <w:t xml:space="preserve">, </w:t>
      </w:r>
      <w:hyperlink r:id="rId391" w:history="1">
        <w:r>
          <w:rPr>
            <w:rFonts w:ascii="arial" w:eastAsia="arial" w:hAnsi="arial" w:cs="arial"/>
            <w:i/>
            <w:color w:val="0077CC"/>
            <w:sz w:val="20"/>
            <w:u w:val="single"/>
            <w:shd w:val="clear" w:color="auto" w:fill="FFFFFF"/>
            <w:lang w:val="en-US" w:eastAsia="en-US" w:bidi="ar-SA"/>
          </w:rPr>
          <w:t>[1974] S.C.R. 239</w:t>
        </w:r>
      </w:hyperlink>
      <w:r>
        <w:rPr>
          <w:rFonts w:ascii="arial" w:eastAsia="arial" w:hAnsi="arial" w:cs="arial"/>
          <w:color w:val="000000"/>
          <w:sz w:val="20"/>
          <w:lang w:val="en-US" w:eastAsia="en-US" w:bidi="ar-SA"/>
        </w:rPr>
        <w:t>. In that case, a frequent patron of the hotel's beverage room, well known for his propensity to become intoxicated, was ejected from the premises after consuming beer over several hours. He was struck by a vehicle while walking home on the center line of the highway. The Court concluded that by virtue of Menow's intoxication on the premises: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hotel came under a duty to Menow to see that he got home safely by taking him under its charge or putting him under the charge of a responsible person, or to see that he was not turned out alone until he was in a reasonably fit condition to look after himself. ... The harm that ensued was that which was reasonably foreseeable by reason of what the hotel did (in turning Menow out) and failed to do (in not taking preventive measures) (at 249).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Jordan House</w:t>
      </w:r>
      <w:r>
        <w:rPr>
          <w:rFonts w:ascii="arial" w:eastAsia="arial" w:hAnsi="arial" w:cs="arial"/>
          <w:color w:val="000000"/>
          <w:sz w:val="20"/>
          <w:lang w:val="en-US" w:eastAsia="en-US" w:bidi="ar-SA"/>
        </w:rPr>
        <w:t xml:space="preserve"> dealt with the duty of care owed to the patron. It was not until </w:t>
      </w:r>
      <w:r>
        <w:rPr>
          <w:rFonts w:ascii="arial" w:eastAsia="arial" w:hAnsi="arial" w:cs="arial"/>
          <w:i/>
          <w:color w:val="000000"/>
          <w:sz w:val="20"/>
          <w:lang w:val="en-US" w:eastAsia="en-US" w:bidi="ar-SA"/>
        </w:rPr>
        <w:t>Stewart v. Pettie</w:t>
      </w:r>
      <w:r>
        <w:rPr>
          <w:rFonts w:ascii="arial" w:eastAsia="arial" w:hAnsi="arial" w:cs="arial"/>
          <w:color w:val="000000"/>
          <w:sz w:val="20"/>
          <w:lang w:val="en-US" w:eastAsia="en-US" w:bidi="ar-SA"/>
        </w:rPr>
        <w:t xml:space="preserve">, </w:t>
      </w:r>
      <w:hyperlink r:id="rId392" w:history="1">
        <w:r>
          <w:rPr>
            <w:rFonts w:ascii="arial" w:eastAsia="arial" w:hAnsi="arial" w:cs="arial"/>
            <w:i/>
            <w:color w:val="0077CC"/>
            <w:sz w:val="20"/>
            <w:u w:val="single"/>
            <w:shd w:val="clear" w:color="auto" w:fill="FFFFFF"/>
            <w:lang w:val="en-US" w:eastAsia="en-US" w:bidi="ar-SA"/>
          </w:rPr>
          <w:t>[1995] 1 S.C.R. 131</w:t>
        </w:r>
      </w:hyperlink>
      <w:r>
        <w:rPr>
          <w:rFonts w:ascii="arial" w:eastAsia="arial" w:hAnsi="arial" w:cs="arial"/>
          <w:color w:val="000000"/>
          <w:sz w:val="20"/>
          <w:lang w:val="en-US" w:eastAsia="en-US" w:bidi="ar-SA"/>
        </w:rPr>
        <w:t>, that the Supreme Court addressed the liability of a commercial host to third persons other than the intoxicated patron himself. In that case a sober passenger in a car driven by her intoxicated brother was rendered a quadriplegic when he lost control of the vehicle and collided with a light pole and wall. The Court held there was "no question" that commercial vendors of alcohol owed a general duty of care to third parties who might reasonably be expected to come into contact with their intoxicated patron and to whom that patron may pose some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The Court also emphasized that the </w:t>
      </w:r>
      <w:r>
        <w:rPr>
          <w:rFonts w:ascii="arial" w:eastAsia="arial" w:hAnsi="arial" w:cs="arial"/>
          <w:color w:val="000000"/>
          <w:sz w:val="20"/>
          <w:u w:val="single"/>
          <w:lang w:val="en-US" w:eastAsia="en-US" w:bidi="ar-SA"/>
        </w:rPr>
        <w:t>existence</w:t>
      </w:r>
      <w:r>
        <w:rPr>
          <w:rFonts w:ascii="arial" w:eastAsia="arial" w:hAnsi="arial" w:cs="arial"/>
          <w:color w:val="000000"/>
          <w:sz w:val="20"/>
          <w:lang w:val="en-US" w:eastAsia="en-US" w:bidi="ar-SA"/>
        </w:rPr>
        <w:t xml:space="preserve"> of the duty of care must not be confused with the </w:t>
      </w:r>
      <w:r>
        <w:rPr>
          <w:rFonts w:ascii="arial" w:eastAsia="arial" w:hAnsi="arial" w:cs="arial"/>
          <w:color w:val="000000"/>
          <w:sz w:val="20"/>
          <w:u w:val="single"/>
          <w:lang w:val="en-US" w:eastAsia="en-US" w:bidi="ar-SA"/>
        </w:rPr>
        <w:t>standard</w:t>
      </w:r>
      <w:r>
        <w:rPr>
          <w:rFonts w:ascii="arial" w:eastAsia="arial" w:hAnsi="arial" w:cs="arial"/>
          <w:color w:val="000000"/>
          <w:sz w:val="20"/>
          <w:lang w:val="en-US" w:eastAsia="en-US" w:bidi="ar-SA"/>
        </w:rPr>
        <w:t xml:space="preserve"> of care. As well, at paras. 60-65, the Court emphasized that, in order for liability to flow, there must be proof that the breach of the standard of care "actually caused the loss complained 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Insofar as the standard of care was concerned in the circumstances of the case, the Court noted:</w:t>
      </w:r>
      <w:r>
        <w:rPr>
          <w:rFonts w:ascii="arial" w:eastAsia="arial" w:hAnsi="arial" w:cs="arial"/>
          <w:sz w:val="20"/>
          <w:lang w:val="en-US" w:eastAsia="en-US" w:bidi="ar-SA"/>
        </w:rPr>
        <w:cr/>
      </w:r>
    </w:p>
    <w:p>
      <w:pPr>
        <w:numPr>
          <w:numId w:val="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establishment could not escape liability simply because the patron was apparently not exhibiting any visible signs of intoxication. The waitress knew or ought to have known that the patron was becoming intoxicated by virtue of the number of drinks he had consumed regardless of whether he was exhibiting visible symptoms (at para. 52);</w:t>
      </w:r>
    </w:p>
    <w:p>
      <w:pPr>
        <w:numPr>
          <w:numId w:val="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in </w:t>
      </w:r>
      <w:r>
        <w:rPr>
          <w:rFonts w:ascii="arial" w:eastAsia="arial" w:hAnsi="arial" w:cs="arial"/>
          <w:i/>
          <w:color w:val="000000"/>
          <w:sz w:val="20"/>
          <w:lang w:val="en-US" w:eastAsia="en-US" w:bidi="ar-SA"/>
        </w:rPr>
        <w:t>Menow</w:t>
      </w:r>
      <w:r>
        <w:rPr>
          <w:rFonts w:ascii="arial" w:eastAsia="arial" w:hAnsi="arial" w:cs="arial"/>
          <w:color w:val="000000"/>
          <w:sz w:val="20"/>
          <w:lang w:val="en-US" w:eastAsia="en-US" w:bidi="ar-SA"/>
        </w:rPr>
        <w:t>, the establishment could discharge its duty of care by putting the patron "under the charge of a responsible person" such as his sober wife and sister with whom he had come to the event (at paras. 53-55);</w:t>
      </w:r>
    </w:p>
    <w:p>
      <w:pPr>
        <w:numPr>
          <w:numId w:val="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"establishments which serve alcohol must either intervene in appropriate circumstances or risk liability", the presence of sober companions with whom the patron was travelling precluded the need for intervention in this case (at paras. 53-57); and</w:t>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any event, there was no proof that intervention would have made any difference (because the two sober women had concluded that the patron was competent to drive) (at paras. 54-55).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Childs v. Desormeaux</w:t>
      </w:r>
      <w:r>
        <w:rPr>
          <w:rFonts w:ascii="arial" w:eastAsia="arial" w:hAnsi="arial" w:cs="arial"/>
          <w:color w:val="000000"/>
          <w:sz w:val="20"/>
          <w:lang w:val="en-US" w:eastAsia="en-US" w:bidi="ar-SA"/>
        </w:rPr>
        <w:t xml:space="preserve">, </w:t>
      </w:r>
      <w:hyperlink r:id="rId393" w:history="1">
        <w:r>
          <w:rPr>
            <w:rFonts w:ascii="arial" w:eastAsia="arial" w:hAnsi="arial" w:cs="arial"/>
            <w:i/>
            <w:color w:val="0077CC"/>
            <w:sz w:val="20"/>
            <w:u w:val="single"/>
            <w:shd w:val="clear" w:color="auto" w:fill="FFFFFF"/>
            <w:lang w:val="en-US" w:eastAsia="en-US" w:bidi="ar-SA"/>
          </w:rPr>
          <w:t>2006 SCC 18</w:t>
        </w:r>
      </w:hyperlink>
      <w:r>
        <w:rPr>
          <w:rFonts w:ascii="arial" w:eastAsia="arial" w:hAnsi="arial" w:cs="arial"/>
          <w:color w:val="000000"/>
          <w:sz w:val="20"/>
          <w:lang w:val="en-US" w:eastAsia="en-US" w:bidi="ar-SA"/>
        </w:rPr>
        <w:t xml:space="preserve">, the Court addressed the question of social host liability, </w:t>
      </w:r>
      <w:r>
        <w:rPr>
          <w:rFonts w:ascii="arial" w:eastAsia="arial" w:hAnsi="arial" w:cs="arial"/>
          <w:i/>
          <w:color w:val="000000"/>
          <w:sz w:val="20"/>
          <w:lang w:val="en-US" w:eastAsia="en-US" w:bidi="ar-SA"/>
        </w:rPr>
        <w:t>i.e.</w:t>
      </w:r>
      <w:r>
        <w:rPr>
          <w:rFonts w:ascii="arial" w:eastAsia="arial" w:hAnsi="arial" w:cs="arial"/>
          <w:color w:val="000000"/>
          <w:sz w:val="20"/>
          <w:lang w:val="en-US" w:eastAsia="en-US" w:bidi="ar-SA"/>
        </w:rPr>
        <w:t>, whether a social host owed any duties of care to third parties who may be injured by their intoxicated guests. In dismissing such a cause of action, the Court made a point of emphasizing the differences between a social host and commercial host situation and why the latter was required to take "positive steps to protect" third-party members of the public:</w:t>
      </w:r>
      <w:r>
        <w:rPr>
          <w:rFonts w:ascii="arial" w:eastAsia="arial" w:hAnsi="arial" w:cs="arial"/>
          <w:sz w:val="20"/>
          <w:lang w:val="en-US" w:eastAsia="en-US" w:bidi="ar-SA"/>
        </w:rPr>
        <w:cr/>
      </w:r>
    </w:p>
    <w:p>
      <w:pPr>
        <w:numPr>
          <w:numId w:val="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monitoring consumption is relatively easy for a commercial host and servers can generally be expected to possess special knowledge about intoxication (at para. 18);</w:t>
      </w:r>
    </w:p>
    <w:p>
      <w:pPr>
        <w:numPr>
          <w:numId w:val="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sale and consumption of alcohol is strictly regulated and these regulations impose special responsibilities (to reduce the risk associated with the trade) on those who would profit from the supply of alcohol (at para. 19);</w:t>
      </w:r>
    </w:p>
    <w:p>
      <w:pPr>
        <w:numPr>
          <w:numId w:val="7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commercial hosts had a "perverse incentive" not only to serve many drinks, but to serve too many in order to increase profit ... this supports the imposition of a duty to monitor alcohol consumption in the interest of the general public (at para. 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Donaldson v. John Doe</w:t>
      </w:r>
      <w:r>
        <w:rPr>
          <w:rFonts w:ascii="arial" w:eastAsia="arial" w:hAnsi="arial" w:cs="arial"/>
          <w:color w:val="000000"/>
          <w:sz w:val="20"/>
          <w:lang w:val="en-US" w:eastAsia="en-US" w:bidi="ar-SA"/>
        </w:rPr>
        <w:t xml:space="preserve">, </w:t>
      </w:r>
      <w:hyperlink r:id="rId394" w:history="1">
        <w:r>
          <w:rPr>
            <w:rFonts w:ascii="arial" w:eastAsia="arial" w:hAnsi="arial" w:cs="arial"/>
            <w:i/>
            <w:color w:val="0077CC"/>
            <w:sz w:val="20"/>
            <w:u w:val="single"/>
            <w:shd w:val="clear" w:color="auto" w:fill="FFFFFF"/>
            <w:lang w:val="en-US" w:eastAsia="en-US" w:bidi="ar-SA"/>
          </w:rPr>
          <w:t>2009 BCCA 38</w:t>
        </w:r>
      </w:hyperlink>
      <w:r>
        <w:rPr>
          <w:rFonts w:ascii="arial" w:eastAsia="arial" w:hAnsi="arial" w:cs="arial"/>
          <w:color w:val="000000"/>
          <w:sz w:val="20"/>
          <w:lang w:val="en-US" w:eastAsia="en-US" w:bidi="ar-SA"/>
        </w:rPr>
        <w:t xml:space="preserve">, our Court of Appeal expressly agreed with the following proposition from </w:t>
      </w:r>
      <w:r>
        <w:rPr>
          <w:rFonts w:ascii="arial" w:eastAsia="arial" w:hAnsi="arial" w:cs="arial"/>
          <w:i/>
          <w:color w:val="000000"/>
          <w:sz w:val="20"/>
          <w:lang w:val="en-US" w:eastAsia="en-US" w:bidi="ar-SA"/>
        </w:rPr>
        <w:t>McIntyre v. Grigg</w:t>
      </w:r>
      <w:r>
        <w:rPr>
          <w:rFonts w:ascii="arial" w:eastAsia="arial" w:hAnsi="arial" w:cs="arial"/>
          <w:color w:val="000000"/>
          <w:sz w:val="20"/>
          <w:lang w:val="en-US" w:eastAsia="en-US" w:bidi="ar-SA"/>
        </w:rPr>
        <w:t xml:space="preserve"> </w:t>
      </w:r>
      <w:hyperlink r:id="rId395" w:history="1">
        <w:r>
          <w:rPr>
            <w:rFonts w:ascii="arial" w:eastAsia="arial" w:hAnsi="arial" w:cs="arial"/>
            <w:i/>
            <w:color w:val="0077CC"/>
            <w:sz w:val="20"/>
            <w:u w:val="single"/>
            <w:shd w:val="clear" w:color="auto" w:fill="FFFFFF"/>
            <w:lang w:val="en-US" w:eastAsia="en-US" w:bidi="ar-SA"/>
          </w:rPr>
          <w:t>(2006), 83 O.R. (3d) 161</w:t>
        </w:r>
      </w:hyperlink>
      <w:r>
        <w:rPr>
          <w:rFonts w:ascii="arial" w:eastAsia="arial" w:hAnsi="arial" w:cs="arial"/>
          <w:color w:val="000000"/>
          <w:sz w:val="20"/>
          <w:lang w:val="en-US" w:eastAsia="en-US" w:bidi="ar-SA"/>
        </w:rPr>
        <w:t xml:space="preserve"> (C.A.), at para. 49: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Commercial vendors of alcohol have an obligation to monitor a patron's consumption of alcohol and should have protocols in place to ensure that all reasonable precautions are taken to prevent such patrons who subsequently drive from becoming intoxicated to the point where they cannot safely operate a motor vehicle. Moreover, a commercial host does not escape liability simply by </w:t>
      </w:r>
      <w:r>
        <w:rPr>
          <w:rFonts w:ascii="arial" w:eastAsia="arial" w:hAnsi="arial" w:cs="arial"/>
          <w:i/>
          <w:color w:val="000000"/>
          <w:sz w:val="20"/>
          <w:lang w:val="en-US" w:eastAsia="en-US" w:bidi="ar-SA"/>
        </w:rPr>
        <w:t>not knowing</w:t>
      </w:r>
      <w:r>
        <w:rPr>
          <w:rFonts w:ascii="arial" w:eastAsia="arial" w:hAnsi="arial" w:cs="arial"/>
          <w:color w:val="000000"/>
          <w:sz w:val="20"/>
          <w:lang w:val="en-US" w:eastAsia="en-US" w:bidi="ar-SA"/>
        </w:rPr>
        <w:t xml:space="preserve"> that the patron became inebriated before driving; the commercial host is liable if it or its employees </w:t>
      </w:r>
      <w:r>
        <w:rPr>
          <w:rFonts w:ascii="arial" w:eastAsia="arial" w:hAnsi="arial" w:cs="arial"/>
          <w:i/>
          <w:color w:val="000000"/>
          <w:sz w:val="20"/>
          <w:lang w:val="en-US" w:eastAsia="en-US" w:bidi="ar-SA"/>
        </w:rPr>
        <w:t>knew or ought reasonably to have known</w:t>
      </w:r>
      <w:r>
        <w:rPr>
          <w:rFonts w:ascii="arial" w:eastAsia="arial" w:hAnsi="arial" w:cs="arial"/>
          <w:color w:val="000000"/>
          <w:sz w:val="20"/>
          <w:lang w:val="en-US" w:eastAsia="en-US" w:bidi="ar-SA"/>
        </w:rPr>
        <w:t xml:space="preserve"> in the circumstances that the patron was in such a condition.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Haughton v. Burden</w:t>
      </w:r>
      <w:r>
        <w:rPr>
          <w:rFonts w:ascii="arial" w:eastAsia="arial" w:hAnsi="arial" w:cs="arial"/>
          <w:color w:val="000000"/>
          <w:sz w:val="20"/>
          <w:lang w:val="en-US" w:eastAsia="en-US" w:bidi="ar-SA"/>
        </w:rPr>
        <w:t xml:space="preserve">, </w:t>
      </w:r>
      <w:hyperlink r:id="rId396" w:history="1">
        <w:r>
          <w:rPr>
            <w:rFonts w:ascii="arial" w:eastAsia="arial" w:hAnsi="arial" w:cs="arial"/>
            <w:i/>
            <w:color w:val="0077CC"/>
            <w:sz w:val="20"/>
            <w:u w:val="single"/>
            <w:shd w:val="clear" w:color="auto" w:fill="FFFFFF"/>
            <w:lang w:val="en-US" w:eastAsia="en-US" w:bidi="ar-SA"/>
          </w:rPr>
          <w:t>[2001] O.J. No. 4704</w:t>
        </w:r>
      </w:hyperlink>
      <w:r>
        <w:rPr>
          <w:rFonts w:ascii="arial" w:eastAsia="arial" w:hAnsi="arial" w:cs="arial"/>
          <w:color w:val="000000"/>
          <w:sz w:val="20"/>
          <w:lang w:val="en-US" w:eastAsia="en-US" w:bidi="ar-SA"/>
        </w:rPr>
        <w:t xml:space="preserve"> (S.C.J.), cited in </w:t>
      </w:r>
      <w:r>
        <w:rPr>
          <w:rFonts w:ascii="arial" w:eastAsia="arial" w:hAnsi="arial" w:cs="arial"/>
          <w:i/>
          <w:color w:val="000000"/>
          <w:sz w:val="20"/>
          <w:lang w:val="en-US" w:eastAsia="en-US" w:bidi="ar-SA"/>
        </w:rPr>
        <w:t>Salm v. Coyle and ICBC et al</w:t>
      </w:r>
      <w:r>
        <w:rPr>
          <w:rFonts w:ascii="arial" w:eastAsia="arial" w:hAnsi="arial" w:cs="arial"/>
          <w:color w:val="000000"/>
          <w:sz w:val="20"/>
          <w:lang w:val="en-US" w:eastAsia="en-US" w:bidi="ar-SA"/>
        </w:rPr>
        <w:t xml:space="preserve">, </w:t>
      </w:r>
      <w:hyperlink r:id="rId397" w:history="1">
        <w:r>
          <w:rPr>
            <w:rFonts w:ascii="arial" w:eastAsia="arial" w:hAnsi="arial" w:cs="arial"/>
            <w:i/>
            <w:color w:val="0077CC"/>
            <w:sz w:val="20"/>
            <w:u w:val="single"/>
            <w:shd w:val="clear" w:color="auto" w:fill="FFFFFF"/>
            <w:lang w:val="en-US" w:eastAsia="en-US" w:bidi="ar-SA"/>
          </w:rPr>
          <w:t>2004 BCSC 112</w:t>
        </w:r>
      </w:hyperlink>
      <w:r>
        <w:rPr>
          <w:rFonts w:ascii="arial" w:eastAsia="arial" w:hAnsi="arial" w:cs="arial"/>
          <w:color w:val="000000"/>
          <w:sz w:val="20"/>
          <w:lang w:val="en-US" w:eastAsia="en-US" w:bidi="ar-SA"/>
        </w:rPr>
        <w:t>, at para. 17,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common law imposes a duty on a commercial host to take steps to see that intoxicated patrons do not cause injury to themselves or others upon leaving the premises. The standard of care required will vary depending on the circumstances, but may include actions such as putting the patron into a taxi or into the care of sober persons, or calling the police.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In this particular case the affidavits from the pub employees all referred to the employees having successfully completed the "Serving It Right", which is British Columbia's mandatory "Responsible Beverage Service Program". This is a program sponsored by the provincial government and the hospitality industry which offers information about intoxication, as well as guidelines and suggestions for, as the tagline suggests, "responsible beverage service". Rather cleverly, none of the employee affidavits expressly disclosed the information and conduct guidelines suggested in the "Serving It Right" program. Instead, all that was proffered was what was said to be Cambie Malone's written "Policies and Procedures" which included the following paragraph: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your responsibility to ensure patrons do not become intoxicated while in the establishment. You must refuse entrance and/or service to any person who is apparently under the influence of alcohol or drugs. Moreover, persons visibly under the influence of drugs or alcohol may not be permitted to remain in the establishment. You must refuse the person service, have the person removed and see that they depart safely. Intoxicated persons must NOT be permitted to drive. It is your duty to ensure that a safe ride home is used. This is a crucial responsibility of everyone in the alcohol service industry.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While the standard of care expected of a commercial host will, in large part, be governed by the particular circumstances of any given case, there are several general standards of conduct that could well apply simply as a matter of common sense, including:</w:t>
      </w:r>
      <w:r>
        <w:rPr>
          <w:rFonts w:ascii="arial" w:eastAsia="arial" w:hAnsi="arial" w:cs="arial"/>
          <w:sz w:val="20"/>
          <w:lang w:val="en-US" w:eastAsia="en-US" w:bidi="ar-SA"/>
        </w:rPr>
        <w:cr/>
      </w:r>
    </w:p>
    <w:p>
      <w:pPr>
        <w:numPr>
          <w:numId w:val="7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ensure there are adequate supervision, monitoring and training systems in place so employees know and abide by responsible serving practices;</w:t>
      </w:r>
    </w:p>
    <w:p>
      <w:pPr>
        <w:numPr>
          <w:numId w:val="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ensure there is a sufficient number of serving staff on duty so that effective monitoring of alcohol consumption by patrons is possible;</w:t>
      </w:r>
    </w:p>
    <w:p>
      <w:pPr>
        <w:numPr>
          <w:numId w:val="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ensure employees know the signs of intoxication and the various factors that influence intoxication (gender, weight, rate of consumption, food, </w:t>
      </w:r>
      <w:r>
        <w:rPr>
          <w:rFonts w:ascii="arial" w:eastAsia="arial" w:hAnsi="arial" w:cs="arial"/>
          <w:i/>
          <w:color w:val="000000"/>
          <w:sz w:val="20"/>
          <w:lang w:val="en-US" w:eastAsia="en-US" w:bidi="ar-SA"/>
        </w:rPr>
        <w:t>et cetera</w:t>
      </w:r>
      <w:r>
        <w:rPr>
          <w:rFonts w:ascii="arial" w:eastAsia="arial" w:hAnsi="arial" w:cs="arial"/>
          <w:color w:val="000000"/>
          <w:sz w:val="20"/>
          <w:lang w:val="en-US" w:eastAsia="en-US" w:bidi="ar-SA"/>
        </w:rPr>
        <w:t>);</w:t>
      </w:r>
    </w:p>
    <w:p>
      <w:pPr>
        <w:numPr>
          <w:numId w:val="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inquire if the patron is driving and identify any "designated driver" for groups of patrons;</w:t>
      </w:r>
    </w:p>
    <w:p>
      <w:pPr>
        <w:numPr>
          <w:numId w:val="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know how to estimate blood-alcohol concentrations and ensure any driver does not consume more than the appropriate number of drinks to stay on the "right side" of the legal limit;</w:t>
      </w:r>
    </w:p>
    <w:p>
      <w:pPr>
        <w:numPr>
          <w:numId w:val="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display "tent cards" on tables, posters on walls and washrooms, and menu inserts with easy-to-read charts and information about blood-alcohol concentration;</w:t>
      </w:r>
    </w:p>
    <w:p>
      <w:pPr>
        <w:numPr>
          <w:numId w:val="7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ask apparently-intoxicated patrons if you contact anyone to assist them or if you can get them a taxi and, if necessary, offer to pay for it;</w:t>
      </w:r>
    </w:p>
    <w:p>
      <w:pPr>
        <w:numPr>
          <w:numId w:val="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display posters advertising free ride-home services available in the neighbourhood; and</w:t>
      </w:r>
    </w:p>
    <w:p>
      <w:pPr>
        <w:numPr>
          <w:numId w:val="7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patron rejects alternative options and insists on driving, despite being urged otherwise, contact the police to seek assistance and/or provide whatever information might encourage their intervention.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None of these things occurred in the present case. Rather, the pub's employees utterly failed in abiding by their own employer's directive that "intoxicated persons (</w:t>
      </w:r>
      <w:r>
        <w:rPr>
          <w:rFonts w:ascii="arial" w:eastAsia="arial" w:hAnsi="arial" w:cs="arial"/>
          <w:i/>
          <w:color w:val="000000"/>
          <w:sz w:val="20"/>
          <w:lang w:val="en-US" w:eastAsia="en-US" w:bidi="ar-SA"/>
        </w:rPr>
        <w:t>e.g.</w:t>
      </w:r>
      <w:r>
        <w:rPr>
          <w:rFonts w:ascii="arial" w:eastAsia="arial" w:hAnsi="arial" w:cs="arial"/>
          <w:color w:val="000000"/>
          <w:sz w:val="20"/>
          <w:lang w:val="en-US" w:eastAsia="en-US" w:bidi="ar-SA"/>
        </w:rPr>
        <w:t>, Rockwell) must not be permitted to drive". I have no hesitation in concluding that the employees, and therefore Cambie Malone's, did not meet the requisite standard of care in the circumstances of this particular case and that their conduct was accordingly negligent.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Is arrival at home a complete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The pub argues that a commercial host's duty of care ends when, and there can be no liability for conduct after, the intoxicated patron arrives at his own home safely. In making this argument the pub is seizing upon one of the suggestions made in </w:t>
      </w:r>
      <w:r>
        <w:rPr>
          <w:rFonts w:ascii="arial" w:eastAsia="arial" w:hAnsi="arial" w:cs="arial"/>
          <w:i/>
          <w:color w:val="000000"/>
          <w:sz w:val="20"/>
          <w:lang w:val="en-US" w:eastAsia="en-US" w:bidi="ar-SA"/>
        </w:rPr>
        <w:t>Jordan House</w:t>
      </w:r>
      <w:r>
        <w:rPr>
          <w:rFonts w:ascii="arial" w:eastAsia="arial" w:hAnsi="arial" w:cs="arial"/>
          <w:color w:val="000000"/>
          <w:sz w:val="20"/>
          <w:lang w:val="en-US" w:eastAsia="en-US" w:bidi="ar-SA"/>
        </w:rPr>
        <w:t xml:space="preserve"> and it refers to several cases which have adopted the proposition including </w:t>
      </w:r>
      <w:r>
        <w:rPr>
          <w:rFonts w:ascii="arial" w:eastAsia="arial" w:hAnsi="arial" w:cs="arial"/>
          <w:i/>
          <w:color w:val="000000"/>
          <w:sz w:val="20"/>
          <w:lang w:val="en-US" w:eastAsia="en-US" w:bidi="ar-SA"/>
        </w:rPr>
        <w:t>Salm, supra</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Schryer (Litigation Guardian of) v. 1232215 Ontario Ltd. (Lakeview Beachbar)</w:t>
      </w:r>
      <w:r>
        <w:rPr>
          <w:rFonts w:ascii="arial" w:eastAsia="arial" w:hAnsi="arial" w:cs="arial"/>
          <w:color w:val="000000"/>
          <w:sz w:val="20"/>
          <w:lang w:val="en-US" w:eastAsia="en-US" w:bidi="ar-SA"/>
        </w:rPr>
        <w:t xml:space="preserve">, </w:t>
      </w:r>
      <w:hyperlink r:id="rId398" w:history="1">
        <w:r>
          <w:rPr>
            <w:rFonts w:ascii="arial" w:eastAsia="arial" w:hAnsi="arial" w:cs="arial"/>
            <w:i/>
            <w:color w:val="0077CC"/>
            <w:sz w:val="20"/>
            <w:u w:val="single"/>
            <w:shd w:val="clear" w:color="auto" w:fill="FFFFFF"/>
            <w:lang w:val="en-US" w:eastAsia="en-US" w:bidi="ar-SA"/>
          </w:rPr>
          <w:t>[2009] O.J. No. 3578</w:t>
        </w:r>
      </w:hyperlink>
      <w:r>
        <w:rPr>
          <w:rFonts w:ascii="arial" w:eastAsia="arial" w:hAnsi="arial" w:cs="arial"/>
          <w:color w:val="000000"/>
          <w:sz w:val="20"/>
          <w:lang w:val="en-US" w:eastAsia="en-US" w:bidi="ar-SA"/>
        </w:rPr>
        <w:t xml:space="preserve"> (S.C.J.).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Salm</w:t>
      </w:r>
      <w:r>
        <w:rPr>
          <w:rFonts w:ascii="arial" w:eastAsia="arial" w:hAnsi="arial" w:cs="arial"/>
          <w:color w:val="000000"/>
          <w:sz w:val="20"/>
          <w:lang w:val="en-US" w:eastAsia="en-US" w:bidi="ar-SA"/>
        </w:rPr>
        <w:t>, an intoxicated patron was picked up from the defendant's pub and driven home by a friend. She then went inside, took her father's car keys and drove away. In dismissing the commercial host liability claim on a summary trial, the court said, at para. 23: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of the opinion that all duties of care to Coyle and to the plaintiff as a result of Coyle's intoxication, were satisfied when Coyle did not drive away from the pub and when she was delivered home safely by Collin. It does not matter if Millers Pub did not see to these safe arrangements itself but someone else did. The result was that all of its duties were satisfied and any risk of injury from Coyle's intoxication after she arrived home safely was not caused by any breach of duty on the part of Millers Pub.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Schryer</w:t>
      </w:r>
      <w:r>
        <w:rPr>
          <w:rFonts w:ascii="arial" w:eastAsia="arial" w:hAnsi="arial" w:cs="arial"/>
          <w:color w:val="000000"/>
          <w:sz w:val="20"/>
          <w:lang w:val="en-US" w:eastAsia="en-US" w:bidi="ar-SA"/>
        </w:rPr>
        <w:t xml:space="preserve"> the plaintiff was injured falling down a flight of stairs in her home after being over served at the defendant's bar. The court dismissed the resulting personal injury lawsuit declaring, at para. 79: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Once a patron arrives at his or her final destination safely, the tavern's duty is discharged, irrespective of whether the bar took active steps to ensure that the person arrives safely.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I am not bound by </w:t>
      </w:r>
      <w:r>
        <w:rPr>
          <w:rFonts w:ascii="arial" w:eastAsia="arial" w:hAnsi="arial" w:cs="arial"/>
          <w:i/>
          <w:color w:val="000000"/>
          <w:sz w:val="20"/>
          <w:lang w:val="en-US" w:eastAsia="en-US" w:bidi="ar-SA"/>
        </w:rPr>
        <w:t>Salm</w:t>
      </w:r>
      <w:r>
        <w:rPr>
          <w:rFonts w:ascii="arial" w:eastAsia="arial" w:hAnsi="arial" w:cs="arial"/>
          <w:color w:val="000000"/>
          <w:sz w:val="20"/>
          <w:lang w:val="en-US" w:eastAsia="en-US" w:bidi="ar-SA"/>
        </w:rPr>
        <w:t xml:space="preserve"> as it was not a case where the intoxicated patron got into his vehicle and drove away from the pub. Nor am I bound by the </w:t>
      </w:r>
      <w:r>
        <w:rPr>
          <w:rFonts w:ascii="arial" w:eastAsia="arial" w:hAnsi="arial" w:cs="arial"/>
          <w:i/>
          <w:color w:val="000000"/>
          <w:sz w:val="20"/>
          <w:lang w:val="en-US" w:eastAsia="en-US" w:bidi="ar-SA"/>
        </w:rPr>
        <w:t>Schryer</w:t>
      </w:r>
      <w:r>
        <w:rPr>
          <w:rFonts w:ascii="arial" w:eastAsia="arial" w:hAnsi="arial" w:cs="arial"/>
          <w:color w:val="000000"/>
          <w:sz w:val="20"/>
          <w:lang w:val="en-US" w:eastAsia="en-US" w:bidi="ar-SA"/>
        </w:rPr>
        <w:t xml:space="preserve"> decision as it emanates from Ontario. In any event, and with all due respect, I question whether these rulings either failed to apply or have been superseded by the case law addressing causation principles in tort.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The defendant pub made the same submission in </w:t>
      </w:r>
      <w:r>
        <w:rPr>
          <w:rFonts w:ascii="arial" w:eastAsia="arial" w:hAnsi="arial" w:cs="arial"/>
          <w:i/>
          <w:color w:val="000000"/>
          <w:sz w:val="20"/>
          <w:lang w:val="en-US" w:eastAsia="en-US" w:bidi="ar-SA"/>
        </w:rPr>
        <w:t>Van Hove (Litigation Guardian of) v. Boisselle</w:t>
      </w:r>
      <w:r>
        <w:rPr>
          <w:rFonts w:ascii="arial" w:eastAsia="arial" w:hAnsi="arial" w:cs="arial"/>
          <w:color w:val="000000"/>
          <w:sz w:val="20"/>
          <w:lang w:val="en-US" w:eastAsia="en-US" w:bidi="ar-SA"/>
        </w:rPr>
        <w:t xml:space="preserve">, </w:t>
      </w:r>
      <w:hyperlink r:id="rId399" w:history="1">
        <w:r>
          <w:rPr>
            <w:rFonts w:ascii="arial" w:eastAsia="arial" w:hAnsi="arial" w:cs="arial"/>
            <w:i/>
            <w:color w:val="0077CC"/>
            <w:sz w:val="20"/>
            <w:u w:val="single"/>
            <w:shd w:val="clear" w:color="auto" w:fill="FFFFFF"/>
            <w:lang w:val="en-US" w:eastAsia="en-US" w:bidi="ar-SA"/>
          </w:rPr>
          <w:t>2012 BCSC 494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i.e.</w:t>
      </w:r>
      <w:r>
        <w:rPr>
          <w:rFonts w:ascii="arial" w:eastAsia="arial" w:hAnsi="arial" w:cs="arial"/>
          <w:color w:val="000000"/>
          <w:sz w:val="20"/>
          <w:lang w:val="en-US" w:eastAsia="en-US" w:bidi="ar-SA"/>
        </w:rPr>
        <w:t>, that the pub's duty of care was discharged once the intoxicated patron reached home safely. The court was referred to the same cases that were referred to me. In dismissing the pub's application for summary trial dismissal of the case, the court noted: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 A plaintiff who proves breach of both the duty and the standard of care must then prove causation - whether the breaches actually caused the injury, which would not have occurred "but for" the negligent conduct of the defendant.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[19] L.J.D. in effect submits that Ms. Boiselle's safe arrival home proves that the standard of care was complied with and/or proves that the chain of causation was broken. In my view, that ignores the highly fact-specific nature of both inquiries. The proposition that L.J.D. puts forward may well be one that properly applies in many, if not most, cases of this kind, but it cannot be treated as a principle of law that applies regardless of any additional facts that may arise in an individual case.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 ... It may also be open to a trial judge to find that her arrival home with an equally intoxicated person did not amount to a "safe" arrival within the meaning of the authorities and did not break the chain of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In my view, there is little logic to the bald proposition that a safe arrival home "breaks the chain of causation" or otherwise discharges the pub's duty of care. Ought it really matter whether the pub-induced intoxication triggers a fall while walking home as opposed to a fall once the drunken patron has successfully crossed the threshold into his house? Does it make any sense that liability can be imposed for alcohol-caused injury to third parties before arrival at home but not if same injury occurs after leaving the home a few minutes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The test for causation in tort is set out in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3"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77"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75" w:history="1">
        <w:r>
          <w:rPr>
            <w:rFonts w:ascii="arial" w:eastAsia="arial" w:hAnsi="arial" w:cs="arial"/>
            <w:i/>
            <w:color w:val="0077CC"/>
            <w:sz w:val="20"/>
            <w:u w:val="single"/>
            <w:shd w:val="clear" w:color="auto" w:fill="FFFFFF"/>
            <w:lang w:val="en-US" w:eastAsia="en-US" w:bidi="ar-SA"/>
          </w:rPr>
          <w:t>2005 SCC 58</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Clements v. Clements</w:t>
      </w:r>
      <w:r>
        <w:rPr>
          <w:rFonts w:ascii="arial" w:eastAsia="arial" w:hAnsi="arial" w:cs="arial"/>
          <w:color w:val="000000"/>
          <w:sz w:val="20"/>
          <w:lang w:val="en-US" w:eastAsia="en-US" w:bidi="ar-SA"/>
        </w:rPr>
        <w:t xml:space="preserve">, </w:t>
      </w:r>
      <w:hyperlink r:id="rId11" w:history="1">
        <w:r>
          <w:rPr>
            <w:rFonts w:ascii="arial" w:eastAsia="arial" w:hAnsi="arial" w:cs="arial"/>
            <w:i/>
            <w:color w:val="0077CC"/>
            <w:sz w:val="20"/>
            <w:u w:val="single"/>
            <w:shd w:val="clear" w:color="auto" w:fill="FFFFFF"/>
            <w:lang w:val="en-US" w:eastAsia="en-US" w:bidi="ar-SA"/>
          </w:rPr>
          <w:t>2012 SCC 32</w:t>
        </w:r>
      </w:hyperlink>
      <w:r>
        <w:rPr>
          <w:rFonts w:ascii="arial" w:eastAsia="arial" w:hAnsi="arial" w:cs="arial"/>
          <w:color w:val="000000"/>
          <w:sz w:val="20"/>
          <w:lang w:val="en-US" w:eastAsia="en-US" w:bidi="ar-SA"/>
        </w:rPr>
        <w:t xml:space="preserve">: causation is established when the plaintiff proves on a balance of probabilities that the defendant's tortious conduct caused or contributed to the plaintiff's injury. The general, but not necessarily conclusive, test for causation is the "but for" test, which requires the plaintiff to show that the injury would not have occurred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Causation is essentially a practical question of fact which can best be answered by ordinary common sense. And it is not necessary for the plaintiff to establish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w:t>
      </w:r>
      <w:r>
        <w:rPr>
          <w:rFonts w:ascii="arial" w:eastAsia="arial" w:hAnsi="arial" w:cs="arial"/>
          <w:color w:val="000000"/>
          <w:sz w:val="20"/>
          <w:u w:val="single"/>
          <w:lang w:val="en-US" w:eastAsia="en-US" w:bidi="ar-SA"/>
        </w:rPr>
        <w:t>sole</w:t>
      </w:r>
      <w:r>
        <w:rPr>
          <w:rFonts w:ascii="arial" w:eastAsia="arial" w:hAnsi="arial" w:cs="arial"/>
          <w:color w:val="000000"/>
          <w:sz w:val="20"/>
          <w:lang w:val="en-US" w:eastAsia="en-US" w:bidi="ar-SA"/>
        </w:rPr>
        <w:t xml:space="preserve"> cause of the injury ... as long as it is </w:t>
      </w:r>
      <w:r>
        <w:rPr>
          <w:rFonts w:ascii="arial" w:eastAsia="arial" w:hAnsi="arial" w:cs="arial"/>
          <w:color w:val="000000"/>
          <w:sz w:val="20"/>
          <w:u w:val="single"/>
          <w:lang w:val="en-US" w:eastAsia="en-US" w:bidi="ar-SA"/>
        </w:rPr>
        <w:t>part</w:t>
      </w:r>
      <w:r>
        <w:rPr>
          <w:rFonts w:ascii="arial" w:eastAsia="arial" w:hAnsi="arial" w:cs="arial"/>
          <w:color w:val="000000"/>
          <w:sz w:val="20"/>
          <w:lang w:val="en-US" w:eastAsia="en-US" w:bidi="ar-SA"/>
        </w:rPr>
        <w:t xml:space="preserve"> of the cause of an injury, the defendant is liable: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In the present case it would be artificial in the extreme to say that Rockwell's intoxication, which was caused at least in part by the excessive consumption of alcohol at the pub, was not a cause of the subsequent accident simply because he spent a few minutes at home before again venturing onto the road. I have found as a fact that the pub's breach of duty led to Rockwell being substantially impaired when he first left the pub and got into his vehicle. That intoxication still existed at the time of the accident, albeit increased by subsequent alcohol consumption, and hence it was clearly part of the cause of the accident and of the resulting injuries sustained by the plaintiff. Applying the causation principles referred to above, that is sufficient to found liability on the part of the pub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 recognize the argument that because of Rockwell's attendance at home, the pub's breach of duty might no longer have been a "proximate cause" of the accident or: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in other words, that the damage was not too remote from the factual cause. ... The remoteness inquiry assumes that but for the defendant's wrongful act, the plaintiff's loss would not have occurred, but places legal limits on the defendant's liability: </w:t>
      </w:r>
      <w:r>
        <w:rPr>
          <w:rFonts w:ascii="arial" w:eastAsia="arial" w:hAnsi="arial" w:cs="arial"/>
          <w:i/>
          <w:color w:val="000000"/>
          <w:sz w:val="20"/>
          <w:lang w:val="en-US" w:eastAsia="en-US" w:bidi="ar-SA"/>
        </w:rPr>
        <w:t>Hussack v. Chilliwack School District No. 33</w:t>
      </w:r>
      <w:r>
        <w:rPr>
          <w:rFonts w:ascii="arial" w:eastAsia="arial" w:hAnsi="arial" w:cs="arial"/>
          <w:color w:val="000000"/>
          <w:sz w:val="20"/>
          <w:lang w:val="en-US" w:eastAsia="en-US" w:bidi="ar-SA"/>
        </w:rPr>
        <w:t xml:space="preserve">, </w:t>
      </w:r>
      <w:hyperlink r:id="rId76" w:history="1">
        <w:r>
          <w:rPr>
            <w:rFonts w:ascii="arial" w:eastAsia="arial" w:hAnsi="arial" w:cs="arial"/>
            <w:i/>
            <w:color w:val="0077CC"/>
            <w:sz w:val="20"/>
            <w:u w:val="single"/>
            <w:shd w:val="clear" w:color="auto" w:fill="FFFFFF"/>
            <w:lang w:val="en-US" w:eastAsia="en-US" w:bidi="ar-SA"/>
          </w:rPr>
          <w:t>2011 BCCA 258</w:t>
        </w:r>
      </w:hyperlink>
      <w:r>
        <w:rPr>
          <w:rFonts w:ascii="arial" w:eastAsia="arial" w:hAnsi="arial" w:cs="arial"/>
          <w:color w:val="000000"/>
          <w:sz w:val="20"/>
          <w:lang w:val="en-US" w:eastAsia="en-US" w:bidi="ar-SA"/>
        </w:rPr>
        <w:t xml:space="preserve"> at para. 54.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It may well be that our Court of Appeal will determine, as a matter of general principle, that arriving safely home should limit (or eliminate) a pub's liability for damage thereafter caused to third parties by an intoxicated patron. Thus far at least, there is no authority to that effect that is binding upon me and I decline to make such a ruling in the circumstances of this particular case. In my view, delivery of the intoxicated patron into the hands of a sober and responsible person might arguably permit the elimination of otherwise indeterminable liability, but that did not occur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 hold that the pub is liable to the plaintiff. All that remains is to determine the degree of fault that should be apportioned to the pub so that issues of contribution and indemnity as between the pub and ICBC/Ridge can be determined.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Allocation of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I repeat the law respecting allocation of fault in tort cases summarized in </w:t>
      </w:r>
      <w:r>
        <w:rPr>
          <w:rFonts w:ascii="arial" w:eastAsia="arial" w:hAnsi="arial" w:cs="arial"/>
          <w:i/>
          <w:color w:val="000000"/>
          <w:sz w:val="20"/>
          <w:lang w:val="en-US" w:eastAsia="en-US" w:bidi="ar-SA"/>
        </w:rPr>
        <w:t>Matkin v. Hogg</w:t>
      </w:r>
      <w:r>
        <w:rPr>
          <w:rFonts w:ascii="arial" w:eastAsia="arial" w:hAnsi="arial" w:cs="arial"/>
          <w:color w:val="000000"/>
          <w:sz w:val="20"/>
          <w:lang w:val="en-US" w:eastAsia="en-US" w:bidi="ar-SA"/>
        </w:rPr>
        <w:t xml:space="preserve">, </w:t>
      </w:r>
      <w:hyperlink r:id="rId400" w:history="1">
        <w:r>
          <w:rPr>
            <w:rFonts w:ascii="arial" w:eastAsia="arial" w:hAnsi="arial" w:cs="arial"/>
            <w:i/>
            <w:color w:val="0077CC"/>
            <w:sz w:val="20"/>
            <w:u w:val="single"/>
            <w:shd w:val="clear" w:color="auto" w:fill="FFFFFF"/>
            <w:lang w:val="en-US" w:eastAsia="en-US" w:bidi="ar-SA"/>
          </w:rPr>
          <w:t>2015 BCSC 560</w:t>
        </w:r>
      </w:hyperlink>
      <w:r>
        <w:rPr>
          <w:rFonts w:ascii="arial" w:eastAsia="arial" w:hAnsi="arial" w:cs="arial"/>
          <w:color w:val="000000"/>
          <w:sz w:val="20"/>
          <w:lang w:val="en-US" w:eastAsia="en-US" w:bidi="ar-SA"/>
        </w:rPr>
        <w: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[65] Apportionment of liability under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is not based on assessing degrees of causation but rather assessing degrees of "fault". In this context, the concept of fault means "blameworthiness" and the task is to gauge the amount by which each party's conduct in causing the accident fell short of the standard of care required of that person in all the circumstances. This latter inquiry is informed by various factors, including the nature and magnitude of the departure from the required standard of care and the gravity of risk thereby created. (See </w:t>
      </w:r>
      <w:r>
        <w:rPr>
          <w:rFonts w:ascii="arial" w:eastAsia="arial" w:hAnsi="arial" w:cs="arial"/>
          <w:i/>
          <w:color w:val="000000"/>
          <w:sz w:val="20"/>
          <w:lang w:val="en-US" w:eastAsia="en-US" w:bidi="ar-SA"/>
        </w:rPr>
        <w:t>Cempel v. Harrison Hot Springs Hotel Ltd</w:t>
      </w:r>
      <w:r>
        <w:rPr>
          <w:rFonts w:ascii="arial" w:eastAsia="arial" w:hAnsi="arial" w:cs="arial"/>
          <w:color w:val="000000"/>
          <w:sz w:val="20"/>
          <w:lang w:val="en-US" w:eastAsia="en-US" w:bidi="ar-SA"/>
        </w:rPr>
        <w:t xml:space="preserve">. (1997), 100 BCSC 212, and the case law discussed in </w:t>
      </w:r>
      <w:r>
        <w:rPr>
          <w:rFonts w:ascii="arial" w:eastAsia="arial" w:hAnsi="arial" w:cs="arial"/>
          <w:i/>
          <w:color w:val="000000"/>
          <w:sz w:val="20"/>
          <w:lang w:val="en-US" w:eastAsia="en-US" w:bidi="ar-SA"/>
        </w:rPr>
        <w:t>Aberdeen v. Langley (Township)</w:t>
      </w:r>
      <w:r>
        <w:rPr>
          <w:rFonts w:ascii="arial" w:eastAsia="arial" w:hAnsi="arial" w:cs="arial"/>
          <w:color w:val="000000"/>
          <w:sz w:val="20"/>
          <w:lang w:val="en-US" w:eastAsia="en-US" w:bidi="ar-SA"/>
        </w:rPr>
        <w:t xml:space="preserve">, </w:t>
      </w:r>
      <w:hyperlink r:id="rId311" w:history="1">
        <w:r>
          <w:rPr>
            <w:rFonts w:ascii="arial" w:eastAsia="arial" w:hAnsi="arial" w:cs="arial"/>
            <w:i/>
            <w:color w:val="0077CC"/>
            <w:sz w:val="20"/>
            <w:u w:val="single"/>
            <w:shd w:val="clear" w:color="auto" w:fill="FFFFFF"/>
            <w:lang w:val="en-US" w:eastAsia="en-US" w:bidi="ar-SA"/>
          </w:rPr>
          <w:t>2007 BCSC 993</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[66] In the </w:t>
      </w:r>
      <w:r>
        <w:rPr>
          <w:rFonts w:ascii="arial" w:eastAsia="arial" w:hAnsi="arial" w:cs="arial"/>
          <w:i/>
          <w:color w:val="000000"/>
          <w:sz w:val="20"/>
          <w:lang w:val="en-US" w:eastAsia="en-US" w:bidi="ar-SA"/>
        </w:rPr>
        <w:t>Aberdeen</w:t>
      </w:r>
      <w:r>
        <w:rPr>
          <w:rFonts w:ascii="arial" w:eastAsia="arial" w:hAnsi="arial" w:cs="arial"/>
          <w:color w:val="000000"/>
          <w:sz w:val="20"/>
          <w:lang w:val="en-US" w:eastAsia="en-US" w:bidi="ar-SA"/>
        </w:rPr>
        <w:t xml:space="preserve"> case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the following discussion of fault apportionment appears: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[58] The B.C. Court of Appeal established in </w:t>
      </w:r>
      <w:r>
        <w:rPr>
          <w:rFonts w:ascii="arial" w:eastAsia="arial" w:hAnsi="arial" w:cs="arial"/>
          <w:i/>
          <w:color w:val="000000"/>
          <w:sz w:val="20"/>
          <w:lang w:val="en-US" w:eastAsia="en-US" w:bidi="ar-SA"/>
        </w:rPr>
        <w:t>Ottosen v. Kasper</w:t>
      </w:r>
      <w:r>
        <w:rPr>
          <w:rFonts w:ascii="arial" w:eastAsia="arial" w:hAnsi="arial" w:cs="arial"/>
          <w:color w:val="000000"/>
          <w:sz w:val="20"/>
          <w:lang w:val="en-US" w:eastAsia="en-US" w:bidi="ar-SA"/>
        </w:rPr>
        <w:t xml:space="preserve"> </w:t>
      </w:r>
      <w:hyperlink r:id="rId401" w:history="1">
        <w:r>
          <w:rPr>
            <w:rFonts w:ascii="arial" w:eastAsia="arial" w:hAnsi="arial" w:cs="arial"/>
            <w:i/>
            <w:color w:val="0077CC"/>
            <w:sz w:val="20"/>
            <w:u w:val="single"/>
            <w:shd w:val="clear" w:color="auto" w:fill="FFFFFF"/>
            <w:lang w:val="en-US" w:eastAsia="en-US" w:bidi="ar-SA"/>
          </w:rPr>
          <w:t>(1986), 37 C.C.L.T. 270</w:t>
        </w:r>
      </w:hyperlink>
      <w:r>
        <w:rPr>
          <w:rFonts w:ascii="arial" w:eastAsia="arial" w:hAnsi="arial" w:cs="arial"/>
          <w:color w:val="000000"/>
          <w:sz w:val="20"/>
          <w:lang w:val="en-US" w:eastAsia="en-US" w:bidi="ar-SA"/>
        </w:rPr>
        <w:t xml:space="preserve"> (B.C.C.A.) that the apportionment of fault under section 1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should be based on the weight of fault that should be attributed to each of the parties, not on the weight of causation. Lambert J.A. based this conclusion on the wording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which speaks of "fault," and equated fault with blameworthiness. This approach to apportionment was subsequently confirmed in </w:t>
      </w:r>
      <w:r>
        <w:rPr>
          <w:rFonts w:ascii="arial" w:eastAsia="arial" w:hAnsi="arial" w:cs="arial"/>
          <w:i/>
          <w:color w:val="000000"/>
          <w:sz w:val="20"/>
          <w:lang w:val="en-US" w:eastAsia="en-US" w:bidi="ar-SA"/>
        </w:rPr>
        <w:t>Cempel</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as follows at [para.] 19:</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requires that the apportionment must be made on the basis of "the degree to which each person was at fault". It does not say that the apportionment should be on the basis of the degree to which each person's fault caused the damage. So we are not assessing degrees of causation, we are assessing degrees of fault. In this context, "fault" means blameworthiness. So it is a gauge of the amount by which each proximate and effective causative agent fell short of the standard of care that was required of that person in all the circumstances.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[59] The relative blameworthiness approach is therefore quite clearly established as the appropriate approach to apportionment of damages in British Columbia.</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[60] Although assessing the relative blameworthiness of the parties is the correct approach, there is some difficulty in quantifying that concept. In this regard, the words of Lambert J.A. in </w:t>
      </w:r>
      <w:r>
        <w:rPr>
          <w:rFonts w:ascii="arial" w:eastAsia="arial" w:hAnsi="arial" w:cs="arial"/>
          <w:i/>
          <w:color w:val="000000"/>
          <w:sz w:val="20"/>
          <w:lang w:val="en-US" w:eastAsia="en-US" w:bidi="ar-SA"/>
        </w:rPr>
        <w:t>Cempel</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at [para.] 24 are instructive:</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In the apportionment of fault there must be an assessment of the degree of the risk created by each of the parties, including a consideration of the effect and potential effect of occurrences within the risk, and including any increment in the risk brought about by their conduct after the initial risk was created. The fault should then be apportioned on the basis of the nature and extent of the departure from the respective standards of care of each of the parties.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[61] Finch J.A. (as he then was) expanded upon the concept of relative fault in </w:t>
      </w:r>
      <w:r>
        <w:rPr>
          <w:rFonts w:ascii="arial" w:eastAsia="arial" w:hAnsi="arial" w:cs="arial"/>
          <w:i/>
          <w:color w:val="000000"/>
          <w:sz w:val="20"/>
          <w:lang w:val="en-US" w:eastAsia="en-US" w:bidi="ar-SA"/>
        </w:rPr>
        <w:t>Alberta Wheat Pool v. Northwest Pile Driving Ltd</w:t>
      </w:r>
      <w:r>
        <w:rPr>
          <w:rFonts w:ascii="arial" w:eastAsia="arial" w:hAnsi="arial" w:cs="arial"/>
          <w:color w:val="000000"/>
          <w:sz w:val="20"/>
          <w:lang w:val="en-US" w:eastAsia="en-US" w:bidi="ar-SA"/>
        </w:rPr>
        <w:t xml:space="preserve">. </w:t>
      </w:r>
      <w:hyperlink r:id="rId402" w:history="1">
        <w:r>
          <w:rPr>
            <w:rFonts w:ascii="arial" w:eastAsia="arial" w:hAnsi="arial" w:cs="arial"/>
            <w:i/>
            <w:color w:val="0077CC"/>
            <w:sz w:val="20"/>
            <w:u w:val="single"/>
            <w:shd w:val="clear" w:color="auto" w:fill="FFFFFF"/>
            <w:lang w:val="en-US" w:eastAsia="en-US" w:bidi="ar-SA"/>
          </w:rPr>
          <w:t>(2000), 80 B.C.L.R. (3d) 153</w:t>
        </w:r>
      </w:hyperlink>
      <w:r>
        <w:rPr>
          <w:rFonts w:ascii="arial" w:eastAsia="arial" w:hAnsi="arial" w:cs="arial"/>
          <w:color w:val="000000"/>
          <w:sz w:val="20"/>
          <w:lang w:val="en-US" w:eastAsia="en-US" w:bidi="ar-SA"/>
        </w:rPr>
        <w:t xml:space="preserve">, </w:t>
      </w:r>
      <w:hyperlink r:id="rId402" w:history="1">
        <w:r>
          <w:rPr>
            <w:rFonts w:ascii="arial" w:eastAsia="arial" w:hAnsi="arial" w:cs="arial"/>
            <w:i/>
            <w:color w:val="0077CC"/>
            <w:sz w:val="20"/>
            <w:u w:val="single"/>
            <w:shd w:val="clear" w:color="auto" w:fill="FFFFFF"/>
            <w:lang w:val="en-US" w:eastAsia="en-US" w:bidi="ar-SA"/>
          </w:rPr>
          <w:t>2000 BCCA 505</w:t>
        </w:r>
      </w:hyperlink>
      <w:r>
        <w:rPr>
          <w:rFonts w:ascii="arial" w:eastAsia="arial" w:hAnsi="arial" w:cs="arial"/>
          <w:color w:val="000000"/>
          <w:sz w:val="20"/>
          <w:lang w:val="en-US" w:eastAsia="en-US" w:bidi="ar-SA"/>
        </w:rPr>
        <w:t xml:space="preserve"> at [para.] 46 as follows: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Fault or blameworthiness evaluates the parties' conduct in the circumstances, and the extent or degree to which it may be said to depart from the standard of reasonable care. Fault may vary from extremely careless conduct, by which the party shows a reckless indifference or disregard for the safety of person or property, whether his own or others, down to a momentary or minor lapse of care in conduct which, nevertheless, carries with it the risk of foreseeable harm.</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[62] Thus, fault is to be determined by assessing the nature and extent of the departure from the standard of care of each of the parties. Relevant factors that courts have considered in assessing relative degrees of fault were summarized by the Alberta Court of Appeal in </w:t>
      </w:r>
      <w:r>
        <w:rPr>
          <w:rFonts w:ascii="arial" w:eastAsia="arial" w:hAnsi="arial" w:cs="arial"/>
          <w:i/>
          <w:color w:val="000000"/>
          <w:sz w:val="20"/>
          <w:lang w:val="en-US" w:eastAsia="en-US" w:bidi="ar-SA"/>
        </w:rPr>
        <w:t>Heller v. Martens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at [para.] 34 as follows:</w:t>
      </w:r>
    </w:p>
    <w:p>
      <w:pPr>
        <w:numPr>
          <w:numId w:val="8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of the duty owed by the tortfeasor to the injured person...</w:t>
      </w:r>
    </w:p>
    <w:p>
      <w:pPr>
        <w:numPr>
          <w:numId w:val="8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number of acts of fault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committed by a person at fault...</w:t>
      </w:r>
    </w:p>
    <w:p>
      <w:pPr>
        <w:numPr>
          <w:numId w:val="8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timing of the various negligent acts. For example, the party who first commits a negligent act will usually be more at fault than the party whose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comes as a result of the initial fault...</w:t>
      </w:r>
    </w:p>
    <w:p>
      <w:pPr>
        <w:numPr>
          <w:numId w:val="8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of the conduct held to amount to fault. For example, indifference to the results of the conduct may be more blameworthy... Similarly, a deliberate departure from safety rules may be more blameworthy than an imperfect reaction to a crisis...</w:t>
      </w:r>
    </w:p>
    <w:p>
      <w:pPr>
        <w:numPr>
          <w:numId w:val="8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to which the conduct breaches statutory requirements. For example, in a motor vehicle collision, the driver of the vehicle with the right of way may be less blameworthy...</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[Authorities omitted.]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[63] Many of the above-noted factors are discussed in Chiefetz, </w:t>
      </w:r>
      <w:r>
        <w:rPr>
          <w:rFonts w:ascii="arial" w:eastAsia="arial" w:hAnsi="arial" w:cs="arial"/>
          <w:i/>
          <w:color w:val="000000"/>
          <w:sz w:val="20"/>
          <w:lang w:val="en-US" w:eastAsia="en-US" w:bidi="ar-SA"/>
        </w:rPr>
        <w:t>Apportionment of Fault in Tort, supra</w:t>
      </w:r>
      <w:r>
        <w:rPr>
          <w:rFonts w:ascii="arial" w:eastAsia="arial" w:hAnsi="arial" w:cs="arial"/>
          <w:color w:val="000000"/>
          <w:sz w:val="20"/>
          <w:lang w:val="en-US" w:eastAsia="en-US" w:bidi="ar-SA"/>
        </w:rPr>
        <w:t>, at pp. 102-104. Considering that, I conclude it would be appropriate to add the following as relevant factors:</w:t>
      </w:r>
    </w:p>
    <w:p>
      <w:pPr>
        <w:numPr>
          <w:numId w:val="8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gravity of the risk created;</w:t>
      </w:r>
    </w:p>
    <w:p>
      <w:pPr>
        <w:numPr>
          <w:numId w:val="8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of the opportunity to avoid or prevent the accident or the damage;</w:t>
      </w:r>
    </w:p>
    <w:p>
      <w:pPr>
        <w:numPr>
          <w:numId w:val="8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conduct in question was deliberate, or unusual or unexpected; and</w:t>
      </w:r>
    </w:p>
    <w:p>
      <w:pPr>
        <w:numPr>
          <w:numId w:val="8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knowledge one person had or should have had of the conduct of another person at fault.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[64] These factors were applied, for example, in </w:t>
      </w:r>
      <w:r>
        <w:rPr>
          <w:rFonts w:ascii="arial" w:eastAsia="arial" w:hAnsi="arial" w:cs="arial"/>
          <w:i/>
          <w:color w:val="000000"/>
          <w:sz w:val="20"/>
          <w:lang w:val="en-US" w:eastAsia="en-US" w:bidi="ar-SA"/>
        </w:rPr>
        <w:t>Cempel</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 case where the plaintiff had climbed over a fence onto the defendant's private property to access a hot spring pool, and suffered severe burns as a consequence. In that case, the defendant had created a serious hazard with the pool of hot water, bore sole responsibility for maintaining the fence around the hot pool to prevent access, failed to post signs warning of that hazard, and knew that young persons often went to the pool at night.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[65] However, the fact that the fault results from an active versus a passive act of a party should not impact on the assessment of the degree of relative fault. Lambert J.A. observed in </w:t>
      </w:r>
      <w:r>
        <w:rPr>
          <w:rFonts w:ascii="arial" w:eastAsia="arial" w:hAnsi="arial" w:cs="arial"/>
          <w:i/>
          <w:color w:val="000000"/>
          <w:sz w:val="20"/>
          <w:lang w:val="en-US" w:eastAsia="en-US" w:bidi="ar-SA"/>
        </w:rPr>
        <w:t>Cempel</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at [para.] 23:</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I do not think that the fact that the fault on the part of the plaintiff was an active fault, whereas the fault on the part of the defendant was a passive fault, at least at the time of the incident itself, should form any basis in this case for attributing more of the fault to the plaintiff than to the defendant.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Liability was apportioned 60% to the defendant and 40% to the plaintiff, reversing the trial judge's apportionment of 25% and 75%, respectively.]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[66] Another important factor in assessing the relative degree of blameworthiness of the parties is the magnitude of the departure from the standard of care. For example, in </w:t>
      </w:r>
      <w:r>
        <w:rPr>
          <w:rFonts w:ascii="arial" w:eastAsia="arial" w:hAnsi="arial" w:cs="arial"/>
          <w:i/>
          <w:color w:val="000000"/>
          <w:sz w:val="20"/>
          <w:lang w:val="en-US" w:eastAsia="en-US" w:bidi="ar-SA"/>
        </w:rPr>
        <w:t>Alberta Wheat Pool</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the plaintiff's grain loading facility was destroyed by a fire caused by molten slag from the defendant's welding activities. The defendant was negligent in not thoroughly wetting the area in which welding was taking place. The plaintiff was contributorily negligent in having a fire protection system which did not meet recommended standards. On the issue of apportionment, Finch J.A. for a majority of the Court of Appeal found that both parties exhibited a substantial or significant departure from the standard of reasonable care expected of each. He noted at [para.] 55 that "[w]hile the fault of the two is different in kind, I do not see how one can justify a conclusion that their faults differ in degree." Thus, liability was apportioned equally pursuant to s. 1(2)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McEachern C.J.B.C. in dissent found the owner's fault to be higher: the owner's failure was considered and deliberate, while the contractor's fault was accidental and unexpected. The contractor had failed to water sufficiently, but it did not fail to water at all.</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[67] Thus, the key inquiry in assessing comparative blameworthiness is the relative degree by which each of the parties departed from the standard of care to be expected in all of the circumstances. This inquiry is informed by numerous factors, including the nature of the departure from that standard of care, its magnitude, and the gravity of the risk thereby created.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[67] The </w:t>
      </w:r>
      <w:r>
        <w:rPr>
          <w:rFonts w:ascii="arial" w:eastAsia="arial" w:hAnsi="arial" w:cs="arial"/>
          <w:i/>
          <w:color w:val="000000"/>
          <w:sz w:val="20"/>
          <w:lang w:val="en-US" w:eastAsia="en-US" w:bidi="ar-SA"/>
        </w:rPr>
        <w:t>Aberdeen</w:t>
      </w:r>
      <w:r>
        <w:rPr>
          <w:rFonts w:ascii="arial" w:eastAsia="arial" w:hAnsi="arial" w:cs="arial"/>
          <w:color w:val="000000"/>
          <w:sz w:val="20"/>
          <w:lang w:val="en-US" w:eastAsia="en-US" w:bidi="ar-SA"/>
        </w:rPr>
        <w:t xml:space="preserve"> trial decision was overturned on appeal with respect to the question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plaintiff and the issues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apportionment (in the event of a finding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were remitted for a re-trial: </w:t>
      </w:r>
      <w:r>
        <w:rPr>
          <w:rFonts w:ascii="arial" w:eastAsia="arial" w:hAnsi="arial" w:cs="arial"/>
          <w:i/>
          <w:color w:val="000000"/>
          <w:sz w:val="20"/>
          <w:lang w:val="en-US" w:eastAsia="en-US" w:bidi="ar-SA"/>
        </w:rPr>
        <w:t>Aberdeen v. Zanatta</w:t>
      </w:r>
      <w:r>
        <w:rPr>
          <w:rFonts w:ascii="arial" w:eastAsia="arial" w:hAnsi="arial" w:cs="arial"/>
          <w:color w:val="000000"/>
          <w:sz w:val="20"/>
          <w:lang w:val="en-US" w:eastAsia="en-US" w:bidi="ar-SA"/>
        </w:rPr>
        <w:t xml:space="preserve">, </w:t>
      </w:r>
      <w:hyperlink r:id="rId192" w:history="1">
        <w:r>
          <w:rPr>
            <w:rFonts w:ascii="arial" w:eastAsia="arial" w:hAnsi="arial" w:cs="arial"/>
            <w:i/>
            <w:color w:val="0077CC"/>
            <w:sz w:val="20"/>
            <w:u w:val="single"/>
            <w:shd w:val="clear" w:color="auto" w:fill="FFFFFF"/>
            <w:lang w:val="en-US" w:eastAsia="en-US" w:bidi="ar-SA"/>
          </w:rPr>
          <w:t>2008 BCCA 420</w:t>
        </w:r>
      </w:hyperlink>
      <w:r>
        <w:rPr>
          <w:rFonts w:ascii="arial" w:eastAsia="arial" w:hAnsi="arial" w:cs="arial"/>
          <w:color w:val="000000"/>
          <w:sz w:val="20"/>
          <w:lang w:val="en-US" w:eastAsia="en-US" w:bidi="ar-SA"/>
        </w:rPr>
        <w:t xml:space="preserve"> and </w:t>
      </w:r>
      <w:hyperlink r:id="rId403" w:history="1">
        <w:r>
          <w:rPr>
            <w:rFonts w:ascii="arial" w:eastAsia="arial" w:hAnsi="arial" w:cs="arial"/>
            <w:i/>
            <w:color w:val="0077CC"/>
            <w:sz w:val="20"/>
            <w:u w:val="single"/>
            <w:shd w:val="clear" w:color="auto" w:fill="FFFFFF"/>
            <w:lang w:val="en-US" w:eastAsia="en-US" w:bidi="ar-SA"/>
          </w:rPr>
          <w:t>2009 BCCA 160</w:t>
        </w:r>
      </w:hyperlink>
      <w:r>
        <w:rPr>
          <w:rFonts w:ascii="arial" w:eastAsia="arial" w:hAnsi="arial" w:cs="arial"/>
          <w:color w:val="000000"/>
          <w:sz w:val="20"/>
          <w:lang w:val="en-US" w:eastAsia="en-US" w:bidi="ar-SA"/>
        </w:rPr>
        <w:t>. However, the exposition of law in the trial decision has been cited in many subsequent cases and the list of "</w:t>
      </w:r>
      <w:r>
        <w:rPr>
          <w:rFonts w:ascii="arial" w:eastAsia="arial" w:hAnsi="arial" w:cs="arial"/>
          <w:i/>
          <w:color w:val="000000"/>
          <w:sz w:val="20"/>
          <w:lang w:val="en-US" w:eastAsia="en-US" w:bidi="ar-SA"/>
        </w:rPr>
        <w:t>Aberdeen</w:t>
      </w:r>
      <w:r>
        <w:rPr>
          <w:rFonts w:ascii="arial" w:eastAsia="arial" w:hAnsi="arial" w:cs="arial"/>
          <w:color w:val="000000"/>
          <w:sz w:val="20"/>
          <w:lang w:val="en-US" w:eastAsia="en-US" w:bidi="ar-SA"/>
        </w:rPr>
        <w:t xml:space="preserve"> factors" for assessing relative degrees of fault have attracted widespread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 apportionment of fault by the courts as between intoxicated patrons and commercial hosts varies in the case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Holton v. MacKinnon et al</w:t>
      </w:r>
      <w:r>
        <w:rPr>
          <w:rFonts w:ascii="arial" w:eastAsia="arial" w:hAnsi="arial" w:cs="arial"/>
          <w:color w:val="000000"/>
          <w:sz w:val="20"/>
          <w:lang w:val="en-US" w:eastAsia="en-US" w:bidi="ar-SA"/>
        </w:rPr>
        <w:t xml:space="preserve">, </w:t>
      </w:r>
      <w:hyperlink r:id="rId404" w:history="1">
        <w:r>
          <w:rPr>
            <w:rFonts w:ascii="arial" w:eastAsia="arial" w:hAnsi="arial" w:cs="arial"/>
            <w:i/>
            <w:color w:val="0077CC"/>
            <w:sz w:val="20"/>
            <w:u w:val="single"/>
            <w:shd w:val="clear" w:color="auto" w:fill="FFFFFF"/>
            <w:lang w:val="en-US" w:eastAsia="en-US" w:bidi="ar-SA"/>
          </w:rPr>
          <w:t>2005 BCSC 41</w:t>
        </w:r>
      </w:hyperlink>
      <w:r>
        <w:rPr>
          <w:rFonts w:ascii="arial" w:eastAsia="arial" w:hAnsi="arial" w:cs="arial"/>
          <w:color w:val="000000"/>
          <w:sz w:val="20"/>
          <w:lang w:val="en-US" w:eastAsia="en-US" w:bidi="ar-SA"/>
        </w:rPr>
        <w:t xml:space="preserve">, the court allocated the aggregate amount of 30% fault against the two pubs who had contributed to the intoxication. In </w:t>
      </w:r>
      <w:r>
        <w:rPr>
          <w:rFonts w:ascii="arial" w:eastAsia="arial" w:hAnsi="arial" w:cs="arial"/>
          <w:i/>
          <w:color w:val="000000"/>
          <w:sz w:val="20"/>
          <w:lang w:val="en-US" w:eastAsia="en-US" w:bidi="ar-SA"/>
        </w:rPr>
        <w:t>Neufeld v. Foster</w:t>
      </w:r>
      <w:r>
        <w:rPr>
          <w:rFonts w:ascii="arial" w:eastAsia="arial" w:hAnsi="arial" w:cs="arial"/>
          <w:color w:val="000000"/>
          <w:sz w:val="20"/>
          <w:lang w:val="en-US" w:eastAsia="en-US" w:bidi="ar-SA"/>
        </w:rPr>
        <w:t xml:space="preserve">, </w:t>
      </w:r>
      <w:hyperlink r:id="rId405" w:history="1">
        <w:r>
          <w:rPr>
            <w:rFonts w:ascii="arial" w:eastAsia="arial" w:hAnsi="arial" w:cs="arial"/>
            <w:i/>
            <w:color w:val="0077CC"/>
            <w:sz w:val="20"/>
            <w:u w:val="single"/>
            <w:shd w:val="clear" w:color="auto" w:fill="FFFFFF"/>
            <w:lang w:val="en-US" w:eastAsia="en-US" w:bidi="ar-SA"/>
          </w:rPr>
          <w:t>[1999] B.C.J. No. 764</w:t>
        </w:r>
      </w:hyperlink>
      <w:r>
        <w:rPr>
          <w:rFonts w:ascii="arial" w:eastAsia="arial" w:hAnsi="arial" w:cs="arial"/>
          <w:color w:val="000000"/>
          <w:sz w:val="20"/>
          <w:lang w:val="en-US" w:eastAsia="en-US" w:bidi="ar-SA"/>
        </w:rPr>
        <w:t xml:space="preserve"> (S.C.), 20% fault was allocated to the pub. In </w:t>
      </w:r>
      <w:r>
        <w:rPr>
          <w:rFonts w:ascii="arial" w:eastAsia="arial" w:hAnsi="arial" w:cs="arial"/>
          <w:i/>
          <w:color w:val="000000"/>
          <w:sz w:val="20"/>
          <w:lang w:val="en-US" w:eastAsia="en-US" w:bidi="ar-SA"/>
        </w:rPr>
        <w:t>McIntyre v. Grigg</w:t>
      </w:r>
      <w:r>
        <w:rPr>
          <w:rFonts w:ascii="arial" w:eastAsia="arial" w:hAnsi="arial" w:cs="arial"/>
          <w:color w:val="000000"/>
          <w:sz w:val="20"/>
          <w:lang w:val="en-US" w:eastAsia="en-US" w:bidi="ar-SA"/>
        </w:rPr>
        <w:t xml:space="preserve"> </w:t>
      </w:r>
      <w:hyperlink r:id="rId395" w:history="1">
        <w:r>
          <w:rPr>
            <w:rFonts w:ascii="arial" w:eastAsia="arial" w:hAnsi="arial" w:cs="arial"/>
            <w:i/>
            <w:color w:val="0077CC"/>
            <w:sz w:val="20"/>
            <w:u w:val="single"/>
            <w:shd w:val="clear" w:color="auto" w:fill="FFFFFF"/>
            <w:lang w:val="en-US" w:eastAsia="en-US" w:bidi="ar-SA"/>
          </w:rPr>
          <w:t>(2006), 83 O.R. (3d) 161</w:t>
        </w:r>
      </w:hyperlink>
      <w:r>
        <w:rPr>
          <w:rFonts w:ascii="arial" w:eastAsia="arial" w:hAnsi="arial" w:cs="arial"/>
          <w:color w:val="000000"/>
          <w:sz w:val="20"/>
          <w:lang w:val="en-US" w:eastAsia="en-US" w:bidi="ar-SA"/>
        </w:rPr>
        <w:t xml:space="preserve"> (C.A.), a jury allocation of 30% fault to the pub was affirmed on appeal. In </w:t>
      </w:r>
      <w:r>
        <w:rPr>
          <w:rFonts w:ascii="arial" w:eastAsia="arial" w:hAnsi="arial" w:cs="arial"/>
          <w:i/>
          <w:color w:val="000000"/>
          <w:sz w:val="20"/>
          <w:lang w:val="en-US" w:eastAsia="en-US" w:bidi="ar-SA"/>
        </w:rPr>
        <w:t>Laface v. McWilliams et al.</w:t>
      </w:r>
      <w:r>
        <w:rPr>
          <w:rFonts w:ascii="arial" w:eastAsia="arial" w:hAnsi="arial" w:cs="arial"/>
          <w:color w:val="000000"/>
          <w:sz w:val="20"/>
          <w:lang w:val="en-US" w:eastAsia="en-US" w:bidi="ar-SA"/>
        </w:rPr>
        <w:t xml:space="preserve">, </w:t>
      </w:r>
      <w:hyperlink r:id="rId406" w:history="1">
        <w:r>
          <w:rPr>
            <w:rFonts w:ascii="arial" w:eastAsia="arial" w:hAnsi="arial" w:cs="arial"/>
            <w:i/>
            <w:color w:val="0077CC"/>
            <w:sz w:val="20"/>
            <w:u w:val="single"/>
            <w:shd w:val="clear" w:color="auto" w:fill="FFFFFF"/>
            <w:lang w:val="en-US" w:eastAsia="en-US" w:bidi="ar-SA"/>
          </w:rPr>
          <w:t>2005 BCSC 291</w:t>
        </w:r>
      </w:hyperlink>
      <w:r>
        <w:rPr>
          <w:rFonts w:ascii="arial" w:eastAsia="arial" w:hAnsi="arial" w:cs="arial"/>
          <w:color w:val="000000"/>
          <w:sz w:val="20"/>
          <w:lang w:val="en-US" w:eastAsia="en-US" w:bidi="ar-SA"/>
        </w:rPr>
        <w:t>, fault was allocated 50/50 between the drunk driver and the pub responsible for his intoxication.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Each case will, of course, turn upon its own facts. However, as a matter of general principle, it seems to me that the responsibility for damages in commercial host cases should lie primarily with the drunk driver and particularly so where, as here, the driver's conduct is completely inexcusable and resulted in reckless endangerment of the public. Such deliberate misconduct is much more blameworthy than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simpliciter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In this case, the pub was clearly negligent but there is no proof of any deliberate disregard of its obligations. Mistakes can happen when the establishment is understaffed or is particularly busy. This does not excuse the pub from liability but in appropriate circumstances can rightly attract a lesser degree of blameworthiness and particularly so where, as here, the patron recklessly compounded the risk by consuming more alcohol following his departure from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In the circumstances, a fair allocation of fault as between Rockwell and the pub in this case would be 75% and 25% respectively.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 and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While contributory fault on the part of the plaintiff is alleged in the pleadings, the parties have all agreed no such fault exists on the facts. Both Rockwell/Ridge and Cambie Malone's are therefore jointly and severally liable to the plaintiff for the accident and the resulting injuries. As between the two of them, for the purposes of contribution and indemnity, fault is allocated 75% to Rockwell/Ridge and 25% to Cambie Malone's. The claims against the other defendants and third parties are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Costs will follow the event unless there are matters that should be brought to my attention that might lead to a different result. If so, the parties are at liberty to make further submissions within 30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N.P. KENT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84" style="position:absolute;z-index:25177292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07"/>
          <w:headerReference w:type="default" r:id="rId408"/>
          <w:footerReference w:type="even" r:id="rId409"/>
          <w:footerReference w:type="default" r:id="rId410"/>
          <w:headerReference w:type="first" r:id="rId411"/>
          <w:footerReference w:type="first" r:id="rId41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13" w:history="1">
        <w:r>
          <w:rPr>
            <w:rFonts w:ascii="arial" w:eastAsia="arial" w:hAnsi="arial" w:cs="arial"/>
            <w:b/>
            <w:bCs/>
            <w:i/>
            <w:color w:val="0077CC"/>
            <w:kern w:val="32"/>
            <w:sz w:val="28"/>
            <w:szCs w:val="32"/>
            <w:u w:val="single"/>
            <w:shd w:val="clear" w:color="auto" w:fill="FFFFFF"/>
            <w:lang w:val="en-US" w:eastAsia="en-US" w:bidi="ar-SA"/>
          </w:rPr>
          <w:t>Riley v. Ritsco, [2017] B.C.J. No. 1070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T.W. Bowden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6-10,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5,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M155797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[2017] B.C.J. No. 1070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2017 BCSC 925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Leo John Riley, Plaintiff, and Paul Ritsco and Carol Ann Tones, Defendants, and Insurance Corporation of British Columbia, Third Party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85" style="position:absolute;z-index:2516715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83" w:name="Keywords_12"/>
      <w:bookmarkEnd w:id="83"/>
      <w:r>
        <w:rPr>
          <w:rFonts w:ascii="arial" w:eastAsia="arial" w:hAnsi="arial" w:cs="arial"/>
          <w:b/>
          <w:color w:val="000000"/>
          <w:sz w:val="20"/>
          <w:lang w:val="en-US" w:eastAsia="en-US" w:bidi="ar-SA"/>
        </w:rPr>
        <w:t>Damages — Types of damages — For personal injuries — Cost of future care — Loss of earning capacity — Special damages — Past loss of income — Non-pecuniary loss — Pain and suffering — Action for damages for personal injuries suffered in a 2011 motor vehicle accident allowed in part — Plaintiff, then 62, suffered soft tissue injuries to neck, shoulder and back in motor vehicle accident — Plaintiff unable to work as millwright for 14 months and sustained permanent partial disability in accident — Plaintiff awarded $65,000 in non-pecuniary damages, $79,511 for past loss of income and special damages of $8,698 — Claims for loss of earning capacity and future care costs not made out.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 — Rules of the road — Action for damages for personal injuries suffered in a 2011 motor vehicle accident allowed in part — Plaintiff was a passenger in Tones' vehicle — Tones collided with Ritsco's vehicle at an intersection and Ritsco made a left-hand turn — Ritsco solely liable for accident — Tones' vehicle constituted an immediate hazard to Ritsco's vehicle and Ritsco was required to yield the right of way to her.</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84" w:name="Case Summary_12"/>
            <w:bookmarkEnd w:id="8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for damages for personal injuries suffered in a 2011 motor vehicle accident. The defendant Tomes collided at an intersection with a vehicle driven by the defendant Ritsco as Ritsco was making a left hand turn. The plaintiff was a passenger in Tones' vehicle. The plaintiff was 62 at the time of the accident and worked as a millwright. The plaintiff claimed that after the accident he experienced headaches and pain in his shoulder and lower back. As a result of his injuries, the plaintiff did not work from October 2011 to November 2012, when he worked on a trial basis for two weeks. He returned to full time work in May 2013. The plaintiff voluntarily retired from his employment in February 2016.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85" w:name="Holdings of Court_12"/>
            <w:bookmarkEnd w:id="85"/>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 was awarded damages totaling $153,209. The defendant Ritsco was 100 per cent liable for the accident. The Tones' vehicle constituted an immediate hazard to Ritsco's vehicle and Ritsco was required to yield the right of way to her. He was negligent in failing to do so. Tones was unable to avoid the collision with Ritsco's vehicle. The court accepted that the plaintiff was totally disabled from work for about 14 months and would likely continue to experience some pain in the areas of his body where he was injured for the remainder of his life. He was suffering a permanent partial disability as a result of the accident. His injuries had negatively affected his ability to work as a millwright as well as a number of his recreational activities. The plaintiff was awarded $65,000 in non-pecuniary damages. The total past income loss was $79,511. The plaintiff was not entitled to loss of earning capacity as he did not establish that his decision to retire was because of the injuries that he sustained in the accident. The evidence did not establish that the plaintiff was entitled to any amount for the cost of future care. The plaintiff was entitled to an award of $8,698 for special damages.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86" w:name="Legislation Cited_5"/>
      <w:bookmarkEnd w:id="8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86" style="position:absolute;z-index:2517227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Motor Vehicle Act, </w:t>
      </w:r>
      <w:hyperlink r:id="rId414" w:history="1">
        <w:r>
          <w:rPr>
            <w:rFonts w:ascii="arial" w:eastAsia="arial" w:hAnsi="arial" w:cs="arial"/>
            <w:i/>
            <w:color w:val="0077CC"/>
            <w:sz w:val="20"/>
            <w:u w:val="single"/>
            <w:shd w:val="clear" w:color="auto" w:fill="FFFFFF"/>
            <w:lang w:val="en-US" w:eastAsia="en-US" w:bidi="ar-SA"/>
          </w:rPr>
          <w:t>R.S.B.C. 1996 c. 318, s. 127</w:t>
        </w:r>
      </w:hyperlink>
      <w:r>
        <w:rPr>
          <w:rFonts w:ascii="arial" w:eastAsia="arial" w:hAnsi="arial" w:cs="arial"/>
          <w:color w:val="000000"/>
          <w:sz w:val="20"/>
          <w:lang w:val="en-US" w:eastAsia="en-US" w:bidi="ar-SA"/>
        </w:rPr>
        <w:t>(1)(a), s. 174</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87" w:name="Counsel_12"/>
      <w:bookmarkEnd w:id="87"/>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87" style="position:absolute;z-index:2517739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B. Findlay, M. Sandor.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Appearing on his own behalf: Paul Ritsco.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Carol Ann Tones: K. Chiarot.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Third Party: K. McKey.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88" w:name="Judgment_12"/>
      <w:bookmarkEnd w:id="88"/>
      <w:r>
        <w:pict>
          <v:line id="_x0000_s1088" style="position:absolute;z-index:25182412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89" w:name="T.W. BOWDEN J."/>
            <w:bookmarkEnd w:id="89"/>
            <w:r>
              <w:rPr>
                <w:rFonts w:ascii="arial" w:eastAsia="arial" w:hAnsi="arial" w:cs="arial"/>
                <w:b/>
                <w:color w:val="000000"/>
                <w:sz w:val="30"/>
                <w:lang w:val="en-US" w:eastAsia="en-US" w:bidi="ar-SA"/>
              </w:rPr>
              <w:t>T.W. BOWDEN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is seeking damages in relation to injuries that he sustained in a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quantum of damages and apportionment of liability between the defendants are both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At about 7:30 p.m. on October 28, 2011, at the intersection of Lougheed Highway and 216th Street in Maple Ridge, British Columbia, a vehicle driven by the defendant, Ms. Tones, collided with a vehicle driven by the defendant, Mr. Ritsco. The plaintiff was a passenger in Ms. Tones'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Prior to the collision, Ms. Tones' vehicle was travelling eastbound on Lougheed Highway. She testified that, approaching the intersection at 216th Street, the speed of her vehicle was between 60 and 70 km/h. Her passenger, the plaintiff, testified that she was travelling between 70 and 80 km/h. He said that was the typical speed of the traffic on that part of the Highway even though the posted speed limit is 60 kph. I accept the evidence of Mr. Riley and find that Ms. Tones' vehicle was travelling at a speed that was between 70 and 80 km/h.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Ritsco testified that he was travelling westbound on the Lougheed Highway and entered the left turn lane intending to turn south onto 216th Street. He said that the traffic light was green and he was travelling about 20 kph when he initiated a left turn. He had seen the headlights of two cars travelling eastbound towards him but believed that he had enough time to complete a left turn. He said that he was in the middle of his turn when an oncoming car hit his and there was nothing that he could do to avoid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Ritsco testified that before the collision he had been at a casino where he said he consumed two bottles of beer. He then had lunch but no alcoholic beverages and was on his way home when the accident occurred. He was taken to the hospital because he complained of a sore neck. A sample of his blood was taken at the hospital and a police officer issued him a license suspension. The results of the blood test were not admitted into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cross-examination, Ms. Tones said that she saw the other vehicle enter the left turn lane when she was about 100 feet away from it. She says that when the other vehicle initiated a left turn she was couple of car lengths away and assumed that it would stop. She said that she then applied the brakes of her vehicle but could not avoid hitting the other vehicle. It does not appear that she slowed down as she approached the intersection after seeing the other vehicle in the left turn lane. The front right of her vehicle collided with the rear passenger door of Mr. Ritsco's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Both front airbags of Ms. Tones' vehicle deployed. She described the plaintiff as slumping and appearing to be unconscious for a short period of time. She was not injured and exited her vehicle. The plaintiff left the vehicle shortly thereafter. It is not clear whether he needed assistance to exit the vehicle. Ms. Tones said that the plaintiff appeared confused about how the accident had occurred and was bleeding from his lip. Emergency services arrived at the scene and determined that he did not require any medical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Ritsco exited his vehicle to see if anyone was injured and had a brief conversation with Ms. Tones. She said that she smelled alcohol on his breath and informed the authorities who had arrived at the scene.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 and Ms. Tones were picked up by friends and taken to their home before returning to their respective residences.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Plaintiff's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 was born on May 5, 1949. At the time of trial he was 67 years of age. At the time of the accident he was 62. He was divorced nineteen years ago and has two children and two grandchildren.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He graduated from high school in 1966. Since then he has been qualified in various trades including millwrighting, heavy duty mechanics, gas and propane fitting and as a locksmith.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After being employed as a millwright with various companies in B.C. he became a millwright for School District 42 in Maple Ridge in 1991. He was employed there when the accident occurred and retired on February 26, 2016, about 4 years and 4 months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He resides on his own at a mobile home co-operative in Pitt Meadows.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Plaintiff's Pre-Accident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 testified that before the accident he was in good condition and had no health concerns.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He injured his left knee in 2010 while working and also had an operation on his right hand in that year to relieve a condition known as Dupuytren's. He has not suffered any lasting effects from the knee injury nor the operation on his hand except some slight tingling in a finger on that hand.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Prior to the accident, the plaintiff testified that he participated in a number of amateur sports including racquetball, tennis, swimming, golf and darts. He said that he would golf two or three times a week and usually scored in the eighties. He said that he played racquetball once a week and occasionally twice and described himself as a good player.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He played in a darts league in Maple Ridge and continued playing darts in that league after the accident and until 2014. He would play two or three times a week. He generally played darts at a Canadian Legion or a bar.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the two or three years before the accident the plaintiff said that he would swim to keep in good physical condition. There is a forty foot swimming pool at the mobile home co-op where he lives and he said that he would swim about 100 lengths two or three times a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Before the accident, the plaintiff said that he also jogged once or twice a month for about 1.5 kilometers.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plaintiff described himself as "quite social" before the accident. He spent time socially with groups of friends who would get together each week at the Legion to play darts. He mentioned that he had spent the evening with one such group during the trial to watch the Superbowl.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Prior to the accident the plaintiff says that he kept his trailer clean. About 6 or 8 months before the accident he started some remodeling of his trailer but has not finished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His duties as a millwright included the maintenance of shop equipment such as lathes, planers and joiners. He said that the physical demands of his work varied with the nature of the work that he did. He described his job with the school district as a premium job for a millwright in contrast to work as a millwright in heavy industry. Surprisingly, he said that he could work for weeks on end without getting his hands dirty.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He testified that before the accident he did not have any limitations in performing his job with the school district. He said that he enjoyed his job immensely and it was an important part of his lifestyle. He said that he did not have any plans to retire and indeed said he never thought about retirement except when he attended a few retirement seminars. At those seminars, he learned that his pension would not be enough to support the standard of living that he desired. He testified that his goal was to work until he was 71 or 72 at which time his pension would be maximized.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Plaintiff's Post - Accident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After the accident, the plaintiff's condition was checked at the scene by a firefighter. Other than a cut on his lip, he was told that he was okay. He was picked up at the scene by friends and went to their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day after the accident the plaintiff went to a medical clinic in Pitt Meadows. He testified that he was experiencing a headache, sore next and pain in his upper and lower back, and his left shoulder. He says that he had not slept well after the accident. He was prescribed some pain medication including Tylenol 3's and returned to his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He underwent physiotherapy two or three times a week until May 2013. He also had massage therapy about once a week until February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He was referred for a cat scan, x-rays and MRI but no acute abnormalities were found. Some mild arthritis was found in his left shoulder and mild degenerative changes were found in his neck. The MRI of his right shoulder showed a subtle abnormality suggestive of a posterior superior labral tear. He was also diagnosed with adhesive capsulitis in his left shoulder.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plaintiff testified that his condition after the accident led somewhat to a curtailment of his social life although he continued playing darts because he did not want to let his dart team down. He still swims once a week. He returned to play golf by July 2013 but says that he does not play as well since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plaintiff's witnesses tended to confirm his evidence that his activity level has declined since the accident. His witness also noted that he appeared to be experiencing pain in his neck and shoulders from time to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He testified that he experiences headaches every day and takes Tylenol 3 when necessary. He says that his upper back and neck continue to bother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He testified that he was not able to do house cleaning as he had before the accident. It was pointed out however that in his examination for discovery he said that after the accident he had no limitations in relation to cooking or cleaning his home and doing yard maintenance. In light of the medical evidence I find that his answer at his examination for discovery is more accurate than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As a result of his injuries the parties agree that the plaintiff did not work from October 31, 2011 through to November 19, 2012, when he worked on a trial basis for two weeks. On January 7, 2013, the plaintiff commenced a gradual return to work program and worked three days per week, four hours per day for a total of 12 hours per week. His working hours increased to 20 hours per week on April 1, 2013 and then to 30 hours per week on April 22, 2013. He returned to full time work at 40 hours per week on May 6,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From the date of the accident until May 6, 2013, the plaintiff's gross wage loss totaled $84,351.28. From October 31, 2011 until February 24, 2012, the plaintiff used 85 of his paid sick days for which he was paid $19,536.40. On February 26, 2012, the plaintiff began receiving long-term disability benefits from Desjardin Financial Security. Such benefits totaled $32,956.82 which he is contractually obliged to repay from any proceeds received as a result of this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While the plaintiff was receiving long term disability benefits, his employer did not contribute to his pension which would otherwise have been 9.4% of his earnings during that period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parties have agreed that a 15% deduction for income tax is appropriate in respect of the amount of his past wage loss but there is disagreement as to whether such a deduction should be made in respect to his sick leave and disability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maintenance manager for the plaintiff's employer, James Pasquill, testified. He described the plaintiff as a conscientious employee and said that he had no concerns about his performance. He noted that after he returned to work on a full time basis he had some difficulties with work requiring him to do things above his head and lifting heavy objects. He often needed someone to help him with heavier lifting jobs. He was of the view that the plaintiff was less effective at his job than before the accident. He never discussed accommodations that could have been made for the plaintiff at work because he needed a full-time millwright. One of the two millwright positions had been eliminated for budget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Pasquill said that the plaintiff never requested any change in his duties. He said that while someone could assist him with his duties they could not be assigned to someone else. Nevertheless, he said that he would have allowed the plaintiff to continue working as long as he wanted. He never saw any need for the plaintiff to retire or stop working.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manager of human resources with the plaintiff's employer, Angela Chung, testified. She knew of the plaintiff and was aware that he had been in a motor vehicle accident. She said that under the collective agreement in place between the employer and employees like the plaintiff, the employer had a duty to accommodate the plaintiff because of his injuries. She was not asked by the plaintiff or anyone else if any accommodations could be made for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plaintiff voluntarily retired from his employment on February 26,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Expert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An expert medical report by Dr. Mark Adrian, a specialist in physical medicine and rehabilitation, was tendered and marked as Exhibit 2 in these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summary, Dr. Adrian opined as follows:</w:t>
      </w:r>
      <w:r>
        <w:rPr>
          <w:rFonts w:ascii="arial" w:eastAsia="arial" w:hAnsi="arial" w:cs="arial"/>
          <w:sz w:val="20"/>
          <w:lang w:val="en-US" w:eastAsia="en-US" w:bidi="ar-SA"/>
        </w:rPr>
        <w:cr/>
      </w:r>
    </w:p>
    <w:p>
      <w:pPr>
        <w:numPr>
          <w:numId w:val="10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mechanical neck, mid and lower back pain experienced by the plaintiff are consistent with suffering an injury to the spinal tissue and are causally related to the motor vehicle accident.</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headaches experienced by the plaintiff are triggered by neck pain and related to his neck injury.</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left shoulder pain symptoms are causally related to the accident.</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left knee pain symptoms are causally related to the accident.</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the plaintiff experiences psychological and cognitive symptoms, Dr. Adrian deferred to specialists in psychiatry to comment on the nature of those symptoms.</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several years have passed since the accident, the prognosis for further recovery from the injuries suffered in the accident into the future is poor.</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will probably continue to experience difficulty performing activities that place physical forces onto his neck, back, left shoulder and left knee. He will probably continue to experience difficulty performing employment, recreational and household activities involving prolonged sitting, standing or walking, awkward spinal positioning, heavy or repetitive lifting, stooping, repetitive neck motion, repetitive reaching, climbing or jarring activities.</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physical limitations are unlikely to improve into the future and he is permanently partially disabled due to injuries suffered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plaintiff has undergone a variety of treatments for his injuries following the accident including 134 physiotherapy treatments, 64 massages, acupuncture and chiropractic treatments. This has given him some relief but the pain symptoms referred to by Dr. Adrian continue.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There is no expert evidence that the plaintiff suffered a concussion.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issue is the allocation of liability between Ms. Tones and Mr. Ritsco.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 Ritsco testified that as he approached the intersection of Lougheed Highway and 216th Street he saw other vehicles approaching from the opposite direction about a quarter of a block away. He said that he entered the dedicated left turn lane travelling about 40 km/h and kept moving because the light was green. As he entered the intersection he said that he slowed to about 20 km/h. He did not come to a full stop but continued into a left hand turn when the other vehicle collided with his. He said he was unable to do anything to avoid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Ms. Tones testified that immediately before the collision her vehicle was approaching the intersection at a speed of 60 to 70 km/h. As indicated, I have accepted Mr. Riley's evidence that she was travelling between 70 and 80 km/h as she approached the intersection. While that is greater than the posted speed the evidence is that that is the speed at which vehicles at that location generally travel. It was nighttime and there was drizzly rain. About 100 feet away she noticed the other vehicle in the dedicated left turn lane but noted that the traffic light was green for her direction of travel.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Ms. Tones estimated that she was about 15 feet from the intersection when Mr. Ritsco's vehicle turned in front of her vehicle. She then slammed on her brakes. She said there was nothing else she could do to avoid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Section 174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provides:</w:t>
      </w:r>
      <w:r>
        <w:rPr>
          <w:rFonts w:ascii="arial" w:eastAsia="arial" w:hAnsi="arial" w:cs="arial"/>
          <w:sz w:val="20"/>
          <w:lang w:val="en-US" w:eastAsia="en-US" w:bidi="ar-SA"/>
        </w:rPr>
        <w:cr/>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a vehicle is in an intersection and its driver intends to turn left, the driver must yield the right of way to traffic approaching from the opposite direction that is in the intersection or so close as to constitute an immediate hazard, but having yielded and given a signal as required by sections 171 and 172, the driver may turn the vehicle to the left, and traffic approaching the intersection from the opposite direction must yield the right of way to the vehicle making the left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Section 127(1)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127(1) When a green light alone is exhibited at an intersection by a traffic control signal,</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driver of a vehicle facing the green light</w:t>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may cause the vehicle to proceed straight through the intersection, or to turn left or right, subject to a sign or signal prohibiting a left or right turn, or both, or designating the turning movement permitted,</w:t>
      </w:r>
    </w:p>
    <w:p>
      <w:pPr>
        <w:numPr>
          <w:numId w:val="1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must yield the right of way to pedestrians lawfully in the intersection or in an adjacent crosswalk at the time the green light is exhibited, and</w:t>
      </w:r>
    </w:p>
    <w:p>
      <w:pPr>
        <w:numPr>
          <w:numId w:val="1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must yield the right of way to vehicles lawfully in the intersection at the time the green light became exhibited.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Pacheco (Guardian ad litem of) v. Robinson</w:t>
      </w:r>
      <w:r>
        <w:rPr>
          <w:rFonts w:ascii="arial" w:eastAsia="arial" w:hAnsi="arial" w:cs="arial"/>
          <w:color w:val="000000"/>
          <w:sz w:val="20"/>
          <w:lang w:val="en-US" w:eastAsia="en-US" w:bidi="ar-SA"/>
        </w:rPr>
        <w:t xml:space="preserve">, </w:t>
      </w:r>
      <w:hyperlink r:id="rId415" w:history="1">
        <w:r>
          <w:rPr>
            <w:rFonts w:ascii="arial" w:eastAsia="arial" w:hAnsi="arial" w:cs="arial"/>
            <w:i/>
            <w:color w:val="0077CC"/>
            <w:sz w:val="20"/>
            <w:u w:val="single"/>
            <w:shd w:val="clear" w:color="auto" w:fill="FFFFFF"/>
            <w:lang w:val="en-US" w:eastAsia="en-US" w:bidi="ar-SA"/>
          </w:rPr>
          <w:t>(1993), 75 BCLR (2d) 273</w:t>
        </w:r>
      </w:hyperlink>
      <w:r>
        <w:rPr>
          <w:rFonts w:ascii="arial" w:eastAsia="arial" w:hAnsi="arial" w:cs="arial"/>
          <w:color w:val="000000"/>
          <w:sz w:val="20"/>
          <w:lang w:val="en-US" w:eastAsia="en-US" w:bidi="ar-SA"/>
        </w:rPr>
        <w:t>, the Court of Appeal commented on the obligations of a driver who wishes to make a left hand turn at an intersection, at para. 15:</w:t>
      </w:r>
      <w:r>
        <w:rPr>
          <w:rFonts w:ascii="arial" w:eastAsia="arial" w:hAnsi="arial" w:cs="arial"/>
          <w:sz w:val="20"/>
          <w:lang w:val="en-US" w:eastAsia="en-US" w:bidi="ar-SA"/>
        </w:rPr>
        <w:cr/>
      </w:r>
    </w:p>
    <w:p>
      <w:pPr>
        <w:numPr>
          <w:numId w:val="1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my opinion, a driver who wishes to make a left hand turn at an intersection has an obligation not to proceed unless it can be done safely. Where each party's vision of the other is blocked by traffic, the dominant driver who is proceeding through the intersection is generally entitled to continue and the servient left-turning driver must yield the right of way. The existence of a left-turning vehicle does not raise a presumption that something unexpected might happen and cast a duty on the dominant driver to take extra care. Where the defendant, as here, has totally failed to determine whether a turn can be made safely, the defendant should be held 100 percent at fault for a collision which occurs.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In my view, Ms. Tones entered the intersection lawfully, facing a green light, and after she became aware of Mr. Ritsco's vehicle in the dedicated left turn lane facing her. However, I find that Mr. Ritsco proceeded from the left turn lane continuously into a left turn in front of Ms. Tones' vehicle having failed to determine whether he could do so safely. When Mr. Ritsco turned his vehicle in front of Ms. Tones' vehicle she slammed on her brakes but was unable to avoid the collision. The fact that Ms. Tones had noticed Mr. Ritsco's vehicle in the left turn lane before he initiated a left turn and did not reduce the speed of her vehicle does not constitute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presence of Mr. Ritsco's vehicle in the left turn lane did not cast a duty on her to take extra care and she was entitled to presume that Mr. Ritsco would not initiate a turn until her vehicle was through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Ms. Tones' vehicle constituted an immediate hazard to Mr. Ritsco's vehicle and he was required to yield the right of way to her. He was negligent in failing to do so. Ms. Tones was unable to avoid the collision with Mr. Ritsco's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the circumstances I find that Mr. Ritsco is 100% at fault for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The purpose of non-pecuniary damages was described in </w:t>
      </w:r>
      <w:r>
        <w:rPr>
          <w:rFonts w:ascii="arial" w:eastAsia="arial" w:hAnsi="arial" w:cs="arial"/>
          <w:i/>
          <w:color w:val="000000"/>
          <w:sz w:val="20"/>
          <w:lang w:val="en-US" w:eastAsia="en-US" w:bidi="ar-SA"/>
        </w:rPr>
        <w:t>Smusz v. Wolfe Chevrolet Ltd.</w:t>
      </w:r>
      <w:r>
        <w:rPr>
          <w:rFonts w:ascii="arial" w:eastAsia="arial" w:hAnsi="arial" w:cs="arial"/>
          <w:color w:val="000000"/>
          <w:sz w:val="20"/>
          <w:lang w:val="en-US" w:eastAsia="en-US" w:bidi="ar-SA"/>
        </w:rPr>
        <w:t xml:space="preserve">, </w:t>
      </w:r>
      <w:hyperlink r:id="rId416" w:history="1">
        <w:r>
          <w:rPr>
            <w:rFonts w:ascii="arial" w:eastAsia="arial" w:hAnsi="arial" w:cs="arial"/>
            <w:i/>
            <w:color w:val="0077CC"/>
            <w:sz w:val="20"/>
            <w:u w:val="single"/>
            <w:shd w:val="clear" w:color="auto" w:fill="FFFFFF"/>
            <w:lang w:val="en-US" w:eastAsia="en-US" w:bidi="ar-SA"/>
          </w:rPr>
          <w:t>2010 BCSC 82</w:t>
        </w:r>
      </w:hyperlink>
      <w:r>
        <w:rPr>
          <w:rFonts w:ascii="arial" w:eastAsia="arial" w:hAnsi="arial" w:cs="arial"/>
          <w:color w:val="000000"/>
          <w:sz w:val="20"/>
          <w:lang w:val="en-US" w:eastAsia="en-US" w:bidi="ar-SA"/>
        </w:rPr>
        <w:t>, by Russell J:</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[85] The purpose of non-pecuniary damage awards is to compensate the plaintiff for "pain, suffering, loss of enjoyment of life and loss of amenities": </w:t>
      </w:r>
      <w:r>
        <w:rPr>
          <w:rFonts w:ascii="arial" w:eastAsia="arial" w:hAnsi="arial" w:cs="arial"/>
          <w:i/>
          <w:color w:val="000000"/>
          <w:sz w:val="20"/>
          <w:lang w:val="en-US" w:eastAsia="en-US" w:bidi="ar-SA"/>
        </w:rPr>
        <w:t>Jackson v. Lai</w:t>
      </w:r>
      <w:r>
        <w:rPr>
          <w:rFonts w:ascii="arial" w:eastAsia="arial" w:hAnsi="arial" w:cs="arial"/>
          <w:color w:val="000000"/>
          <w:sz w:val="20"/>
          <w:lang w:val="en-US" w:eastAsia="en-US" w:bidi="ar-SA"/>
        </w:rPr>
        <w:t xml:space="preserve">, </w:t>
      </w:r>
      <w:hyperlink r:id="rId164" w:history="1">
        <w:r>
          <w:rPr>
            <w:rFonts w:ascii="arial" w:eastAsia="arial" w:hAnsi="arial" w:cs="arial"/>
            <w:i/>
            <w:color w:val="0077CC"/>
            <w:sz w:val="20"/>
            <w:u w:val="single"/>
            <w:shd w:val="clear" w:color="auto" w:fill="FFFFFF"/>
            <w:lang w:val="en-US" w:eastAsia="en-US" w:bidi="ar-SA"/>
          </w:rPr>
          <w:t>2007 BCSC 1023</w:t>
        </w:r>
      </w:hyperlink>
      <w:r>
        <w:rPr>
          <w:rFonts w:ascii="arial" w:eastAsia="arial" w:hAnsi="arial" w:cs="arial"/>
          <w:color w:val="000000"/>
          <w:sz w:val="20"/>
          <w:lang w:val="en-US" w:eastAsia="en-US" w:bidi="ar-SA"/>
        </w:rPr>
        <w:t xml:space="preserve"> at para. 134; see also </w:t>
      </w:r>
      <w:r>
        <w:rPr>
          <w:rFonts w:ascii="arial" w:eastAsia="arial" w:hAnsi="arial" w:cs="arial"/>
          <w:i/>
          <w:color w:val="000000"/>
          <w:sz w:val="20"/>
          <w:lang w:val="en-US" w:eastAsia="en-US" w:bidi="ar-SA"/>
        </w:rPr>
        <w:t>Andrews v. Grand &amp; Toy Alberta Ltd.</w:t>
      </w:r>
      <w:r>
        <w:rPr>
          <w:rFonts w:ascii="arial" w:eastAsia="arial" w:hAnsi="arial" w:cs="arial"/>
          <w:color w:val="000000"/>
          <w:sz w:val="20"/>
          <w:lang w:val="en-US" w:eastAsia="en-US" w:bidi="ar-SA"/>
        </w:rPr>
        <w:t xml:space="preserve">, </w:t>
      </w:r>
      <w:hyperlink r:id="rId181"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xml:space="preserve">, </w:t>
      </w:r>
      <w:hyperlink r:id="rId181" w:history="1">
        <w:r>
          <w:rPr>
            <w:rFonts w:ascii="arial" w:eastAsia="arial" w:hAnsi="arial" w:cs="arial"/>
            <w:i/>
            <w:color w:val="0077CC"/>
            <w:sz w:val="20"/>
            <w:u w:val="single"/>
            <w:shd w:val="clear" w:color="auto" w:fill="FFFFFF"/>
            <w:lang w:val="en-US" w:eastAsia="en-US" w:bidi="ar-SA"/>
          </w:rPr>
          <w:t>83 D.L.R. (3d) 452</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Kuskis v. Tin</w:t>
      </w:r>
      <w:r>
        <w:rPr>
          <w:rFonts w:ascii="arial" w:eastAsia="arial" w:hAnsi="arial" w:cs="arial"/>
          <w:color w:val="000000"/>
          <w:sz w:val="20"/>
          <w:lang w:val="en-US" w:eastAsia="en-US" w:bidi="ar-SA"/>
        </w:rPr>
        <w:t xml:space="preserve">, </w:t>
      </w:r>
      <w:hyperlink r:id="rId115" w:history="1">
        <w:r>
          <w:rPr>
            <w:rFonts w:ascii="arial" w:eastAsia="arial" w:hAnsi="arial" w:cs="arial"/>
            <w:i/>
            <w:color w:val="0077CC"/>
            <w:sz w:val="20"/>
            <w:u w:val="single"/>
            <w:shd w:val="clear" w:color="auto" w:fill="FFFFFF"/>
            <w:lang w:val="en-US" w:eastAsia="en-US" w:bidi="ar-SA"/>
          </w:rPr>
          <w:t>2008 BCSC 862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Kuskis</w:t>
      </w:r>
      <w:r>
        <w:rPr>
          <w:rFonts w:ascii="arial" w:eastAsia="arial" w:hAnsi="arial" w:cs="arial"/>
          <w:color w:val="000000"/>
          <w:sz w:val="20"/>
          <w:lang w:val="en-US" w:eastAsia="en-US" w:bidi="ar-SA"/>
        </w:rPr>
        <w:t xml:space="preserve">]. While each award must be made with reference to the particular circumstances and facts of the case, other cases may serve as a guide to assist the court in arriving at an award that is just and fair to both parties: </w:t>
      </w:r>
      <w:r>
        <w:rPr>
          <w:rFonts w:ascii="arial" w:eastAsia="arial" w:hAnsi="arial" w:cs="arial"/>
          <w:i/>
          <w:color w:val="000000"/>
          <w:sz w:val="20"/>
          <w:lang w:val="en-US" w:eastAsia="en-US" w:bidi="ar-SA"/>
        </w:rPr>
        <w:t>Kuskis</w:t>
      </w:r>
      <w:r>
        <w:rPr>
          <w:rFonts w:ascii="arial" w:eastAsia="arial" w:hAnsi="arial" w:cs="arial"/>
          <w:color w:val="000000"/>
          <w:sz w:val="20"/>
          <w:lang w:val="en-US" w:eastAsia="en-US" w:bidi="ar-SA"/>
        </w:rPr>
        <w:t>, at para. 136.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[86] There are a number of factors that courts must take into account when assessing this type of claim. Madam Justice Kirkpatrick, writing for the majority,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14"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w:t>
      </w:r>
      <w:hyperlink r:id="rId14" w:history="1">
        <w:r>
          <w:rPr>
            <w:rFonts w:ascii="arial" w:eastAsia="arial" w:hAnsi="arial" w:cs="arial"/>
            <w:i/>
            <w:color w:val="0077CC"/>
            <w:sz w:val="20"/>
            <w:u w:val="single"/>
            <w:shd w:val="clear" w:color="auto" w:fill="FFFFFF"/>
            <w:lang w:val="en-US" w:eastAsia="en-US" w:bidi="ar-SA"/>
          </w:rPr>
          <w:t>263 D.L.R. (4th) 19</w:t>
        </w:r>
      </w:hyperlink>
      <w:r>
        <w:rPr>
          <w:rFonts w:ascii="arial" w:eastAsia="arial" w:hAnsi="arial" w:cs="arial"/>
          <w:color w:val="000000"/>
          <w:sz w:val="20"/>
          <w:lang w:val="en-US" w:eastAsia="en-US" w:bidi="ar-SA"/>
        </w:rPr>
        <w:t>, outlines the factors to consider, at para. 46:</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[46] The inexhaustive list of common factors cited in </w:t>
      </w:r>
      <w:r>
        <w:rPr>
          <w:rFonts w:ascii="arial" w:eastAsia="arial" w:hAnsi="arial" w:cs="arial"/>
          <w:i/>
          <w:color w:val="000000"/>
          <w:sz w:val="20"/>
          <w:lang w:val="en-US" w:eastAsia="en-US" w:bidi="ar-SA"/>
        </w:rPr>
        <w:t>Boyd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Boyd v. Harris</w:t>
      </w:r>
      <w:r>
        <w:rPr>
          <w:rFonts w:ascii="arial" w:eastAsia="arial" w:hAnsi="arial" w:cs="arial"/>
          <w:color w:val="000000"/>
          <w:sz w:val="20"/>
          <w:lang w:val="en-US" w:eastAsia="en-US" w:bidi="ar-SA"/>
        </w:rPr>
        <w:t xml:space="preserve">, </w:t>
      </w:r>
      <w:hyperlink r:id="rId15" w:history="1">
        <w:r>
          <w:rPr>
            <w:rFonts w:ascii="arial" w:eastAsia="arial" w:hAnsi="arial" w:cs="arial"/>
            <w:i/>
            <w:color w:val="0077CC"/>
            <w:sz w:val="20"/>
            <w:u w:val="single"/>
            <w:shd w:val="clear" w:color="auto" w:fill="FFFFFF"/>
            <w:lang w:val="en-US" w:eastAsia="en-US" w:bidi="ar-SA"/>
          </w:rPr>
          <w:t>2004 BCCA 146</w:t>
        </w:r>
      </w:hyperlink>
      <w:r>
        <w:rPr>
          <w:rFonts w:ascii="arial" w:eastAsia="arial" w:hAnsi="arial" w:cs="arial"/>
          <w:color w:val="000000"/>
          <w:sz w:val="20"/>
          <w:lang w:val="en-US" w:eastAsia="en-US" w:bidi="ar-SA"/>
        </w:rPr>
        <w:t>] that influence an award of non-pecuniary damages includes:</w:t>
      </w:r>
    </w:p>
    <w:p>
      <w:pPr>
        <w:numPr>
          <w:numId w:val="1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age of the plaintiff;</w:t>
      </w:r>
    </w:p>
    <w:p>
      <w:pPr>
        <w:numPr>
          <w:numId w:val="1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the injury;</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severity and duration of pain;</w:t>
      </w:r>
    </w:p>
    <w:p>
      <w:pPr>
        <w:numPr>
          <w:numId w:val="1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disability;</w:t>
      </w:r>
    </w:p>
    <w:p>
      <w:pPr>
        <w:numPr>
          <w:numId w:val="1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emotional suffering; and</w:t>
      </w:r>
    </w:p>
    <w:p>
      <w:pPr>
        <w:numPr>
          <w:numId w:val="2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or impairment of life;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would add the following factors, although they may arguably be subsumed in the above list:</w:t>
      </w:r>
    </w:p>
    <w:p>
      <w:pPr>
        <w:numPr>
          <w:numId w:val="21"/>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family, marital and social relationships;</w:t>
      </w:r>
    </w:p>
    <w:p>
      <w:pPr>
        <w:numPr>
          <w:numId w:val="22"/>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physical and mental abilities;</w:t>
      </w:r>
    </w:p>
    <w:p>
      <w:pPr>
        <w:numPr>
          <w:numId w:val="2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lifestyle; and</w:t>
      </w:r>
    </w:p>
    <w:p>
      <w:pPr>
        <w:numPr>
          <w:numId w:val="24"/>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stoicism (as a factor that should not, generally speaking, penalize the plaintiff: </w:t>
      </w:r>
      <w:r>
        <w:rPr>
          <w:rFonts w:ascii="arial" w:eastAsia="arial" w:hAnsi="arial" w:cs="arial"/>
          <w:i/>
          <w:color w:val="000000"/>
          <w:sz w:val="20"/>
          <w:lang w:val="en-US" w:eastAsia="en-US" w:bidi="ar-SA"/>
        </w:rPr>
        <w:t>Giang v. Clayton, Liang and Zheng</w:t>
      </w:r>
      <w:r>
        <w:rPr>
          <w:rFonts w:ascii="arial" w:eastAsia="arial" w:hAnsi="arial" w:cs="arial"/>
          <w:color w:val="000000"/>
          <w:sz w:val="20"/>
          <w:lang w:val="en-US" w:eastAsia="en-US" w:bidi="ar-SA"/>
        </w:rPr>
        <w:t xml:space="preserve">, </w:t>
      </w:r>
      <w:hyperlink r:id="rId16" w:history="1">
        <w:r>
          <w:rPr>
            <w:rFonts w:ascii="arial" w:eastAsia="arial" w:hAnsi="arial" w:cs="arial"/>
            <w:i/>
            <w:color w:val="0077CC"/>
            <w:sz w:val="20"/>
            <w:u w:val="single"/>
            <w:shd w:val="clear" w:color="auto" w:fill="FFFFFF"/>
            <w:lang w:val="en-US" w:eastAsia="en-US" w:bidi="ar-SA"/>
          </w:rPr>
          <w:t>2005 BCCA 54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The plaintiff cited the following cases in support of his claim for non-pecuniary damages in the range of $120,000 to $130,000: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14"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Foran v. Nguyen et al</w:t>
      </w:r>
      <w:r>
        <w:rPr>
          <w:rFonts w:ascii="arial" w:eastAsia="arial" w:hAnsi="arial" w:cs="arial"/>
          <w:color w:val="000000"/>
          <w:sz w:val="20"/>
          <w:lang w:val="en-US" w:eastAsia="en-US" w:bidi="ar-SA"/>
        </w:rPr>
        <w:t xml:space="preserve">, </w:t>
      </w:r>
      <w:hyperlink r:id="rId417" w:history="1">
        <w:r>
          <w:rPr>
            <w:rFonts w:ascii="arial" w:eastAsia="arial" w:hAnsi="arial" w:cs="arial"/>
            <w:i/>
            <w:color w:val="0077CC"/>
            <w:sz w:val="20"/>
            <w:u w:val="single"/>
            <w:shd w:val="clear" w:color="auto" w:fill="FFFFFF"/>
            <w:lang w:val="en-US" w:eastAsia="en-US" w:bidi="ar-SA"/>
          </w:rPr>
          <w:t>2006 BCSC 605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MacDonald v. Joseph</w:t>
      </w:r>
      <w:r>
        <w:rPr>
          <w:rFonts w:ascii="arial" w:eastAsia="arial" w:hAnsi="arial" w:cs="arial"/>
          <w:color w:val="000000"/>
          <w:sz w:val="20"/>
          <w:lang w:val="en-US" w:eastAsia="en-US" w:bidi="ar-SA"/>
        </w:rPr>
        <w:t xml:space="preserve">, </w:t>
      </w:r>
      <w:hyperlink r:id="rId418" w:history="1">
        <w:r>
          <w:rPr>
            <w:rFonts w:ascii="arial" w:eastAsia="arial" w:hAnsi="arial" w:cs="arial"/>
            <w:i/>
            <w:color w:val="0077CC"/>
            <w:sz w:val="20"/>
            <w:u w:val="single"/>
            <w:shd w:val="clear" w:color="auto" w:fill="FFFFFF"/>
            <w:lang w:val="en-US" w:eastAsia="en-US" w:bidi="ar-SA"/>
          </w:rPr>
          <w:t>2015 BCSC 1461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Hu v. Tan</w:t>
      </w:r>
      <w:r>
        <w:rPr>
          <w:rFonts w:ascii="arial" w:eastAsia="arial" w:hAnsi="arial" w:cs="arial"/>
          <w:color w:val="000000"/>
          <w:sz w:val="20"/>
          <w:lang w:val="en-US" w:eastAsia="en-US" w:bidi="ar-SA"/>
        </w:rPr>
        <w:t xml:space="preserve">, </w:t>
      </w:r>
      <w:hyperlink r:id="rId419" w:history="1">
        <w:r>
          <w:rPr>
            <w:rFonts w:ascii="arial" w:eastAsia="arial" w:hAnsi="arial" w:cs="arial"/>
            <w:i/>
            <w:color w:val="0077CC"/>
            <w:sz w:val="20"/>
            <w:u w:val="single"/>
            <w:shd w:val="clear" w:color="auto" w:fill="FFFFFF"/>
            <w:lang w:val="en-US" w:eastAsia="en-US" w:bidi="ar-SA"/>
          </w:rPr>
          <w:t>2016 BCSC 908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Severud v. Smit</w:t>
      </w:r>
      <w:r>
        <w:rPr>
          <w:rFonts w:ascii="arial" w:eastAsia="arial" w:hAnsi="arial" w:cs="arial"/>
          <w:color w:val="000000"/>
          <w:sz w:val="20"/>
          <w:lang w:val="en-US" w:eastAsia="en-US" w:bidi="ar-SA"/>
        </w:rPr>
        <w:t xml:space="preserve">, </w:t>
      </w:r>
      <w:hyperlink r:id="rId420" w:history="1">
        <w:r>
          <w:rPr>
            <w:rFonts w:ascii="arial" w:eastAsia="arial" w:hAnsi="arial" w:cs="arial"/>
            <w:i/>
            <w:color w:val="0077CC"/>
            <w:sz w:val="20"/>
            <w:u w:val="single"/>
            <w:shd w:val="clear" w:color="auto" w:fill="FFFFFF"/>
            <w:lang w:val="en-US" w:eastAsia="en-US" w:bidi="ar-SA"/>
          </w:rPr>
          <w:t>2016 BCSC 1021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Knauf v. Chao</w:t>
      </w:r>
      <w:r>
        <w:rPr>
          <w:rFonts w:ascii="arial" w:eastAsia="arial" w:hAnsi="arial" w:cs="arial"/>
          <w:color w:val="000000"/>
          <w:sz w:val="20"/>
          <w:lang w:val="en-US" w:eastAsia="en-US" w:bidi="ar-SA"/>
        </w:rPr>
        <w:t xml:space="preserve">, </w:t>
      </w:r>
      <w:hyperlink r:id="rId421" w:history="1">
        <w:r>
          <w:rPr>
            <w:rFonts w:ascii="arial" w:eastAsia="arial" w:hAnsi="arial" w:cs="arial"/>
            <w:i/>
            <w:color w:val="0077CC"/>
            <w:sz w:val="20"/>
            <w:u w:val="single"/>
            <w:shd w:val="clear" w:color="auto" w:fill="FFFFFF"/>
            <w:lang w:val="en-US" w:eastAsia="en-US" w:bidi="ar-SA"/>
          </w:rPr>
          <w:t>2009 BCCA 605</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Morlan v. Barrett</w:t>
      </w:r>
      <w:r>
        <w:rPr>
          <w:rFonts w:ascii="arial" w:eastAsia="arial" w:hAnsi="arial" w:cs="arial"/>
          <w:color w:val="000000"/>
          <w:sz w:val="20"/>
          <w:lang w:val="en-US" w:eastAsia="en-US" w:bidi="ar-SA"/>
        </w:rPr>
        <w:t xml:space="preserve">, </w:t>
      </w:r>
      <w:hyperlink r:id="rId178" w:history="1">
        <w:r>
          <w:rPr>
            <w:rFonts w:ascii="arial" w:eastAsia="arial" w:hAnsi="arial" w:cs="arial"/>
            <w:i/>
            <w:color w:val="0077CC"/>
            <w:sz w:val="20"/>
            <w:u w:val="single"/>
            <w:shd w:val="clear" w:color="auto" w:fill="FFFFFF"/>
            <w:lang w:val="en-US" w:eastAsia="en-US" w:bidi="ar-SA"/>
          </w:rPr>
          <w:t>2012 BCCA 66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 accept Dr. Adrian's description of the injuries suffered by the plaintiff as a result of the collision. It appears that the plaintiff has endured pain of different levels and at different times during the years following the accident. He was totally disabled from work for about 14 months and he will likely continue to experience some pain in the areas of his body where he was injured for the remainder of his life. He is described by Dr. Adrian as suffering a permanent partial disability as a result of the accident. His injuries have negatively affected his ability to work as a millwright as well as a number of his recreational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Without expert evidence in the field of psychiatry or psychology, I am unable to conclude that his emotional or mental state was adversely affected by the accident or whether the changes in his social life resulted from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I have considered the circumstances in the cases referred to which differ in some respects from the case at bar. I found the decision by Madam Justice Duncan in </w:t>
      </w:r>
      <w:r>
        <w:rPr>
          <w:rFonts w:ascii="arial" w:eastAsia="arial" w:hAnsi="arial" w:cs="arial"/>
          <w:i/>
          <w:color w:val="000000"/>
          <w:sz w:val="20"/>
          <w:lang w:val="en-US" w:eastAsia="en-US" w:bidi="ar-SA"/>
        </w:rPr>
        <w:t>Mandra v. Lu</w:t>
      </w:r>
      <w:r>
        <w:rPr>
          <w:rFonts w:ascii="arial" w:eastAsia="arial" w:hAnsi="arial" w:cs="arial"/>
          <w:color w:val="000000"/>
          <w:sz w:val="20"/>
          <w:lang w:val="en-US" w:eastAsia="en-US" w:bidi="ar-SA"/>
        </w:rPr>
        <w:t xml:space="preserve">, </w:t>
      </w:r>
      <w:hyperlink r:id="rId28" w:history="1">
        <w:r>
          <w:rPr>
            <w:rFonts w:ascii="arial" w:eastAsia="arial" w:hAnsi="arial" w:cs="arial"/>
            <w:i/>
            <w:color w:val="0077CC"/>
            <w:sz w:val="20"/>
            <w:u w:val="single"/>
            <w:shd w:val="clear" w:color="auto" w:fill="FFFFFF"/>
            <w:lang w:val="en-US" w:eastAsia="en-US" w:bidi="ar-SA"/>
          </w:rPr>
          <w:t>2014 BCSC 2199</w:t>
        </w:r>
      </w:hyperlink>
      <w:r>
        <w:rPr>
          <w:rFonts w:ascii="arial" w:eastAsia="arial" w:hAnsi="arial" w:cs="arial"/>
          <w:color w:val="000000"/>
          <w:sz w:val="20"/>
          <w:lang w:val="en-US" w:eastAsia="en-US" w:bidi="ar-SA"/>
        </w:rPr>
        <w:t xml:space="preserve"> to be particularly helpful in arriving at an appropriate award for non-pecuniary damages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Duncan J. describes the plaintiff's circumstances at para. 121: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[121] Mr. Mandra was 53 years of age when the accident occurred. He was transformed from a happy, healthy and hardworking man to one who lives in constant chronic pain. His lower, mid and upper back hurt on an ongoing basis. He has neck pain, headaches and pain in his legs. He is nervous, forgetful, miserable and depressed. Treatment and medication have not helped and there is no prognosis for improvement except as described by Dr. Helper and only in relation to his lumbar pain. Compendiously his pain is severe and chronic and disables him from the type of work he used to do. He was formerly employed as a millwright, a heavy duty job, but now has a hard time sitting or standing for prolonged periods and lacks the necessary physicality to work as he once did. The injuries render him unemployable in his past career as a millwright and only very marginally employable in lighter occupations, particularly given his challenges with English. The injuries have affected his social life and his relationship with his wife. He is not as active as he once was. He has suffered psychologically.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There are some factual differences between Mandra and Mr. Riley's circumstances. Mr. Mandra's injuries rendered him unemployable as a millwright while in the case at bar the plaintiff was able to work on a full time basis until he returned and, based on the evidence of Mr. Pasquil, longer if he wished. Mr. Pasquil said that he was prepared to accommodate the plaintiff so that he could continue working and he would provide the plaintiff with assistance from time to time for heavier jobs.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While Dr. Adrian opines that the plaintiff would find certain functions at work to be difficult he did not say that the plaintiff was unemployable. There is also insufficient evidence, and none from an expert, to establish that the plaintiff suffered psychological damage from the accident. Indeed, Dr. Adrian defers to specialists such as a psychiatrist regarding the nature of the plaintiff's psychological 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Unlike Mr. Mandra, the plaintiff in the case at bar did not present evidence from an occupational therapist or a psychiatrist.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Considering the factors referred to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and the particular circumstances of the plaintiff I have concluded that an award of $65,000 is appropriate for non-pecuniary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Past Income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It is agreed that the plaintiff's gross past wage loss from the date of the accident through to May 6, 2013 (when he resumed full-time work) is $84,351.28. That amount includes sick leave benefits from his employer of $19,536.40 resulting from the plaintiff using sick leave credits available to him as well as disability benefits from an insurer known as Desjardin Financial Security of $32,956.82.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parties agree that the plaintiff is contractually obligated to repay the full amount of $32,956.82 to Desjardins without deduction from the proceeds of a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parties disagree as to whether or not a 15% deduction should apply to the sick leave amount and the disability benefit.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In my view, the 15% deduction should apply to the plaintiff's sick leave entitlement so that he is not over compensated because he would be subject to tax on any amounts paid to him in lieu of sick leave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However, the amount equal to his disability benefits should not be subject to a 15% reduction for tax as he will be required to pay the gross amount received to Desjardins without any deduction. In this regard, the third party may require the plaintiff to provide it with a written direction to pay that portion of the damages awarded to Desjardins.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resulting net income loss for that period is $76,642.11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With regard to the lost wages claimed by the plaintiff from May 6, 2013 until February 26, 2016 (his date of retirement), I accept that he used his sick bank for 14 days of work that he lost due to his injuries from the accident. The amount awarded for that period will be his net income loss of $2,869.09.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total past income loss is $79,511.20.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plaintiff claims income lost by him from February 26, 2016 until the date the trial ended and the loss of income that he anticipated earning from the end of the trial until the day that the plaintiff reaches age 71.6 when he would have maximized his pension benefits and says he would have retired.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This claim depends upon whether the court determines that the plaintiff's decision to retire was because of the injuries that he sustained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As in the case, </w:t>
      </w:r>
      <w:r>
        <w:rPr>
          <w:rFonts w:ascii="arial" w:eastAsia="arial" w:hAnsi="arial" w:cs="arial"/>
          <w:i/>
          <w:color w:val="000000"/>
          <w:sz w:val="20"/>
          <w:lang w:val="en-US" w:eastAsia="en-US" w:bidi="ar-SA"/>
        </w:rPr>
        <w:t>Barr v. Accurate Transmission and Driveline</w:t>
      </w:r>
      <w:r>
        <w:rPr>
          <w:rFonts w:ascii="arial" w:eastAsia="arial" w:hAnsi="arial" w:cs="arial"/>
          <w:color w:val="000000"/>
          <w:sz w:val="20"/>
          <w:lang w:val="en-US" w:eastAsia="en-US" w:bidi="ar-SA"/>
        </w:rPr>
        <w:t xml:space="preserve">, </w:t>
      </w:r>
      <w:hyperlink r:id="rId422" w:history="1">
        <w:r>
          <w:rPr>
            <w:rFonts w:ascii="arial" w:eastAsia="arial" w:hAnsi="arial" w:cs="arial"/>
            <w:i/>
            <w:color w:val="0077CC"/>
            <w:sz w:val="20"/>
            <w:u w:val="single"/>
            <w:shd w:val="clear" w:color="auto" w:fill="FFFFFF"/>
            <w:lang w:val="en-US" w:eastAsia="en-US" w:bidi="ar-SA"/>
          </w:rPr>
          <w:t>2016 BCSC 2432</w:t>
        </w:r>
      </w:hyperlink>
      <w:r>
        <w:rPr>
          <w:rFonts w:ascii="arial" w:eastAsia="arial" w:hAnsi="arial" w:cs="arial"/>
          <w:color w:val="000000"/>
          <w:sz w:val="20"/>
          <w:lang w:val="en-US" w:eastAsia="en-US" w:bidi="ar-SA"/>
        </w:rPr>
        <w:t>, in order to recover damages in this category, the court must find that the injuries sustained by the plaintiff and in the effect upon him made it necessary for him to retire because they prevented him from safely and competently doing his job. The onus of proving that on a balance of probabilities is on the plaintiff. (See para. 46)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evidence satisfies me that the plaintiff experienced some difficulties in performing the tasks associated with his work but the plaintiff has not established on a balance of probabilities that but for the injuries sustained in the accident he would have continued to work after February 26,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plaintiff's work history after the accident is informative. The accident was in October 2011. The plaintiff returned to work on a graduated program in January 2013 and then on a full time basis on May 6, 2013. At that time Dr. Sommi cleared the plaintiff to return to work on a full time basis. He then worked full time for almost 3 years before deciding to retire. At that time he was 66 years of age and soon to turn 67. During the period that he worked on a full time basis, the plaintiff only missed 14 days and 1 hour of work because of his injuries. The plaintiff did not explain how he had managed to work on a full time basis for almost 3 years while only missing 14 days of work because of his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Before he decided to retire, the plaintiff did not request any formal accommodation from his employer because of the difficulties he had performing some tasks. The evidence of Ms. Chung indicates that accommodations may have been available and the human resources department would have tried to assist the plaintiff. She said that the collective agreement governing the relationship between employees, like the plaintiff, and the school district provides that the employer had a duty to accommodate an injured employee.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testimony of the plaintiff's supervisor, James Pasquill, indicated that he was aware of the limitations that the plaintiff experienced on the job and he had always been willing to provide him with assistance if needed. He said that the plaintiff never requested any change in his duties. He told that plaintiff that if he was ever in pain he was free to go home. Importantly, Mr. Pasquill said that he was prepared to accommodate the plaintiff so that he could continue to work as long as he wanted. He said that he never saw any need for the plaintiff to retire or stop working.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As in </w:t>
      </w:r>
      <w:r>
        <w:rPr>
          <w:rFonts w:ascii="arial" w:eastAsia="arial" w:hAnsi="arial" w:cs="arial"/>
          <w:i/>
          <w:color w:val="000000"/>
          <w:sz w:val="20"/>
          <w:lang w:val="en-US" w:eastAsia="en-US" w:bidi="ar-SA"/>
        </w:rPr>
        <w:t>Barr</w:t>
      </w:r>
      <w:r>
        <w:rPr>
          <w:rFonts w:ascii="arial" w:eastAsia="arial" w:hAnsi="arial" w:cs="arial"/>
          <w:color w:val="000000"/>
          <w:sz w:val="20"/>
          <w:lang w:val="en-US" w:eastAsia="en-US" w:bidi="ar-SA"/>
        </w:rPr>
        <w:t>, I take no issue with the plaintiff's truthfulness. However, I am concerned that for his own subjective reasons, the plaintiff has "...imposed upon the matter some unconscious distortion." (para. 51) Thus, while the plaintiff said that he retired because of the effect of his injuries on his ability to safely perform his work, he took no steps to determine if his employer would accommodate his partial disability so that he could work for a longer period of time. I accept that the difficulties he had in performing some of his duties affected his interest in continuing to work but in my view his subjective view of his condition is not sufficient to discharge the onus of establishing that he would not have retired except for the injuries that he sustained in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Lacking in this case is an evidentiary link between a medical assessment of the plaintiff's condition and the resulting ongoing needs for his care. (</w:t>
      </w:r>
      <w:r>
        <w:rPr>
          <w:rFonts w:ascii="arial" w:eastAsia="arial" w:hAnsi="arial" w:cs="arial"/>
          <w:i/>
          <w:color w:val="000000"/>
          <w:sz w:val="20"/>
          <w:lang w:val="en-US" w:eastAsia="en-US" w:bidi="ar-SA"/>
        </w:rPr>
        <w:t>Gregory v. Insurance Corporation of British Columbia</w:t>
      </w:r>
      <w:r>
        <w:rPr>
          <w:rFonts w:ascii="arial" w:eastAsia="arial" w:hAnsi="arial" w:cs="arial"/>
          <w:color w:val="000000"/>
          <w:sz w:val="20"/>
          <w:lang w:val="en-US" w:eastAsia="en-US" w:bidi="ar-SA"/>
        </w:rPr>
        <w:t xml:space="preserve">, </w:t>
      </w:r>
      <w:hyperlink r:id="rId39" w:history="1">
        <w:r>
          <w:rPr>
            <w:rFonts w:ascii="arial" w:eastAsia="arial" w:hAnsi="arial" w:cs="arial"/>
            <w:i/>
            <w:color w:val="0077CC"/>
            <w:sz w:val="20"/>
            <w:u w:val="single"/>
            <w:shd w:val="clear" w:color="auto" w:fill="FFFFFF"/>
            <w:lang w:val="en-US" w:eastAsia="en-US" w:bidi="ar-SA"/>
          </w:rPr>
          <w:t>2011 BCCA 144</w:t>
        </w:r>
      </w:hyperlink>
      <w:r>
        <w:rPr>
          <w:rFonts w:ascii="arial" w:eastAsia="arial" w:hAnsi="arial" w:cs="arial"/>
          <w:color w:val="000000"/>
          <w:sz w:val="20"/>
          <w:lang w:val="en-US" w:eastAsia="en-US" w:bidi="ar-SA"/>
        </w:rPr>
        <w:t>) Since he was discharged from chiropractic care on May 23, 2013, the plaintiff has not sought any formal treatment for his injuries. Dr. Sommi did not provided evidence regarding any future care needs that the plaintiff might have. Dr. Adrian recommended that the plaintiff continue with an exercise program and said he might benefit from taking nortriptyline medication. Those recommendations were made in March 2016 however the plaintiff has not followed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evidence does not establish that the plaintiff is entitled to any amount for the cost of future care.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Loss of Housekeeping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evidence does not satisfy me that the plaintiff requires assistance with housekeeping tasks beyond those that he is capable of performing.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parties are in agreement that the plaintiff is entitled to an award of $8,698 for special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Summary of Damages Awarded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Damages are awarded as follows:</w:t>
      </w:r>
      <w:r>
        <w:rPr>
          <w:rFonts w:ascii="arial" w:eastAsia="arial" w:hAnsi="arial" w:cs="arial"/>
          <w:sz w:val="20"/>
          <w:lang w:val="en-US" w:eastAsia="en-US" w:bidi="ar-SA"/>
        </w:rPr>
        <w:cr/>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$65,000.00</w:t>
      </w:r>
    </w:p>
    <w:p>
      <w:pPr>
        <w:numPr>
          <w:numId w:val="2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Past income loss: $79,511.20</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 $8,698.00</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Total: $153,209.20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T.W. BOWDEN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89" style="position:absolute;z-index:25186713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23"/>
          <w:headerReference w:type="default" r:id="rId424"/>
          <w:footerReference w:type="even" r:id="rId425"/>
          <w:footerReference w:type="default" r:id="rId426"/>
          <w:headerReference w:type="first" r:id="rId427"/>
          <w:footerReference w:type="first" r:id="rId42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29" w:history="1">
        <w:r>
          <w:rPr>
            <w:rFonts w:ascii="arial" w:eastAsia="arial" w:hAnsi="arial" w:cs="arial"/>
            <w:b/>
            <w:bCs/>
            <w:i/>
            <w:color w:val="0077CC"/>
            <w:kern w:val="32"/>
            <w:sz w:val="28"/>
            <w:szCs w:val="32"/>
            <w:u w:val="single"/>
            <w:shd w:val="clear" w:color="auto" w:fill="FFFFFF"/>
            <w:lang w:val="en-US" w:eastAsia="en-US" w:bidi="ar-SA"/>
          </w:rPr>
          <w:t>Ball v. GAP (Canada) Inc., [2001] B.C.J. No. 1545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Ross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7 - 11 and 14 - 18,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27,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C972902</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[2001] B.C.J. No. 1545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BCSC 1106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107 A.C.W.S. (3d) 532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B.C.T.C. 1106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Elizabeth Ball, plaintiff, and Gap (Canada) Inc.,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(169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90" style="position:absolute;z-index:2516725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90" w:name="Keywords_13"/>
      <w:bookmarkEnd w:id="90"/>
      <w:r>
        <w:rPr>
          <w:rFonts w:ascii="arial" w:eastAsia="arial" w:hAnsi="arial" w:cs="arial"/>
          <w:b/>
          <w:color w:val="000000"/>
          <w:sz w:val="20"/>
          <w:lang w:val="en-US" w:eastAsia="en-US" w:bidi="ar-SA"/>
        </w:rPr>
        <w:t xml:space="preserve">Torts — Occupiers' liability 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for dangerous premises — Duty of occupier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of occupier — Causation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of particular occupiers — Retail store — Damage awards — Head injuries — Leg injuries — Knee — Special damage awards — Damages — General damages — General damages for personal injury — Aggravation of pre- existing condition — Pre-trial wage loss — Loss of prospective earnings.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91" w:name="Case Summary_13"/>
            <w:bookmarkEnd w:id="9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Ball for damages for personal injury. Ball was struck on the head by a falling mannequin while shopping in a store owned by the defendant GAP (Canada). The mannequin had been placed on a display shelf and was not secured. Ball was the managing and artistic director of a theatre company. She had a history of various health problems. She had experienced memory impairment after being injured in a motor vehicle accident in 1978. She experienced neck and arm pain after giving birth to her first child in 1983. The pain largely resolved by 1984, but recurred after she gave birth to her second child in 1985. She was injured in another motor vehicle accident in 1986. She reduced her work load, but it returned to normal in 1990 even though she continued to suffer severe neck and arm pain. In 1991, she was hit on the head by a chandelier at a lighting store. In August 1996 she underwent a partial hysterectomy. She had not yet returned to work when the mannequin fell on her in September 1996. Following the incident, she complained of headache, neck pain and knee pain. By early 1997 she was complaining of depression and frustration at not being able to concentrate on her work. In 1998 she fell and broke her ankle. Her involvement with work had been diminishing, and in 2000 she resigned, as she felt that she could not continue working. She argued that the incident at the GAP store resulted in a concussion with consequent visual dysfunction, slowed mental processing, aggravation of her neck and arm pain, and chondromalacia in the right knee. The defence argued that Ball's problems were largely pre-existing and that since she was able to return to work after the incident, the incident did not cause her current disability.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92" w:name="Holdings of Court_13"/>
            <w:bookmarkEnd w:id="92"/>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mannequins were heavy and unstable. The danger of falling was a risk of which the GAP ought to have been aware. By failing to secure the mannequin on the shelf, the GAP breached a duty of care imposed by the Occupiers Liability Act. The incident was a material cause of the head injury which resulted in Ball's inability to function in her job. She was never able to return to adequate function after the incident. Her broken ankle was from a fall resulting from knee pain from the GAP incident. Her arm and neck pain were pre-existing conditions which were aggravated by the GAP incident. Ball was awarded non-pecuniary damages of $90,000, being $100,000 less $10,000 to reflect her pre-accident condition. He claim of $270,000 for future wage loss was reduced by 30 per cent to $190,000 to reflect the probability that she would have found herself unable to continue in her work at some future time. She was awarded $47,000 for past wage loss and special damages of $3,170.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93" w:name="Legislation Cited_6"/>
      <w:bookmarkEnd w:id="9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91" style="position:absolute;z-index:2517237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Occupiers Liability Act, </w:t>
      </w:r>
      <w:hyperlink r:id="rId430" w:history="1">
        <w:r>
          <w:rPr>
            <w:rFonts w:ascii="arial" w:eastAsia="arial" w:hAnsi="arial" w:cs="arial"/>
            <w:i/>
            <w:color w:val="0077CC"/>
            <w:sz w:val="20"/>
            <w:u w:val="single"/>
            <w:shd w:val="clear" w:color="auto" w:fill="FFFFFF"/>
            <w:lang w:val="en-US" w:eastAsia="en-US" w:bidi="ar-SA"/>
          </w:rPr>
          <w:t>R.S.B.C. 1996, c. 377, s. 3</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94" w:name="Counsel_13"/>
      <w:bookmarkEnd w:id="9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92" style="position:absolute;z-index:2517749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G.E. Calder, for the plaintiff. A. Sayn-Wittgenstein and J. Pendrel, articled student,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95" w:name="Judgment_13"/>
      <w:bookmarkEnd w:id="95"/>
      <w:r>
        <w:pict>
          <v:line id="_x0000_s1093" style="position:absolute;z-index:25182515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4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96" w:name="ROSS J."/>
            <w:bookmarkEnd w:id="96"/>
            <w:r>
              <w:rPr>
                <w:rFonts w:ascii="arial" w:eastAsia="arial" w:hAnsi="arial" w:cs="arial"/>
                <w:b/>
                <w:color w:val="000000"/>
                <w:sz w:val="30"/>
                <w:lang w:val="en-US" w:eastAsia="en-US" w:bidi="ar-SA"/>
              </w:rPr>
              <w:t>ROSS J.</w:t>
            </w:r>
          </w:p>
        </w:tc>
      </w:tr>
    </w:tbl>
    <w:p>
      <w:pP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cr/>
      </w:r>
    </w:p>
    <w:p>
      <w:pPr>
        <w:numPr>
          <w:numId w:val="10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is a claim brought under the Occupiers Liability Act, </w:t>
      </w:r>
      <w:r>
        <w:rPr>
          <w:rFonts w:ascii="arial" w:eastAsia="arial" w:hAnsi="arial" w:cs="arial"/>
          <w:i/>
          <w:color w:val="000000"/>
          <w:sz w:val="20"/>
          <w:lang w:val="en-US" w:eastAsia="en-US" w:bidi="ar-SA"/>
        </w:rPr>
        <w:t>R.S.B.C. 1996, c. 377</w:t>
      </w:r>
      <w:r>
        <w:rPr>
          <w:rFonts w:ascii="arial" w:eastAsia="arial" w:hAnsi="arial" w:cs="arial"/>
          <w:color w:val="000000"/>
          <w:sz w:val="20"/>
          <w:lang w:val="en-US" w:eastAsia="en-US" w:bidi="ar-SA"/>
        </w:rPr>
        <w:t xml:space="preserve"> (the "Act") for damages for personal injuries suffered on September 22, 1996 at the Oakridge GAP Kids Store ("GAP") in Vancouver, British Columbia. The plaintiff, Elizabeth Ball, is the founder, Artistic and Managing Director of the Carousel Theatre Company and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injury is said to have occurred when a mannequin toppled over, falling from a shelf and striking the plaintiff on the head. The plaintiff alleges that the blow caused her to suffer a concussion that resulted in permanent residual effects, caused an injury to her right knee, and an exacerbation of a pre-existing injury to her neck. Her claim is that her injuries are such that she has been left permanently unable to function in her occupation.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Both liability and damages are contested in this lawsuit.</w:t>
      </w:r>
      <w:r>
        <w:rPr>
          <w:rFonts w:ascii="arial" w:eastAsia="arial" w:hAnsi="arial" w:cs="arial"/>
          <w:sz w:val="20"/>
          <w:lang w:val="en-US" w:eastAsia="en-US" w:bidi="ar-SA"/>
        </w:rPr>
        <w:cr/>
      </w:r>
    </w:p>
    <w:p>
      <w:pPr>
        <w:numPr>
          <w:numId w:val="2"/>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 The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testified that on the day of the incident she had gone shopping with her husband and son. It was a family weekend outing. They parted company at the entrance to the GAP; she went to the right, her husband and son to the left. She had leaned over to examine some coats which were displayed on a low rack. While she was bent over she felt what she described as an incredible blow to her head. Something hard hit her head on the right side. There was no forewarning that she would be struck. She said that she had a view of what she believed, in that instant, to be a body. She thought that someone had fallen through the ceiling of the store.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said that she then heard someone ask whether she was all right. She said that she replied, "No". She then felt that she was passing out and lost consciousness. She felt a pain in her right knee as it hit the floor and a pain in her left arm as it was hung up on the rack.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There are three different sized mannequins that were in use at the GAP at the time of the incident. The first is the baby form, which is 23 1/2 inches tall and weighs 3 7/8 pounds. The second is the small form. This form is 40 inches tall and weighs 7 1/2 pounds. The large form is 48 inches tall and weighs 9 1/8 pounds. Each form has a hard piece of wood at the neck. There is no head. Rather, there is a so-called "hat attachment" which is hard plastic covered by a layer of fabric. It is attached to the form by a metal rod which fits into the hat attachment at the back of the neck. It was clear at trial that the hat attachment would readily fall off if the mannequin toppled 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next thing that the plaintiff testified that she remembered was her husband saying her name over and over. She returned to consciousness as her husband was unhooking her arm from the rack on which she was caught. She testified that she felt sick, there was a sweet taste in her mouth and a clear liquid running from her nose. She felt that she was in a daze, that things were foggy. She remembered young women helping. She remembered one being upset and repeating over and over, "This is unacceptable". They tried to help her to sit up but she couldn't at first because she felt sick. The first aid attendant was called. After a time a wheelchair was brought and her husband used it to take her to the car. Ms. Ball recalled the helpful saleswoman pointing to a high shelf and telling her that was where the mannequin that had fallen had been.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testified that when she returned to consciousness she had her hand on a dummy that was lying partially under her. She then realized what it was and felt the hard part at the neck. She identified the large form as the size that had struck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Douglas Welch, the plaintiff's husband, testified. He recalled that he was shopping in the left side of the store when he heard a cry of distress. He turned to look to where Ms. Ball had been but couldn't see her. He then went around to the rack and saw the plaintiff lying on the floor, slumped forward with her arm hung up, hooked on the rack of hangers. She was somewhat prone, chest facing the floor, one shoulder near the floor, twisted to the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He said that she seemed to be unconscious. He called her name. At first she didn't respond, then she said, "My arm". He freed her arm from the rack. She was dazed. He got her sitting on the floor. Two staff members had come over to assist. One was apologizing saying, "I'm sorry, this shouldn't have happened."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He said that the plaintiff didn't say much except that she had been hit on the head. He said that he saw the mannequin on the floor beside her. He identified the mannequin as the large form. He recalls the first aid attendant arriving to assist. Mr. Welch felt the plaintiff's head. He said that there was no bleeding but that he felt a bump. He recalls that a wheelchair was brought and after a period Ms. Ball was taken to their car in the wheelchair. She was still dazed.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Welch returned to the store a few days later and took the photographs that were in evidence at the trial. His evidence was that, by the time he took the photographs, the display in the GAP had been changed. He testified that at the time of incident, the shelf from which the mannequin fell was in the place where the cow was in the photographs but higher, more like the level of the hay bale shelf in the photographs. This would be approximately six feet in height as opposed to approximately five feet in height.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Ms. Angela Kizinna also testified about the incident. She worked for the GAP from 1993 to 1997, progressing from part-time sales to assistant manager, which position she occupied in 1996. She was working on the afternoon of the incident. She was at the cash desk assisting customers when she heard a noise. It was a loud moan that alerted her to a problem. She turned and saw a mannequin lying on the floor and a woman who appeared to be holding on to the table or rack. Ms. Kizinna was alarmed. She hurried over and asked if the woman was okay. She said, "No" and then sank or fell to the floor. The movement to the floor was described as a sinking but happened too quickly for Ms. Kizinna to assist. The plaintiff's knee and foreleg hit the ground first. She didn't think that the woman lost consciousness. She recalled that a man who she later came to know was Ms. Ball's husband was there but she doesn't recall who arrived first.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She offered assistance and an ambulance three times, consistent with store policy. She did not examine the plaintiff but the plaintiff told her that she had a bump on her head. Ms. Kizinna recorded this in the incident report that she prepared. She recalls a wheelchair being brought. She doesn't recall the plaintiff leaving the store but believes that it was more than 20 minutes from the incident until she left the store. She does not recall any visible sign of injury or clear fluid.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cross-examination she agreed that she couldn't recall if the plaintiff's arm was hung up on the rack, nor all of the parts of her body that hit the 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She believed that the mannequin that fell was the middle form. It was her evidence that the shelf from which the mannequin fell was the same set up as that shown in the photographs. She said that the mannequin that fell was in the same position as the cow in the photograph. She stated that it was store policy that displays be staggered so as to cause the eye to travel in a pleasing manner through the store. Therefore the display would not have been lined up in the way suggested by Mr. Welch.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Ms. Kizinna prepared an incident report, which does not, however, identify the size of mannequin that fell. It describes the plaintiff as collapsing to the floor after answering "No" to Ms. Kizinna's question. Her report contains the recommendation that in future all mannequins be securely fastened whenever they are on any displays where there is a risk of one falling. She also recommended that displays be checked frequently for stability. At the time of the incident the mannequins in the displays, i.e. on shelves in the store, were not secured or fastened in any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It was her evidence that, to her knowledge, this was the first time a mannequin had fallen from a display shelf.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 find that Ms. Ball was struck when a mannequin fell from the display shelf. There were no witnesses to the incident. Ms. Ball was subjected to a vigorous cross-examination by defence counsel who challenged her description of the incident and suggested that, in fact, she fainted or had a dizzy spell, causing the mannequin to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However, in the end, I find that the incident occurred as described by Ms. Ball. Not only did I find her evidence to be credible but it was consistent with the bump on her head, and with the configuration of symptoms which she manifested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At the time the mannequin was not secured in any fashion to prevent it from falling, nor did the store have in place any policy of checking the mannequins on the display shelves for stability.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Although I believe nothing turns on the point, I accept Ms. Kizinna's evidence that the display was not configured as suggested by Mr. Welch at the time of the accident. Her evidence was consistent with the store policy at the time, as well as with her recollection of the height of the shelf - about five feet.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However, I find that it was the large size mannequin that fell. Ms. Kizinna candidly admitted that she was not sure of the size of mannequin. She had not noted the size in her report. Mr. Welch observed the mannequin at the time and, on his return to the store a few days later to take photographs, noted the size. However, it is my view that nothing turns on the difference in size. Both the large and mid-sized mannequin had the hard wooden neck piece. There was no evidence that the difference in size could amount to a different outcome with respect to possible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 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GAP's standard of care is governed by s. 3 of the Act which states: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836"/>
        <w:gridCol w:w="52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w:t>
            </w:r>
          </w:p>
        </w:tc>
        <w:tc>
          <w:tcPr>
            <w:tcW w:w="51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(1) </w:t>
            </w:r>
            <w:r>
              <w:rPr>
                <w:rFonts w:ascii="arial" w:eastAsia="arial" w:hAnsi="arial" w:cs="arial"/>
                <w:b/>
                <w:color w:val="000000"/>
                <w:sz w:val="18"/>
                <w:lang w:val="en-US" w:eastAsia="en-US" w:bidi="ar-SA"/>
              </w:rPr>
              <w:t>An occupier of premises owes a duty to take that care that in all the circumstances of the case is reasonable</w:t>
            </w:r>
            <w:r>
              <w:rPr>
                <w:rFonts w:ascii="arial" w:eastAsia="arial" w:hAnsi="arial" w:cs="arial"/>
                <w:color w:val="000000"/>
                <w:sz w:val="18"/>
                <w:lang w:val="en-US" w:eastAsia="en-US" w:bidi="ar-SA"/>
              </w:rPr>
              <w:t xml:space="preserve"> to see that a person, and the person's property, on the premises, and property on the premises of a person, whether or not that person personally enters on the premises, will be </w:t>
            </w:r>
            <w:r>
              <w:rPr>
                <w:rFonts w:ascii="arial" w:eastAsia="arial" w:hAnsi="arial" w:cs="arial"/>
                <w:b/>
                <w:color w:val="000000"/>
                <w:sz w:val="18"/>
                <w:lang w:val="en-US" w:eastAsia="en-US" w:bidi="ar-SA"/>
              </w:rPr>
              <w:t>reasonably safe in using the premises</w:t>
            </w:r>
            <w:r>
              <w:rPr>
                <w:rFonts w:ascii="arial" w:eastAsia="arial" w:hAnsi="arial" w:cs="arial"/>
                <w:color w:val="000000"/>
                <w:sz w:val="18"/>
                <w:lang w:val="en-US" w:eastAsia="en-US" w:bidi="ar-SA"/>
              </w:rPr>
              <w: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duty of care referred to in subsection (1) applies in relation to the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condition of the premises,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activities on the premises, or</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conduct of third parties on the premises.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Despite subsection (1), an occupier has no duty of care to a person in respect of risks willingly assumed by that person other than a duty not to</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create a danger with intent to do harm to the person or damage to the person's property, or</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act with reckless disregard to the safety of the person or the integrity of the person's property.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standard expected of an occupier is one of reasonableness, not perfection. In Milina v. Bartsch </w:t>
      </w:r>
      <w:hyperlink r:id="rId108"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(S.C.), (aff'd </w:t>
      </w:r>
      <w:hyperlink r:id="rId109" w:history="1">
        <w:r>
          <w:rPr>
            <w:rFonts w:ascii="arial" w:eastAsia="arial" w:hAnsi="arial" w:cs="arial"/>
            <w:i/>
            <w:color w:val="0077CC"/>
            <w:sz w:val="20"/>
            <w:u w:val="single"/>
            <w:shd w:val="clear" w:color="auto" w:fill="FFFFFF"/>
            <w:lang w:val="en-US" w:eastAsia="en-US" w:bidi="ar-SA"/>
          </w:rPr>
          <w:t>(1987), 49 B.C.L.R. (2d) 99</w:t>
        </w:r>
      </w:hyperlink>
      <w:r>
        <w:rPr>
          <w:rFonts w:ascii="arial" w:eastAsia="arial" w:hAnsi="arial" w:cs="arial"/>
          <w:color w:val="000000"/>
          <w:sz w:val="20"/>
          <w:lang w:val="en-US" w:eastAsia="en-US" w:bidi="ar-SA"/>
        </w:rPr>
        <w:t xml:space="preserve"> (C.A.), McLachlin J., as she then was, wrote at p. 58: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duty owed by an occupier of premises is to take reasonable care to see that persons using the premises will be reasonably safe. </w:t>
      </w:r>
      <w:r>
        <w:rPr>
          <w:rFonts w:ascii="arial" w:eastAsia="arial" w:hAnsi="arial" w:cs="arial"/>
          <w:b/>
          <w:color w:val="000000"/>
          <w:sz w:val="20"/>
          <w:lang w:val="en-US" w:eastAsia="en-US" w:bidi="ar-SA"/>
        </w:rPr>
        <w:t>The Acts do not impose a duty to take reasonable care to insure that persons using the premises will be 'absolutely safe'</w:t>
      </w:r>
      <w:r>
        <w:rPr>
          <w:rFonts w:ascii="arial" w:eastAsia="arial" w:hAnsi="arial" w:cs="arial"/>
          <w:color w:val="000000"/>
          <w:sz w:val="20"/>
          <w:lang w:val="en-US" w:eastAsia="en-US" w:bidi="ar-SA"/>
        </w:rPr>
        <w:t xml:space="preserve">. As stated in Hagerman v. Niagra Falls </w:t>
      </w:r>
      <w:hyperlink r:id="rId431" w:history="1">
        <w:r>
          <w:rPr>
            <w:rFonts w:ascii="arial" w:eastAsia="arial" w:hAnsi="arial" w:cs="arial"/>
            <w:i/>
            <w:color w:val="0077CC"/>
            <w:sz w:val="20"/>
            <w:u w:val="single"/>
            <w:shd w:val="clear" w:color="auto" w:fill="FFFFFF"/>
            <w:lang w:val="en-US" w:eastAsia="en-US" w:bidi="ar-SA"/>
          </w:rPr>
          <w:t>(1980), 29 O.R. (2d) 609</w:t>
        </w:r>
      </w:hyperlink>
      <w:r>
        <w:rPr>
          <w:rFonts w:ascii="arial" w:eastAsia="arial" w:hAnsi="arial" w:cs="arial"/>
          <w:color w:val="000000"/>
          <w:sz w:val="20"/>
          <w:lang w:val="en-US" w:eastAsia="en-US" w:bidi="ar-SA"/>
        </w:rPr>
        <w:t xml:space="preserve">, per Labrosse J. at p. 613, </w:t>
      </w:r>
      <w:r>
        <w:rPr>
          <w:rFonts w:ascii="arial" w:eastAsia="arial" w:hAnsi="arial" w:cs="arial"/>
          <w:b/>
          <w:color w:val="000000"/>
          <w:sz w:val="20"/>
          <w:lang w:val="en-US" w:eastAsia="en-US" w:bidi="ar-SA"/>
        </w:rPr>
        <w:t>the occupier does not owe a duty to provide safety in all circumstances, but rather a duty to use reasonable care to prevent injury or damage from danger which is known or which ought to be known</w:t>
      </w:r>
      <w:r>
        <w:rPr>
          <w:rFonts w:ascii="arial" w:eastAsia="arial" w:hAnsi="arial" w:cs="arial"/>
          <w:color w:val="000000"/>
          <w:sz w:val="20"/>
          <w:lang w:val="en-US" w:eastAsia="en-US" w:bidi="ar-SA"/>
        </w:rPr>
        <w:t>.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Case law holds that "an occupier is not an insurer". Lamont v. Westfair Properties (Pacific Ltd.) et al., </w:t>
      </w:r>
      <w:hyperlink r:id="rId432" w:history="1">
        <w:r>
          <w:rPr>
            <w:rFonts w:ascii="arial" w:eastAsia="arial" w:hAnsi="arial" w:cs="arial"/>
            <w:i/>
            <w:color w:val="0077CC"/>
            <w:sz w:val="20"/>
            <w:u w:val="single"/>
            <w:shd w:val="clear" w:color="auto" w:fill="FFFFFF"/>
            <w:lang w:val="en-US" w:eastAsia="en-US" w:bidi="ar-SA"/>
          </w:rPr>
          <w:t>[2000] B.C.J. No. 513</w:t>
        </w:r>
      </w:hyperlink>
      <w:r>
        <w:rPr>
          <w:rFonts w:ascii="arial" w:eastAsia="arial" w:hAnsi="arial" w:cs="arial"/>
          <w:color w:val="000000"/>
          <w:sz w:val="20"/>
          <w:lang w:val="en-US" w:eastAsia="en-US" w:bidi="ar-SA"/>
        </w:rPr>
        <w:t xml:space="preserve">; </w:t>
      </w:r>
      <w:hyperlink r:id="rId432" w:history="1">
        <w:r>
          <w:rPr>
            <w:rFonts w:ascii="arial" w:eastAsia="arial" w:hAnsi="arial" w:cs="arial"/>
            <w:i/>
            <w:color w:val="0077CC"/>
            <w:sz w:val="20"/>
            <w:u w:val="single"/>
            <w:shd w:val="clear" w:color="auto" w:fill="FFFFFF"/>
            <w:lang w:val="en-US" w:eastAsia="en-US" w:bidi="ar-SA"/>
          </w:rPr>
          <w:t>2000 BCSC 406</w:t>
        </w:r>
      </w:hyperlink>
      <w:r>
        <w:rPr>
          <w:rFonts w:ascii="arial" w:eastAsia="arial" w:hAnsi="arial" w:cs="arial"/>
          <w:color w:val="000000"/>
          <w:sz w:val="20"/>
          <w:lang w:val="en-US" w:eastAsia="en-US" w:bidi="ar-SA"/>
        </w:rPr>
        <w:t>, at para. 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While it is the case that the occupier is not an insurer and that the standard is not one of perfection, the Act does place an affirmative duty on the occupier to make the premises reasonably safe. See Waldick v. Malcolm, </w:t>
      </w:r>
      <w:r>
        <w:rPr>
          <w:rFonts w:ascii="arial" w:eastAsia="arial" w:hAnsi="arial" w:cs="arial"/>
          <w:i/>
          <w:color w:val="000000"/>
          <w:sz w:val="20"/>
          <w:lang w:val="en-US" w:eastAsia="en-US" w:bidi="ar-SA"/>
        </w:rPr>
        <w:t>[1991] 2 S.C.R. 456</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 find that in this case the defendant did not take reasonable precautions to protect invitees against a risk that it knew or reasonably ought to have known existed in its premises. The mannequins are clearly unstable on their little mannequin feet, as was readily apparent in the courtroom. They are heavy enough to constitute a danger if they were to fall, particularly given the hard wooden neck piece and the instability of the hat piece. They were standing on shelves, in the part of the store where customers were expected to be shopping, several feet off the ground, increasing the danger in the event of one falling. This clearly, in my view, constitutes a risk of which the defendant ought to have been aware.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defendant took no precaution whatsoever to protect invitees from this risk. The mannequins were not secured on the shelves. There was no inspection of the displays to check for stability. It would have been a relatively minor matter to secure the mannequins either to the shelves or to the walls. The evidence is that there were stands that could have been used to secure the mannequins. Failing that, the loops on the back of the forms could have been used to secure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 defence has argued that, in the absence of evidence from the plaintiff as to why the mannequin fell, a breach of duty should not be found, citing Wiley v. Tymar Management Inc., </w:t>
      </w:r>
      <w:hyperlink r:id="rId433" w:history="1">
        <w:r>
          <w:rPr>
            <w:rFonts w:ascii="arial" w:eastAsia="arial" w:hAnsi="arial" w:cs="arial"/>
            <w:i/>
            <w:color w:val="0077CC"/>
            <w:sz w:val="20"/>
            <w:u w:val="single"/>
            <w:shd w:val="clear" w:color="auto" w:fill="FFFFFF"/>
            <w:lang w:val="en-US" w:eastAsia="en-US" w:bidi="ar-SA"/>
          </w:rPr>
          <w:t>[1997] B.C.J. No. 770</w:t>
        </w:r>
      </w:hyperlink>
      <w:r>
        <w:rPr>
          <w:rFonts w:ascii="arial" w:eastAsia="arial" w:hAnsi="arial" w:cs="arial"/>
          <w:color w:val="000000"/>
          <w:sz w:val="20"/>
          <w:lang w:val="en-US" w:eastAsia="en-US" w:bidi="ar-SA"/>
        </w:rPr>
        <w:t xml:space="preserve"> (C.A.). In Wiley, supra, the plaintiff fell when the folding chair on which she was sitting collapsed. The Court said that the difficulty in the plaintiff's case was that there was no evidence from which a conclusion could be drawn about why the chair collapsed. Because the chair could have collapsed for a number of reasons other than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occupier, the Court said that without knowledge as to why the chair collapsed, it was not possible to find a breach of a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the case at bar, I find that it is possible to conclude that there was a breach of duty in the absence of evidence as to what caused the mannequin to fall. The breach of duty was in failing to secure the mannequin so that it would not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summary, I find that the plaintiff was injured when a mannequin that was standing on a shelf toppled over and struck her on the head. I find that the defendant's failure to secure the mannequin breached the duty of care imposed by the Act. The defendant is therefore liable for the damage caused by its breach of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Breach of duty having been established, the next matter that must be considered is the question of causation. The plaintiff claims that, as a result of the incident, she has been totally and permanently disabled. The defence submits that the disabilities suffered by the plaintiff are the product of prior and subsequent illnesses and accidents such that her current disability was not caused by the GAP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plaintiff claims that she was functioning in her employment until the GAP incident, notwithstanding her illnesses and prior injuries but that the injuries suffered in that incident destroyed her ability to 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defence claims, somewhat paradoxically, that the plaintiff was essentially disabled before the GAP incident but also that she in fact returned to work after the incident. The argument advanced by the defence is that the injuries, if any, suffered in the GAP bear no causal relation to the plaintiff's present state of disability.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Ms. Ball has had the misfortune to have suffered several injuries in previous accidents. In addition, she has suffered from a number of medical conditions, all of which are relevant to the question of causation and to the assessment of her claim for damages arising from this incident. It is therefore necessary to review, in some detail, her medical and employment history.</w:t>
      </w:r>
      <w:r>
        <w:rPr>
          <w:rFonts w:ascii="arial" w:eastAsia="arial" w:hAnsi="arial" w:cs="arial"/>
          <w:sz w:val="20"/>
          <w:lang w:val="en-US" w:eastAsia="en-US" w:bidi="ar-SA"/>
        </w:rPr>
        <w:cr/>
      </w:r>
    </w:p>
    <w:p>
      <w:pPr>
        <w:numPr>
          <w:numId w:val="5"/>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plaintiff was born in 1947 in Saskatchewan. Her family moved first to Ottawa and then to Vancouver in 1960. The moves were partly motivated by a need to move to a climate more forgiving of the plaintiff's severe asthma.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plaintiff exhibited her passion for the theatre early, putting on neighbourhood productions in her parent's home and backyard. She was active in the theatre in high school, both at Lord Byng School and at the Holiday Theatre.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She suffered from chronic asthma during her childhood, which caused her to miss a considerable amount of school. Although she says that her condition improved dramatically upon the move to Vancouver, the problem was chronic. She has continued to suffer periodic flare-ups of the asthma throughout her life, continuing to the present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Ms. Ball entered a theatre internship program, then offered by the Vancouver Playhouse, directly after high school, in 1964. She was involved with that program and with the Holiday Theatre until the time of her first marriage in 1966.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At that time she moved to New Haven, Connecticut, where she audited courses at Yale, studied theatre, taught theatre and worked in several theatres in the area. She travelled back to Vancouver in the summers to teach at the Holiday Theatre. Her first marriage ended in divorce.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plaintiff married for a second time in 1971, at which time she moved first to Los Angeles and then to Seattle. Throughout this time, the plaintiff continued her involvement in the theatre and returned periodically to Vancouver to work with the Vancouver Playhouse and to teach at the Holiday Theatre.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When the plaintiff's second marriage ended in divorce in 1973 or 1974, she moved back to Vancouver and became an actor, dramaturge and teacher. She taught with the Arts Club Theatre School and offered a course at the University of British Columbia. Her special interest in children's theatre led her to found the Carousel Theatre Company ("Carousel") which company has been the central focus of her professional career for the past twenty-five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1976 a non-profit society associated with Carousel was created. By this time the Carousel had offered six productions. The plaintiff had directed three of these and acted in three others. She was then the only employee of Carousel, and in her words, responsible for everything in relation to the company. Later she was able to hire additional employees to assist her but she remained throughout the mainstay of the Carousel, serving as both Managing and Artistic Director, as well as directing many of its productions.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1976, Ms. Ball began to consult with Dr. Akins, a psychiatrist, for feelings of depression. He treated her until 1979.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In 1978 Carousel offered seven productions, all of which the plaintiff produced and four of which she directed. In addition, she was involved with the Arts Club Theatre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July, 1978, the plaintiff was injured in a motor vehicle accident. Her car was hit from behind as one in a series of sequential collisions. The accident left Ms. Ball with a number of problems. Her memory was impaired. She had difficulties with concentration and reading. She suffered from headaches. She experienced aphasia. She reported difficulties doing her work. Several EEGs were administered, each showing abnormal results.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Dr. Shalman, a psychologist, administered a battery of tests in December, 1978, and reported that the plaintiff's mental efficiency and effectiveness in problem solving were impaired. She was also seen by Dr. Emmons, a neurologist, and Dr. Moyes, a neurologic surgeon. It appears that she suffered a head injury of moderate severity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By the end of 1978 the plaintiff returned to directing and was able to do some fund raising but was doing less at work than she had previously been able to do. She made gradual progress through 1979, slowly returning to normal, except with respect to her memory. Ms. Ball testified that her memory never returned to its pre-accident state, causing her to give up acting.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years 1980 to 1983 were busy and productive for the plaintiff. In 1980 she married Douglas Welch. She was also directing and producing at the Carousel, having now recovered from the effects of the accident. In addition, she had become involved with the Waterfront Theatre (the "Waterfront"). She was involved as well in professional activities in the United States, pursuant to awards she had received. Her health was good.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1983 she gave birth to her first child. There were some medical complications associated with the pregnancy. She was busy with the Carousel, including directing three projects. In addition, she was working in New York. At this time, her medical records report that she was suffering from neck pain and pain radiating into her left arm. There is some suggestion that this pain originated with the 1978 accident; elsewhere it is suggested that the pain originated in 1983.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pain continued and grew worse through 1984. Ms. Ball developed significant symptoms in her left arm culminating in near paralysis of the arm. A mylelgram showed a c6-c7 disc protrusion on the left side. She underwent a cervical discectomy and fusion at the c6-c7 level in March 1984, and was found to have a sequestrated disc that had ruptured and that was compressing the left c7 nerve root.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Ms. Ball continued to suffer from significant pain following the surgery. At first she took a limited amount of time off work. Later, she found it necessary to take several weeks off work because of the pain. By September 1984, her surgeon, Dr. Steinbok, reported that the pain had largely resolved.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1985 Ms. Ball was again back to full involvement at the Carousel, producing all of the productions and directing four productions during the course of the year. Her second child was born in July. There were serious complications involving gestational diabetes, which resulted in her hospitalization for a month prior to the birth. She was, however, able to carry on with much of her work during her hospitalization. She testified that staff would come to the hospital and she conferred by telephone. In September of 1985, the plaintiff also suffered from a recurrence of the pain in her neck and left 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In June 1986, Ms. Ball was injured in another motor vehicle accident. In this accident, her car was hit broadside at an intersection. Following the accident, she suffered from a major recurrence of pain in her neck and left arm. The pain was serious and disabling. Any exertion intensified the pain. The pain caused her to suffer from exhaustion. She was unable to work, to do housework or to play with her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Between the second accident and 1989, the plaintiff was able to do some work at the Carousel. She directed three productions in each of 1986 and 1987 and two productions in 1988, in addition to her other duties. In 1989 she directed three productions and was involved in fund raising for a capital project for the Waterfront.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It is clear however, that the plaintiff was able to work only a fraction of the hours she had worked previously. Prior to the 1986 accident, the plaintiff testified that her duties frequently occupied in excess of 60 hours per work, often seven days per week. By October 1986, she was able to work only two hours a day. By 1987, she reports being able to work 15 hours per week. She was still not working full-time in 1988 and 1989 and appears to have been working for approximately 20 hours per week during this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Her pain during this period was described in the clinical records as chronic. It was thought likely to be permanent. She appeared to be significantly disabled from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In addition to these problems, in 1988 the plaintiff consulted with Dr. Amar, a gastro-enterologist. He reported that she had a history of abdominal symptoms. She had suffered nausea and GI complications, including profound weight loss, from medications, severe and persistent enough to require hospitalization for two weeks. She continued to consult with Dr. Amar with respect to her GI complaints through 1988 and the following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In addition, in December of 1989 she suffered a flare-up of her asthma that also required medical attention.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By 1990, the plaintiff's level of involvement at work had returned to normal. During that year, she produced and directed four productions at the Carousel. In addition, she carried on with her management activities at the Carousel and at the Waterfront. She continued to suffer from severe neck and left arm pain. In addition, through the year she suffered from menorrhagia. The clinical records record that she complained of significant fatigue.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In 1991, she was still suffering from menorrhagia. She was anaemic and taking iron supplements. She reported extreme fatigue. In the summer, she consulted with Dr. Raycraft, a psychiatrist. Her complaints included marital problems and chronic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On July 15, 1991 the plaintiff was hit on the head by a chandelier which fell at Robinson Lighting Store. She reported a loss of consciousness of one to two minutes duration. On examination two days after the incident, her doctor noted a bruise on her right upper arm and bruising around both eyes, so-called "racoon eyes", which can be consistent with a basal skull fracture. She had neck spasms and headaches and tenderness over the parietal and occipital scalp. X-rays of the cervical spine were ordered which showed no trace of fracture.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In 1991 the plaintiff carried on with her normal workload despite these medical complications, although she might have taken some time off work after the head injury in July. She directed four productions in that year, in addition to her other duties. In September, she was involved in all aspects of a special fund raising production of "12 Angry Jurors", including directing, selecting costumes, coaching, set and stage arrangements. The production involved significant amounts of evening and weekend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Later, in 1991, the plaintiff reported that she had been suffering from jaw pain since the head injury and ear problems, perhaps secondary to a root canal.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In 1992, the plaintiff again produced all of the Carousel productions and directed four. She continued with her duties as the General Manager of the Waterfront and as the Artistic Director and Managing Director of the Carousel.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It was a year marked with several significant medical complaints. In February, the clinical records note that she reported stress. In March, she reported complaints of chronic pain. The clinical records of Dr. Morwen-Smith, her family physician, record that she is "very down, not coping, not functioning at work/home". She had problems with a chronic cough. In April, she reported to Dr. Amar that for the past 18 months she had been extremely tired. It was thought that this fatigue was partly due to the profound anaemia caused by uterine bleeding. She was also reporting GI problems. Dr. Amar's diagnosis was that she suffered from esophageal reflux.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Meanwhile, the plaintiff participated in the performance class over the summer which involved six very intense weeks of work. Ms. Ball was the director. Her energy level was described by Ms. Higgins, a colleague, as high and her attitude as positive.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In the fall, both Ms. Ball's GI problems and her cough continued. She had been referred to Dr. Kane, a psychiatrist, who had been seeing her since May 1992. Dr. Kane notes that the plaintiff has been plagued since the motor vehicle accidents in the early 1980s by continuous and constant pain. In addition she had experienced complications in pregnancy, health issues with respect to her children, financial problems caused by the children's medical needs and marital issues. Dr. Kane noted that Ms. Ball was clearly over stressed.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In 1993, the plaintiff continued to be fully occupied at work. She directed four productions in addition to her other duties. At the same time, she continued to be plagued with a number of significant health problems. In March, she reported left arm numbness and hotness in addition to the constant pain in her neck and along the c5/6 nerve root. This was accompanied by weakness in her left hand. More x-rays of the cervical spine were taken. She was now taking morphine for the pain. A note in the clinical records at this time reads "+pain, unable to cope, taking morphine for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Her condition was evaluated by Dr. Boyd, a specialist in neurological surgery, who described her symptoms as including decrease in fine motor movements, weakness, pain and cramping in the morning. He described her situation at that time as "disabling" and "progressive".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Her neck and arm problems continued over the summer. Nevertheless, she was once again involved in the summer performance class which she again directed. Ultimately, Dr. Boyd did not recommend surgery at that time, but felt that the situation should be monitored.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In the fall, she was involved in every facet of the fund raising production "Rehearsal for Murder", again involving long hours, evenings and weekends. At this time the clinical records note complaints of fatigue ++ and chronic pain in neck and shoulder.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Later on in the year, the plaintiff visited Dr. Beatty, an opthamologist, to have her prescription corrected. She required very significant corrective lenses. She continued to complain of exhaustion and was still taking iron supplements for anaemia.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1994 was again a busy year at work for the plaintiff. She directed five productions and in addition to her other duties, she was involved in a major fund raising campaign for the Carousel capital project. Ms. Higgins was involved in a project which was in rehearsals in January and in performance through February and March, which the plaintiff directed. Ms. Higgins testified that she saw no signs of problems at work, even with the plaintiff in rehearsal every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clinical records for the same period, however, report continuing complaints of extreme fatigue, "feeling awful", pain, cramps, low energy, GI complaints and anaemia.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Ms. Ball also had an additional family concern which caused her considerable distress, when her mother was diagnosed with Alzheimer's disease in the spring of 1994. Ms. Ball assisted in giving care to her mother until she passed away in 2000. For the balance of that year complaints of peri-menstral depression, headache and anaemia are recorded in the plaintiff's clinical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Ms. Higgins' evidence with respect to the period spanning from spring 1994 to the summer of 1996 was that she saw the plaintiff nearly every day at work and never observed problems. The plaintiff always seemed to be "on top of her game."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In 1995 the plaintiff again directed several productions, in addition to her regular duties. She had many responsibilities with respect to the Carousel's new building project including fund raising, design work, work to obtain the necessary permits, assisting with the environmental studies and consultations with the architects.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In January and February, the clinical records note that the plaintiff continued to take iron supplements. She complained of shortness of breath and of not sleeping.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In April, she consulted with Dr. Fleetham, who is associated with the Division of Respiratory Medicine at the University of British Columbia Hospital, for her asthma. His records note that she had a chronic non-productive cough. Her main complaint was that for the last two years she had been completely exhausted with generalized fatigue and inability to build up any stamina. The note records that she goes to bed at 9:00 p.m. and sleeps until 6:00 a.m. but remains exhausted. She awakens two to three times per night and is unrefreshed in the morning. She is so exhausted during the daytime that she is unable to make her bed. She reports muscle pain in her arms and intermittent light headedness related to standing.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Somewhat difficult to square with the complaints documented in the clinical records is the evidence from co-workers concerning the plaintiff's performance at work during this period. The evidence from Ms. Higgins was noted earlier. Ms. Morgan testified that in May rehearsals commenced for another fund raising production, in which the plaintiff was fully involved in every aspect of the production necessitating lengthy time commitments most evenings and weekends. Once again, this activity was in addition to the plaintiff's regular duties at the Carousel and the Waterfront.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In October of that year, the clinical records note "stressed ++, recurrent infections, family stressors, asthma worse with gastritis." Dr. Morwen-Smith advised the plaintiff to consider a leave of absence or part-time work in the next year. The plaintiff's evidence is that she would not consider either option.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plaintiff reported back pains in November. In December, she reported a flu-like illness resulting from a sewage spill at work lasting at least two weeks.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In the first months of 1996, the plaintiff directed three projects and co-directed another production in addition to her other duties. There were also many responsibilities undertaken with respect to the new building, including choosing furnishings and working with designers and consultants. In fact, she became the Project Manager for the new building.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She experienced many difficulties with respect to her health again in 1996. She suffered from ear problems including one episode of extreme vertigo in January. In March, investigation of her complaints of back pain revealed that she suffered from degenerative disc disease at L4-L5 and L5-S1. In May, the plaintiff's clinical record notes complaints of "feeling exhausted ++". In June, Valium and Ativan were prescribed.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In August, the plaintiff underwent a partial hysterectomy in an effort to treat her menstrual symptoms and the anaemia which was felt to have resulted from the extreme blood loss. The operation, performed August 12, 1996, was uneventful. Following the surgery, the plaintiff was having a somewhat slow recovery, reporting "feeling horrible, no energy, pain, sleeping poorly ++ fatigue" in early September. Except for some telephone consultations with staff, the plaintiff had not returned to work when the incident at the GAP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On the day following the GAP incident, Dr. Morwen-Smith's notes record the plaintiff's description of the incident. She notes that on examination, right shin ++ tender to light touch, right parieto-occipal scalp tender, no swelling. Decreased range of motion in the neck all directions with ++ spasm, bruising left upper arm, decreased range of motion with pain in the shoulder. Blood work was returned at that time which raised a query of anaemia.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In October 1996 the plaintiff was referred to Dr. MacDonald, a psychologist. Dr. MacDonald records complaints of headache, right knee pain, pain and frustration, exhaustion, decreased sleep and difficulty with work. The plaintiff reported difficulty with concentrating and being unable to manage. The plaintiff's evidence is that at this time she was attempting to work but failing. She did travel for business on October 25 and 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In November Dr. Morwen-Smith records complaints of persistent headaches, persistent right knee pain on stair climbing, left neck and shoulder ache and blurring vision. The note states that she was unable to work more than three hours a day. Black eyes, appearing two days after the incident, were reported, causing Dr. Morwen-Smith to suspect a basal skull fracture. A skull series was done, but no fracture observed. On examination, the plaintiff exhibited tenderness in the neck, with decreased range of motion and tenderness with no swelling in the knee. Later in the month the Westside Physio clinic notes record dizziness moving from sit to stand and two fainting episodes.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For the balance of that year, the plaintiff continued to report to her doctors complaints of exhaustion, difficulties in concentration, inability to work, blurring vision and neck pain. She did travel to Washington D.C. and New York in December for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In the early part of 1997, the plaintiff's complaints continued. She was seeing Dr. MacDonald on a regular basis, as well as Dr. Morwen-Smith. Her complaints included: depressed mood, frustration due to inability to concentrate at work, head and neck pain, blurry vision and exhaustion.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She continued to report efforts to do her work but with difficulties in concentration, organization and decision making.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In May 1997 the plaintiff was able to take part in two performances involving a reading. She experienced one episode of transient aphasia with headache which led to a visit to the ER and CT scan which was unremarkable.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In July she worked on the Performance Workshop but required assistance and significantly reduced her hours. Dr. Beatty performed a visual field and Visual Evoked Potential examination ("VEP"). He observed significant delay affecting both eyes. The VEP was significantly delayed suggesting, in his opinion, a bilateral visual pathway delay.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In August, Ms. Ball suffered from bilateral ankle pain and swelling which was found to be reactive arthritis due to mycoplasma pneumonia. The pneumonia caused a persistent cough which continued to be problematic until near the year end. The swelling and discomfort in the ankles recurred in October.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In September, Dr. Lindley, a neural opthamologist, performed further testing in relation to the problems Ms. Ball was reporting with her vision. She concluded that there were diffuse processing abnormalities likely secondary to a closed head injury. She felt that there was no anatomic defect in her visual system but likely a visual interpretative problem associated with difficulties in concentration.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Mr. LeBlanc, a co-worker, testified that the plaintiff's her hours at work were dwindling by the end of that year. She called late many days and was working part-time, at best. Not only were her hours limited but her effectiveness was also limited.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She did take on a consulting job in 1997 that ran through 1998. This assignment resulted in a significant donation to the theatre in addition to compensation paid to the plaintiff. The evidence is that this assignment did not pose the same challenges as her regular employment. Thus, the fact that she was able to complete this work is not evidence that she could discharge her responsibilities at Carousel.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In 1998, her participation at work continued to be diminished. She co-directed a couple of projects. She was able to put in only minimal work on these projects and required significant assistance. She then took the entire summer off. Her main complaints continued to be problems with concentration, blurred vision, pain and exhaustion. However, she did suffer from a recurrence of the reactive arthritis symptoms in February. In the summer, she also experienced a recurrence of severe GI symptoms, including pain, discomfort, cough and choking.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In November, Ms. Ball was attending a rehearsal when she fell and broke her talus. The injury required casting. At trial, her evidence was that she fell because of a stabbing pain in her right knee, which she experienced when she stood up. She testified that the pain made her dizzy, causing her to lose her balance.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In 1999, her involvement at work continued to be diminished. She co-directed one project and was off work from June to October. She was diagnosed in February, in connection with her GI symptoms, as having a hiatus hernia and her GI problems continued through the year. The problems she had been experiencing with her knee had become much worse since the fall the preceding November. Her complaints of pain, blurred vision, exhaustion and difficulty in concentration continued. In addition, she was diagnosed with high blood pressure. The plaintiff also continued to receive counselling for feelings of depression. She continued to receive counselling for feelings of depression. Her GI problems also continued through the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In 2000, the plaintiff was still unable to work full time. Her complaints of difficulty with focus, attention, concentration and vision continued. She continued to report symptoms of back, neck and knee pain, as well as exhaustion. In the summer of that year, her mother passed away and the plaintiff obtained counselling to assist with the grieving process. She was plagued with a persistent cough and continued to have anaemia that the hysterectomy had not resolved as had been hoped.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Ultimately, her evidence is that, despite all her best efforts, she was never able to return to productive employment at the Carousel. She said she was forced to turn in her resignation. It was expected that a new Artistic Director would be hired in June of this year. Mr. LeBlanc has taken over as managing Director.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In summary, the plaintiff contends that, as a consequence of the incident at the GAP, she sustained a concussion, with consequent visual dysfunction, slowed mental processing and efficiency; an aggravation of her neck and left arm pain; and right knee chondromalacia. That the plaintiff had suffered several significant injuries prior to the incident and had a number of serious ongoing medical conditions is not in dispute. The plaintiff submits that, whatever these difficulties, she was able to function successfully in her employment prior to the GAP incident. However, as a consequence of the injuries suffered, she is no longer able to function in her employment; nor is she likely to be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The defence has contended that the plaintiff's problems were largely pre-existing and that, prior to the GAP incident, she was essentially unable to function at work due to the combination of these problems. The defence also contends that the plaintiff was in fact able to return to work following the GAP incident and that therefore that incident is not the cause of the disability from which she now suffers. That disability is, in the defence's contention, the result of the plaintiff's complex medical conditions, pain, exhaustion, medications and anaemia.</w:t>
      </w:r>
      <w:r>
        <w:rPr>
          <w:rFonts w:ascii="arial" w:eastAsia="arial" w:hAnsi="arial" w:cs="arial"/>
          <w:sz w:val="20"/>
          <w:lang w:val="en-US" w:eastAsia="en-US" w:bidi="ar-SA"/>
        </w:rPr>
        <w:cr/>
      </w:r>
    </w:p>
    <w:p>
      <w:pPr>
        <w:numPr>
          <w:numId w:val="6"/>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xml:space="preserve">  The determination of causation in this case is rendered complex by both the pre-existing and subsequent illnesses from which the plaintiff suffered, and by reason of the two previous motor vehicle accidents and the prior store incident, each of which injured the plaintiff. The principles to be applied were articulated in Athey v. Leonati, </w:t>
      </w:r>
      <w:hyperlink r:id="rId13"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at pp. 466-468. I summarize those principles as follows:</w:t>
      </w:r>
      <w:r>
        <w:rPr>
          <w:rFonts w:ascii="arial" w:eastAsia="arial" w:hAnsi="arial" w:cs="arial"/>
          <w:sz w:val="20"/>
          <w:lang w:val="en-US" w:eastAsia="en-US" w:bidi="ar-SA"/>
        </w:rPr>
        <w:cr/>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causation is established where the plaintiff proves to the civil standard on a balance of probabilities that the defendant caused or contributed to the injury;</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"but for" test is the general test for causation. Where this test is unworkable, causation is established where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materially contributed to the occurrence of the injury;</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need not be the sole cause of injury; so long as it is a material cause, the defendant will be liable. There is no apportionment between tortious and non-tortuous causes;</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is to be restored to the position she would have been in absent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Therefore the defendant need not compensate the plaintiff for the debilitating effects of pre-existing conditions, nor for subsequent events which are completely unrelated to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The plaintiff suffered a number of distinct injuries which must be considered separately.</w:t>
      </w:r>
      <w:r>
        <w:rPr>
          <w:rFonts w:ascii="arial" w:eastAsia="arial" w:hAnsi="arial" w:cs="arial"/>
          <w:sz w:val="20"/>
          <w:lang w:val="en-US" w:eastAsia="en-US" w:bidi="ar-SA"/>
        </w:rPr>
        <w:cr/>
      </w:r>
    </w:p>
    <w:p>
      <w:pPr>
        <w:numPr>
          <w:numId w:val="8"/>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Head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This is the most serious claim. The plaintiff claims that the blow to the head caused a concussion, with consequent visual dysfunction, slowed mental processing and efficiency such that she is no longer able to meet the demands of her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Dr. Craig Beattie, an ophthalmologist with special expertise in the testing of vision through electrical testing, gave evidence concerning the plaintiff's vision. He had first examined Ms. Ball for a correction to her prescription in 1993 and later for routine complaints in 1994.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He saw the plaintiff again in June 1997 following the GAP incident. She complained of blurry vision that deteriorated with fatigue and problems with the co-ordination of the vision from both eyes. He undertook visual field testing which showed non-specific abnormalities. The VEP results showed delayed responses. He noted in his testimony that these tests are objective and that the testing here was reliable. His conclusion at the time was that the plaintiff was suffering from non-specific neurological abnormalities directly related to the head injury which she sustained in September 1996 and that she had neurological changes affecting visual processing within the brain, but not affecting the eyes directly.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He referred Ms. Ball to Dr. Lindley, a neuro-opthalmologist, who performed similar testing and did not suggest any specific treatment. It was felt at the time that the problems would likely improve over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Ms. Ball returned to Dr. Beattie in 1998 when the VEP testing was repeated. Dr. Beattie reports that the testing again demonstrated delayed responses. He stated that the test results which were obtained were, in his opinion, consistent with Ms. Ball's subjective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In his October 25 report, Dr. Beattie concluded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 believe that Ms. Ball has suffered non-specific visual dysfunction secondary to closed head trauma on September 22, 1996. I am unable to find any other cause for the visual problems which she now describes.[...] I believe that there was damage to the visual pathways at the level of the occipital and parietal cortex where high level visual processing occurs in the brain.[...] The best indication that Ms. Ball's visual problems are primarily neurological rather than psychological is the fact that her visual evoked potential responses have been delayed consistently on two examinations since the injury. The VEP procedure is objective in the sense that the subject has little or no control over the results beyond the simple act of co-operating with the technicians performing the 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In his testimony, Dr. Beattie stated that the abnormal VEP and visual field testing, in his opinion, show that there is damage somewhere between the retina and the visual cortex, probably between the optic nerve and the occipital cortex.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In cross-examination, Dr. Beattie was referred to Dr. Lindley's report which notes no finding of anatomic defect. He concurred with this finding, explaining that, in his opinion, an anatomic defect refers to a defect in structure not pathophysiology. Thus a finding that there is no anatomic defect does not mean that there is no physical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Dr. Beattie was cross-examined extensively on the reliability and objectivity of the examinations. Having heard his explanation of the nature of the testing, I am satisfied that these tests were reliable and that concentration problems did not produce the plaintiff's test results. Similarly, I am satisfied that neither the test results, nor the subjective symptoms of Ms. Ball, were the product, as suggested by the defence, of either hypertension or the laser surgeries which she underwent. Hypertension would have to have been severe, causing generalized damage before producing the symptoms displayed by the plaintiff. The timing of the laser surgeries does not accord with the onset and duration of her symptoms. In particular, she had a successful final outcome of the laser surgery, but the complaints at issue in these proceedings remain unabated.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Dr. Beattie knows of no treatment for such an injury. None has been suggested by any of the doctors giving evidence in these proceedings. Given the findings on the repeat VEP examination two years after the injury, he concluded that further recovery would be slow, if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Dr. Duncan Anderson, a neuropthamologist, testified for the defence. It was his opinion that Ms. Ball has no residual deficit in the visual system. It was his conclusion in his report of March 31, 2000,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...her basic diagnosis is psychological rather than physical in the area encompassed by the term post traumatic stress disorder, but I don't believe she has any primary persistent visual problems related to any of the injuries. It is possible that she has a minor traumatic brain injury causing some very minor visual interpretative disorders, but I have emphasized to her that the main avenue now would be rehabilitation of the visual system with lots of effort towards reading and working and using the eyes.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Dr. Anderson concluded his testimony by stating that the plaintiff has a possible mild traumatic brain injury causing minor visual interpretative disorder. However, the tests, such as the VEP test, do not measure the complaints reported by Ms. Ball. Accordingly, it is necessary to look further. He did not doubt the genuineness of her complaints. His field of specialization cannot test for such complaints. He felt that the matter was more in the domain of the neuropsychologist and neuropsychiatrist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In a follow-up report in March 2001, he concluded: "I do not think any of us have a definite explanation for her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In his testimony, he elaborated that he would have expected to see some atrophy injury to the optic nerve or retina in the case of damage to the visual system. In his experience, because of the sensitivity of the Humphrey visual field test, abnormal results are reported not infrequently in people who have no symptoms of visual dysfunction. With respect to the VEP tests, it was his opinion that the VEP test results do not measure the problems which this patient was having with her higher order visual functions. He stated that there was no test that neuro-opthamologists have to measure diffuse processing abnormality such as suggested in Dr. Lindley's report. The problem in such a case is at a higher level of function that is beyond the special expertise of the neuropthamologist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Dr. Janke, a psychiatrist with special expertise in head injury, also gave evidence. He testified that given Ms. Ball's past history of closed head injury, she would be particularly sensitive to the effect of further head trauma. He considered that her post-incident symptoms are consistent with a closed head injury of at least mild nature with persisting impairment of concentration and some specific neurological deficits in the area of writing and word finding. He felt that the plaintiff was suffering from an Adjustment Disorder with Depressed Mood and Post-Concussion Syndrome. He found her to be significantly impaired in terms of her work, which makes particular demands on her cognitive skills. He examined her in 1997 and at that time could not make a long-term prognosis.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In cross-examination, Dr. Janke stated that what was key in his opinion was the level of function pre and post incident. One needed to look at changes in function and consider what accounted for the change in ability to function. He stated that, in the case of the plaintiff, some of her current complaints were an exacerbation of prior problems. Each person, however, has a threshold beyond which any further change will cause an inability to function. In this case in his opinion that is what occurred with the GAP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Dr. James Schmidt, who is a registered psychologist holding diplomates in both Clinical Psychology and Clinical Neuropsychology, gave evidence. Dr. Schmidt administered a battery of cognitive tests to the plaintiff. He concluded that Ms. Ball showed reduced mental efficiency, a generalized reduction of mental processing speed and some difficulties focusing her attention on a sustained basis. These kinds of deficits can arise as a result of mild traumatic brain injury, but they can also arise from other factors such as pain, medication or psychological disruption.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He agreed in cross-examination that the test results which he recorded could have been produced by causes other than brain injury, including: exhaustion, chronic pain and stress. He pointed out that while in the 1978 tests following the first motor vehicle accident Dr. Shelman had recorded impairments with mental efficiency, the areas of difficulty or impairment were different. Dr. Schmidt found impairment of mental efficiency, but not of problem solving and memory, both of which were found to be deficiencies in Dr. Shelman's testing. Dr. Shelman did not identify sustained attention as a problem. He recorded impairment of shifting attention.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Dr. Schmidt concluded that, prior to the accident, Ms. Ball was functioning in both her domestic and professional spheres of life. She has been functionally incapacitated since the accident, as a consequence of the accident. He cannot, nor does he believe it is possible, to make a definitive conclusion as to whether the problems arose from mild traumatic brain injury, to which the plaintiff was more susceptible because of prior injuries, or were psychological in nature, or were related to some extent to earlier injuries and conditions or from some combination of these factors. He concludes: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Simply put, although Ms. Ball may well have been at greater risk than the average person on both psychological and neuropsychological levels prior to this accident, she was nevertheless functioning well and there is no reason to believe that she would not have continued to function well had this incident not occurred. This incident, through a combination of psychological and neuropsychological impact, altered all of that and she is now non-functional and likely to remain so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In reaching this conclusion, Dr. Schmidt placed considerable reliance upon the sudden shift in Ms. Ball's ability to function after the GAP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Dr. Rosemary Wilkinson, a registered psychologist with special expertise in neuro-psychology, was called to give evidence by the defence. Dr. Wilkinson administered many of the same tests administered by Dr. Schmidt, reporting similar results, namely: fluctuation of attention functions, intellectual and memory functions; slow motor speed, especially in the dominant left hand; a mild pervasive slowness of thinking, reaction and motor function. She was of the opinion that it was possible that the plaintiff did suffer a head injury resulting in a mild concussion in the GAP incident. However, she felt that, if a head injury had occurred as a result of the GAP incident, it was unlikely to have been significant and could not account for the symptoms which the plaintiff manifests. Dr. Wilkinson placed particular emphasis on the absence of post-traumatic amnesia in this case. The GAP incident was one from which she would have expected anyone to recover.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Dr. Wilkinson was clear, however, that she was absolutely not suggesting that this plaintiff is anything less than genuine. She is not suggesting that the plaintiff is attempting to direct all her problems in life to the litigation so that she might profit. She also agreed that, in her opinion, this plaintiff does not want to end her career; that she has shown the fortitude to persevere. She agreed that this plaintiff wants to work and has a long history of coming back to work despite injury and illness. The plaintiff is someone who would fight to get back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Dr. Wilkinson concluded that she does not know what has caused the functional impairment from which she agrees the plaintiff suffers. She also agreed that, in the final analysis in this case, one must look to the level of functioning. Dr. Wilkinson was of the view that the plaintiff had returned to work full-time after the GAP incident, although she admitted that she could not assess the quality of that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Ms. Ball has a number of complaints which all the doctors agree are genuine. She has abnormal results in a number of objective tests. It is clear, both from her history and from the medical opinions, that Ms. Ball is a person who would endeavour to come back to her work after an injury. There is no clear answer with respect to what is producing her present disability - it could be neurological, psychological or a combination of the two.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The evidence of the lay witnesses who worked with the plaintiff makes it clear that, until the GAP incident, the plaintiff was able to function effectively in her work notwithstanding her many medical conditions and the enduring consequences of prior accidents. She may have been complaining of feelings of exhaustion and stress to her physicians, but her performance was not impaired. She was able to 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After the GAP incident, I find that although the plaintiff struggled to perform her functions at work, she could not function effectively. I find that she was not able to return to functionality, although she did put in time. The difference was described in many ways. Her brother compared her state after the GAP incident to the air being let out of a balloon. She simply couldn't cope anymore. She was described, by another witness, as vague, tired, and not on top of things after the GAP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I find that the incident at the GAP caused injury which resulted in the plaintiff's inability to function in her job. For purposes of this inquiry, it does not matter whether the mechanism of that injury is neurological, psychological or some combination of the two. What does matter is that the GAP incident was a material cause of the injuries. The other factors postulated by the defence do not match the timing of her state of disability. The complaints of pain, exhaustion and anaemia pre-date the GAP incident. Yet, prior to the incident, she was able to function at a high level, according not only to the plaintiff's evidence, but also to the evidence of her co-workers. These conditions therefore do not explain the disability. Contrary to Dr. Wilkinson's hypothesis, I find that the plaintiff was never able to return to adequate function after the GAP incident. None of the post-GAP illnesses were sufficient to account for her state of disability which, in any event, was pre-existing.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Ms. Ball was no doubt very vulnerable due to her prior accidents and medical conditions. In addition, her work was extremely demanding, both in terms of the mental challenges it posed and the stamina required. The job entailed long hours and high levels of stress. These factors combined to make the injury to this plaintiff far more severe than might be otherwise expected. However, the defendant is liable to compensate Ms. Ball for this loss, even though it is far more dramatic than it would be for the average person who was not specially vulnerable and who was doing a different, less demanding job.</w:t>
      </w:r>
      <w:r>
        <w:rPr>
          <w:rFonts w:ascii="arial" w:eastAsia="arial" w:hAnsi="arial" w:cs="arial"/>
          <w:sz w:val="20"/>
          <w:lang w:val="en-US" w:eastAsia="en-US" w:bidi="ar-SA"/>
        </w:rPr>
        <w:cr/>
      </w:r>
    </w:p>
    <w:p>
      <w:pPr>
        <w:numPr>
          <w:numId w:val="9"/>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Knee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Ms. Ball claims that, as a result of the incident, she suffers, in her right knee, from a condition known as chondromalacia, which is a roughening of the underside of the knee cap and the top of the tibia brought about by the traumatic degeneration of the cartilage over these articulating bones.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Ms. Ball had no complaints with respect to her right knee prior to the GAP incident. The current situation with respect to the knee appears not to be in significant dispute. What is in dispute is whether the problem was caused or initiated by the incident at the GAP, aggravated by the subsequent fall in 1998, as the plaintiff alleges, or solely by the 1998 fall which was unrelated to the GAP incident, as the defendant alleges. The defendant also argues that the knee problems are related to reactive arthritis.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The current complaints are of pain in the knee, increased on standing and with climbing or descending stairs; crepitus; limitation of activity; and intermittent swelling.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Dr. Clement, a physician with a specialized interest in sports medicine, reports that the MRI test revealed damage to the posterior portion of the patella. A layer of atrophy or thinning with a patellar cyst was identified. His diagnosis is of post-traumatic chondromalacia of the right patella. Ms. Ball was also seen by Dr. Day, an orthopaedic surgeon, and at the request of the defendants, by Dr. Stothers, also an orthopaedic surgeon. These doctors did not appear to differ with respect to either diagnosis or prognosis.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Dr. Day testified that the thinning of the cartilage is an uncommon problem for persons of the plaintiff's age. There is a concern that the problem is chronic. She is at risk for patellofemoral osteoarthritis. Surgery is a possibility for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All three doctors conclude that the knee problems were caused or initiated by the incident at the GAP. These conclusions were based upon the history given to them. In each case, it was noted that the knee was swollen immediately after the GAP incident. The defence argues that this assumption is not correct and swelling was only reported as a complaint after the 1998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Dr. Day stated in cross-examination that it would not change his opinion if swelling did not occur until after the 1998 fall. This was because damage to the cartilage can occur without swelling. The joint has no blood supply. He said that the patient's subjective reports of instability were not relevant to his diagnosis. Moreover, he testified that the reactive arthritis suffered by the plaintiff would not lead to damage of the type that she has.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Dr. Clement testified that the report of first swelling would not be particularly relevant to his diagnosis with this type of injury. Similarly, the date when instability arose is not necessarily the date of injury. He stated that he would not have expected the type of damage suffered by the plaintiff as a consequence of reactive arthritis.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The medical records of Dr. Morwen-Smith dated September 23, 1996 record that the plaintiff reported that she had twisted her right knee and fallen on both knees. Dr. MacDonald's records note complaints of right knee pain in October of that year. Dr. Morwen-Smith records complaints on November 5, 1996 that the right knee aches on stair climbing and that she observed tenderness over the medial aspect. Dr. Hershler, a specialist in physical medicine, reported in December 1997 that on examination he noted crepitus in the right knee with passive flexion and extension, suggestive of damage to the cartilage under the patella. These findings were not present on the left side. These observations are all consistent with the GAP incident being the cause of the plaintiff's knee injury. She had no complaints prior to the GAP incident with respect to the knee. Her complaints arose after the incident and are consistent with injury having been sustained in the incident when she fell to the floor. I find that she did suffer an injury to her knee in the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There remains the question of whether the 1998 fall was an independent intervening event which broke the chain of causation or whether it could be said to have been caused by the original injury. The plaintiff testified that the fall occurred when she was at the Waterfront to watch a rehearsal. She got up out of her seat and felt a sharp pain in her knee which made her dizzy and sick. She fell forward and broke her talus which required casting.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The defence submits that the fall was caused by a dizzy spell, similar to spells the plaintiff had suffered in the past. It points to the absence of reference to knee pain causing the fall in the WCB report and ER form. The plaintiff had reported periodic episodes of dizziness on standing in the past. These complaints did not appear to have been noted as recent symptoms in 1998 and she denied that this dizziness occurred in relation to the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I accept her evidence with respect to the fall in 1998. I found that she fell as a consequence of the pain in her knee resulting from the injury which occurred in the GAP incident. The GAP incident is the source of the plaintiff's knee problems and the defendant is liable for those problems.</w:t>
      </w:r>
      <w:r>
        <w:rPr>
          <w:rFonts w:ascii="arial" w:eastAsia="arial" w:hAnsi="arial" w:cs="arial"/>
          <w:sz w:val="20"/>
          <w:lang w:val="en-US" w:eastAsia="en-US" w:bidi="ar-SA"/>
        </w:rPr>
        <w:cr/>
      </w:r>
    </w:p>
    <w:p>
      <w:pPr>
        <w:numPr>
          <w:numId w:val="10"/>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Pain in Neck and Left 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There is no dispute that the plaintiff suffers from severe, chronic pain in her neck and left arm. The pain has been a persistent problem despite numerous treatments including many different medications. The stiffness and pain from which she suffers were evident when Ms. Ball gave her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The question is the causal significance of the GAP incident in relation to this pain. Dr. Morwen-Smith relates these symptoms to the GAP incident. However, her report makes no reference to pre-existing problems suffered by the plaintiff and for this reason its usefulness is significantly diminished.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In fact, Ms. Ball's problems in the neck and left arm were present as early as 1983 or perhaps arose after the first motor vehicle accident. They resulted in surgery in 1984; however the surgery did not completely resolve the problem. There was an episode of recurrence in 1985. In 1986, there was the second motor vehicle accident which re-injured the area believed to be more vulnerable because of earlier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Thereafter, as reviewed in the earlier history, the problems with pain were chronic and consistent. The pain was treated, unsuccessfully, with a variety of medications. There were many referrals to specialists. It was described as disabling. Clearly, this problem was significant and manifest prior to the GAP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However, it cannot be said that the incident at the GAP did not in any way aggravate the condition. When Dr. Morwen-Smith examined the plaintiff after the incident at the GAP she noted neck spasm, pain into left arm and shoulder, decreased range of motion in the neck with spasm, bruising in upper left arm, decreased range of motion in the shoulder with pain. This is consistent with a soft-tissue injury. Thereafter, the neck and left arm pain were repeatedly noted in the clinical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I find that the plaintiff's complaints in relation to her left arm and neck were pre-existing conditions already manifest and disabling at the time of the GAP incident. I find further that the GAP incident did aggravate that injury and, to this extent, the defendant must compensate the plaintiff with respect to that aggravation.</w:t>
      </w:r>
      <w:r>
        <w:rPr>
          <w:rFonts w:ascii="arial" w:eastAsia="arial" w:hAnsi="arial" w:cs="arial"/>
          <w:sz w:val="20"/>
          <w:lang w:val="en-US" w:eastAsia="en-US" w:bidi="ar-SA"/>
        </w:rPr>
        <w:cr/>
      </w:r>
    </w:p>
    <w:p>
      <w:pPr>
        <w:numPr>
          <w:numId w:val="11"/>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 Non-Pecuniary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As a consequence of the incident at the GAP, the plaintiff has suffered injuries that have left her with problems with her vision, concentration and stamina such that she is unable to function in her employment. The prognosis for improvement, given the length of time since the incident, is said to be poor. She has pain and some level of disability in her knee. The problem is likely chronic and there is a risk of future deterioration. Finally, she has experienced some aggravation of the pain in her neck and 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Of these, it is the problem with vision and concentration that have had the most impact. The plaintiff's career was central to her identity. The loss of this career is a major blow, affecting her sense of identity, her self-esteem and her overall enjoyment of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The defence has suggested a range of $20,000 to $25,000 as appropriate. The cases cited in support, however, were all involving injuries of far less consequence, and typically, either of complete recovery within a relatively short period of time or very modest residual disabilities. Accordingly, I have found them of little assistance in the circumstances of this plaintiff's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xml:space="preserve">  I award the plaintiff $90,000 as general damages, being $100,000 less $10,000 to reflect her pre-incident condition with respect to the neck and arm pain. [See Anderson v. Berkeley, </w:t>
      </w:r>
      <w:hyperlink r:id="rId434" w:history="1">
        <w:r>
          <w:rPr>
            <w:rFonts w:ascii="arial" w:eastAsia="arial" w:hAnsi="arial" w:cs="arial"/>
            <w:i/>
            <w:color w:val="0077CC"/>
            <w:sz w:val="20"/>
            <w:u w:val="single"/>
            <w:shd w:val="clear" w:color="auto" w:fill="FFFFFF"/>
            <w:lang w:val="en-US" w:eastAsia="en-US" w:bidi="ar-SA"/>
          </w:rPr>
          <w:t>[1998] B.C.J. No. 2075</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 Past Wage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The plaintiff seeks to recover the wages said to have been lost as a result of the injury. This loss has been calculated by counsel on the basis of a net amount, with expenses deducted.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The defence claims that the income loss in 1997 was caused not by the injury, but by financial difficulties experienced by Carousel. It is true that the Carousel suffered from financial problems at that time. However, the evidence is that Ms. Ball was the directing mind and primary fund raiser for Carousel. Carousel was facing many challenges at that time, a typical state for such small companies. However, it was facing them without Ms. Ball's leadership and energy. I find that the financial difficulties faced by the company were contributed to by the plaintiff's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Accordingly, I find that the plaintiff is entitled to be compensated for her past wage loss, as I am satisfied that the GAP incident was a material cause of this loss. The method of calculation of this amount is not in dispute. I award $47,000 for past wage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 Future Wage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The plaintiff calculates her claim for loss of future income at $270,000. This is based upon a calculation of the present value of her net income to age 65. In other words, it presumes total incapacity to earn with no reduction for contingencies.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The plaintiff submits that despite all her medical conditions, she functioned prior to the GAP incident. There is no reason to presume that but for the incident she would have become disabled. Furthermore, many of her medical conditions had been resolved. Thus her prognosis had improved. The plaintiff also points to the fact that there is no mandatory retirement in the theatre and hence no requirement to retire at 65. Stopping income in the calculation at 65 is therefore, in a sense, a deduction for contingencies.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The plaintiff has worked since high school in the theatre. She did not complete any post-secondary education. She is not trained to do anything else. The nature of her disabilities, in particular the problems with vision, concentration and stamina, make it unlikely, in my opinion, that she will be able to return to her former work. Given her age and lack of training and experience it is also unlikely that she will find other employment. The prognosis for further improvement is poor given the time which has elapsed since the incident without resolution of her difficulties. Unfortunately, I think that it is likely that the plaintiff will be permanently unable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In this case I find, however, that there must be a substantial reduction to reflect future contingencies. The plaintiff's career was very demanding. She was both Managing and Artistic Director for her company, in addition to her responsibilities with the Waterfront Theatre. She had to work long hours under conditions of extreme stress. She suffered from neck and arm pain which was chronic and described as disabling. In addition, her prior accidents had left her extremely vulnerable to injury, in particular head injury. Although some of her medical conditions had resolved, other chronic conditions remained. I think that there is a significant probability that, had the incident at the GAP not occurred, this plaintiff would nevertheless have found herself unable to carry on at some stage in her future. The award must reflect this probability. In the circumstances, I believe a 30 percent reduction is appropriate. I therefore award $190,000 under this head (being $270,000 minus $80,000).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 Special Damages and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I allow the claim for special damages in the amount claimed of $3,170.00.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The plaintiff has claimed $5,000 for the cost of future care. I find that this claim has not been made out with sufficient particularity and do not allow it.</w:t>
      </w:r>
      <w:r>
        <w:rPr>
          <w:rFonts w:ascii="arial" w:eastAsia="arial" w:hAnsi="arial" w:cs="arial"/>
          <w:sz w:val="20"/>
          <w:lang w:val="en-US" w:eastAsia="en-US" w:bidi="ar-SA"/>
        </w:rPr>
        <w:cr/>
      </w:r>
    </w:p>
    <w:p>
      <w:pPr>
        <w:numPr>
          <w:numId w:val="12"/>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The plaintiff will have judgement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941"/>
        <w:gridCol w:w="3451"/>
        <w:gridCol w:w="1673"/>
        <w:gridCol w:w="376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9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w:t>
            </w:r>
          </w:p>
        </w:tc>
        <w:tc>
          <w:tcPr>
            <w:tcW w:w="337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non-pecuniary damages:</w:t>
            </w:r>
          </w:p>
        </w:tc>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$ 90,000</w:t>
            </w:r>
          </w:p>
        </w:tc>
        <w:tc>
          <w:tcPr>
            <w:tcW w:w="368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941"/>
        <w:gridCol w:w="3033"/>
        <w:gridCol w:w="2091"/>
        <w:gridCol w:w="376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9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(ii)</w:t>
            </w:r>
          </w:p>
        </w:tc>
        <w:tc>
          <w:tcPr>
            <w:tcW w:w="29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past wage loss:</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$ 47,000</w:t>
            </w:r>
          </w:p>
        </w:tc>
        <w:tc>
          <w:tcPr>
            <w:tcW w:w="368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941"/>
        <w:gridCol w:w="3451"/>
        <w:gridCol w:w="1673"/>
        <w:gridCol w:w="376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9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(iii)</w:t>
            </w:r>
          </w:p>
        </w:tc>
        <w:tc>
          <w:tcPr>
            <w:tcW w:w="337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loss of future income:</w:t>
            </w:r>
          </w:p>
        </w:tc>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$190,000</w:t>
            </w:r>
          </w:p>
        </w:tc>
        <w:tc>
          <w:tcPr>
            <w:tcW w:w="368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941"/>
        <w:gridCol w:w="3033"/>
        <w:gridCol w:w="1150"/>
        <w:gridCol w:w="941"/>
        <w:gridCol w:w="376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9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(iv)</w:t>
            </w:r>
          </w:p>
        </w:tc>
        <w:tc>
          <w:tcPr>
            <w:tcW w:w="29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damages:</w:t>
            </w:r>
          </w:p>
        </w:tc>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3,170</w:t>
            </w:r>
          </w:p>
        </w:tc>
        <w:tc>
          <w:tcPr>
            <w:tcW w:w="368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9"/>
        <w:gridCol w:w="2405"/>
        <w:gridCol w:w="2718"/>
        <w:gridCol w:w="376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35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266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$330,170</w:t>
            </w:r>
          </w:p>
        </w:tc>
        <w:tc>
          <w:tcPr>
            <w:tcW w:w="368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The plaintiff is entitled to court order interest on the eligible portions of the award and to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ROSS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94" style="position:absolute;z-index:25186816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35"/>
          <w:headerReference w:type="default" r:id="rId436"/>
          <w:footerReference w:type="even" r:id="rId437"/>
          <w:footerReference w:type="default" r:id="rId438"/>
          <w:headerReference w:type="first" r:id="rId439"/>
          <w:footerReference w:type="first" r:id="rId44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41" w:history="1">
        <w:r>
          <w:rPr>
            <w:rFonts w:ascii="arial" w:eastAsia="arial" w:hAnsi="arial" w:cs="arial"/>
            <w:b/>
            <w:bCs/>
            <w:i/>
            <w:color w:val="0077CC"/>
            <w:kern w:val="32"/>
            <w:sz w:val="28"/>
            <w:szCs w:val="32"/>
            <w:u w:val="single"/>
            <w:shd w:val="clear" w:color="auto" w:fill="FFFFFF"/>
            <w:lang w:val="en-US" w:eastAsia="en-US" w:bidi="ar-SA"/>
          </w:rPr>
          <w:t>Bryan v. Gill, [2013] B.C.J. No. 2282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R.B.T. Goepel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August 22,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17,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S108159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[2013] B.C.J. No. 2282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BCSC 1898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56 B.C.L.R. (5th) 206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234 A.C.W.S. (3d) 632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CarswellBC 3149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Stephen Bryan, Plaintiff, and Dr. Shavinder S. Gill, Dr. Chantal Chris, Dr. Robert Brown, Dr. Jane Doe, Dr. John Doe #1, Dr. Jane Doe #2, Nurse Jane Doe, Nurse John Doe #1, Nurse John Doe #2, Nurse John Doe #3, and Fraser Health Authority as operator of Abbotsford Regional Hospital and Royal Columbian Hospital, Edwards Lifesciences LLC, Edwards Lifesciences (U.S.) Inc., Edwards Lifesciences (Canada) Inc., Sciences De La Vie Edwards (Canada) Inc. and Edwards Lifesciences Corporation, Defendants, and Edwards Lifesciences (U.S.) Inc., Edwards Lifesciences Corporation, Edwards Lifesciences LLC, Edwards Lifesciences Cardiovascular, Resources Inc., Edwards Lifesciences (Canada) Inc. and Sciences De La Vie Edwards (Canada) Inc.,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95" style="position:absolute;z-index:2516736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97" w:name="Keywords_14"/>
      <w:bookmarkEnd w:id="97"/>
      <w:r>
        <w:rPr>
          <w:rFonts w:ascii="arial" w:eastAsia="arial" w:hAnsi="arial" w:cs="arial"/>
          <w:b/>
          <w:color w:val="000000"/>
          <w:sz w:val="20"/>
          <w:lang w:val="en-US" w:eastAsia="en-US" w:bidi="ar-SA"/>
        </w:rPr>
        <w:t>Civil litigation — Civil procedure — Pleadings — Amendment of — Statement of claim — Adding new cause of action — Leave to amend — Appeals — From Masters' decisions — Appeal by Edward defendants from Master's order permitting plaintiff to add claim of deceptive acts under Business Practices and Consumer Protection Act allowed — Master did not conclusively decide whether pleading disclosed cause of action — Master exercised discretion on wrong principles as his suggestion that a different test applied on application to strike pleadings than on claim based on interpretation of statute was wrong — Plaintiff's claim related to Introducer kit used by physicians to insert his pacemaker — Introducer was not purchased or used by plaintiff so there was no consumer transaction in accordance with BPCPA and no individual reliance.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Commercial law — Unfair trade practices — Legislation — Provincial legislation — Interpretation — False, misleading and deceptive representation — Statutory remedy — Procedure — Commencement of action — Appeal by Edward defendants from Master's order permitting plaintiff to add claim of deceptive acts under Business Practices and Consumer Protection Act allowed — Master did not conclusively decide whether pleading disclosed cause of action — Master exercised discretion on wrong principles as his suggestion that a different test applied on application to strike pleadings than on claim based on interpretation of statute was wrong — Plaintiff's claim related to Introducer kit used by physicians to insert his pacemaker — Introducer was not purchased or used by plaintiff so there was no consumer transaction in accordance with BPCPA and no individual reliance.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98" w:name="Case Summary_14"/>
            <w:bookmarkEnd w:id="9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Appeal by the Edwards defendants from the Master's order permitting the plaintiff to add a claim of deceptive acts under the Business Practices and Consumer Protection Act. The plaintiff claimed he suffered a hypoxic brain injury as a result of the failure of the Introducer, a kit used by the defendant hospital and doctors to insert his pacemaker. The Edward defendants were the manufacturer of the Introducer. The plaintiff's original notice of claim was only against the hospitals, doctors and nurses. Those defendants filed a third party notice against the Edward defendants. The plaintiff then filed an application to amend his notice of action to add the Edward defendants and assert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BPCPA claims against them. The Master allowed the amendments on the basis it was not plain and obvious the claims could not succeed. The Edwards defendants argued it was plain and obvious the plaintiff could not succeed with the BPCPA claims. The Edward defendants did not market or sell the Introducer to individual consumers and argued there was no consumer transaction or deceptive act or practice.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99" w:name="Holdings of Court_14"/>
            <w:bookmarkEnd w:id="99"/>
            <w:r>
              <w:rPr>
                <w:rFonts w:ascii="arial" w:eastAsia="arial" w:hAnsi="arial" w:cs="arial"/>
                <w:color w:val="000000"/>
                <w:sz w:val="20"/>
                <w:lang w:val="en-US" w:eastAsia="en-US" w:bidi="ar-SA"/>
              </w:rPr>
              <w:t>HELD: Appeal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Master did not conclusively decide whether the pleading disclosed a cause of action. He instead distinguished the cases put before him, suggested they did not apply in interpreting the statute and concluded the matter should proceed to trial. The Master exercised his discretion on the wrong principles. His suggestion a different test applied to strike the pleadings than to a claim based on interpretation of a statute was clearly wrong. As such, the matter had to be considered afresh. Absent a consumer transaction, the BPCPA could not apply. The plaintiff did not allege a consumer transaction within the meaning of the Act. It was not the plaintiff who purchased or used the Introducer; it was purchased by the health authority and used by the doctors who carried out the medical procedure. The claim also did not allege a deceptive practice. There was no allegation the plaintiff relied on any statement or conduct concerning the Introducer. Individual reliance was required to find a breach of the BPCPA had occurred. The plaintiff's pleading did not disclose a cause of action with respect to the BPCPA claim, so the Master erred in granting that portion of the proposed amendment.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00" w:name="Legislation Cited_7"/>
      <w:bookmarkEnd w:id="10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96" style="position:absolute;z-index:2517248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Business Practices and Consumer Protection Act, </w:t>
      </w:r>
      <w:hyperlink r:id="rId442" w:history="1">
        <w:r>
          <w:rPr>
            <w:rFonts w:ascii="arial" w:eastAsia="arial" w:hAnsi="arial" w:cs="arial"/>
            <w:i/>
            <w:color w:val="0077CC"/>
            <w:sz w:val="20"/>
            <w:u w:val="single"/>
            <w:shd w:val="clear" w:color="auto" w:fill="FFFFFF"/>
            <w:lang w:val="en-US" w:eastAsia="en-US" w:bidi="ar-SA"/>
          </w:rPr>
          <w:t>SBC 2004, CHAPTER 2, s. 1</w:t>
        </w:r>
      </w:hyperlink>
      <w:r>
        <w:rPr>
          <w:rFonts w:ascii="arial" w:eastAsia="arial" w:hAnsi="arial" w:cs="arial"/>
          <w:color w:val="000000"/>
          <w:sz w:val="20"/>
          <w:lang w:val="en-US" w:eastAsia="en-US" w:bidi="ar-SA"/>
        </w:rPr>
        <w:t>(1), s. 4, s. 5, s. 5(1), s. 171(1)(a), s. 172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Tobacco Damages and Health Care Costs Recovery Act, </w:t>
      </w:r>
      <w:r>
        <w:rPr>
          <w:rFonts w:ascii="arial" w:eastAsia="arial" w:hAnsi="arial" w:cs="arial"/>
          <w:i/>
          <w:color w:val="000000"/>
          <w:sz w:val="20"/>
          <w:lang w:val="en-US" w:eastAsia="en-US" w:bidi="ar-SA"/>
        </w:rPr>
        <w:t>SBC 2000, CHAPTER 30</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spacing w:before="120" w:line="260" w:lineRule="atLeast"/>
              <w:ind w:left="240"/>
              <w:rPr>
                <w:rFonts w:ascii="arial" w:eastAsia="arial" w:hAnsi="arial" w:cs="arial"/>
                <w:sz w:val="20"/>
                <w:lang w:val="en-US" w:eastAsia="en-US" w:bidi="ar-SA"/>
              </w:rPr>
            </w:pPr>
            <w:r>
              <w:rPr>
                <w:rFonts w:ascii="arial" w:eastAsia="arial" w:hAnsi="arial" w:cs="arial"/>
                <w:b/>
                <w:color w:val="000000"/>
                <w:sz w:val="20"/>
                <w:lang w:val="en-US" w:eastAsia="en-US" w:bidi="ar-SA"/>
              </w:rPr>
              <w:t>Appeal From:</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appeal from: An order of the Supreme Court of British Columbia, dated March 13, 2013 (Bryan v. Gill, </w:t>
            </w:r>
            <w:hyperlink r:id="rId443" w:history="1">
              <w:r>
                <w:rPr>
                  <w:rFonts w:ascii="arial" w:eastAsia="arial" w:hAnsi="arial" w:cs="arial"/>
                  <w:i/>
                  <w:color w:val="0077CC"/>
                  <w:sz w:val="20"/>
                  <w:u w:val="single"/>
                  <w:shd w:val="clear" w:color="auto" w:fill="FFFFFF"/>
                  <w:lang w:val="en-US" w:eastAsia="en-US" w:bidi="ar-SA"/>
                </w:rPr>
                <w:t>2013 BCSC 415</w:t>
              </w:r>
            </w:hyperlink>
            <w:r>
              <w:rPr>
                <w:rFonts w:ascii="arial" w:eastAsia="arial" w:hAnsi="arial" w:cs="arial"/>
                <w:color w:val="000000"/>
                <w:sz w:val="20"/>
                <w:lang w:val="en-US" w:eastAsia="en-US" w:bidi="ar-SA"/>
              </w:rPr>
              <w:t xml:space="preserve">, Vancouver Registry No. S108159).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01" w:name="Counsel_14"/>
      <w:bookmarkEnd w:id="10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97" style="position:absolute;z-index:2517760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G.J. Collette.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Defendants/Third Parties, Sciences De La Vie Edwards (Canada) Inc., Edwards Lifesciences LLC, Edwards Lifesciences Corporation, Edwards Lifesciences (U.S.) Inc. and Edwards Lifesciences (Canada) Inc.: D. Neave, R.L. Reinertson.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02" w:name="Judgment_14"/>
      <w:bookmarkEnd w:id="102"/>
      <w:r>
        <w:pict>
          <v:line id="_x0000_s1098" style="position:absolute;z-index:25182617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8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03" w:name="R.B.T. GOEPEL J."/>
            <w:bookmarkEnd w:id="103"/>
            <w:r>
              <w:rPr>
                <w:rFonts w:ascii="arial" w:eastAsia="arial" w:hAnsi="arial" w:cs="arial"/>
                <w:b/>
                <w:color w:val="000000"/>
                <w:sz w:val="30"/>
                <w:lang w:val="en-US" w:eastAsia="en-US" w:bidi="ar-SA"/>
              </w:rPr>
              <w:t>R.B.T. GOEPEL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is an appeal from an order of a master granting leave to the plaintiff to amend his notice of civil claim to add claims of alleged deceptive acts or practices pursuant to the </w:t>
      </w:r>
      <w:r>
        <w:rPr>
          <w:rFonts w:ascii="arial" w:eastAsia="arial" w:hAnsi="arial" w:cs="arial"/>
          <w:i/>
          <w:color w:val="000000"/>
          <w:sz w:val="20"/>
          <w:lang w:val="en-US" w:eastAsia="en-US" w:bidi="ar-SA"/>
        </w:rPr>
        <w:t>Business Practices and Consumer Protection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2004, c. 2</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against the defendants Edwards Lifesciences LLC, Edwards Lifesciences (U.S.) Inc., Edwards Lifesciences (Canada) Inc., the then French-run Science De La Vie Edwards (Canada) Inc. and Edwards Lifesciences Corporation (collectively the "Edwards Defendants"). The master's reasons can be found at </w:t>
      </w:r>
      <w:hyperlink r:id="rId443" w:history="1">
        <w:r>
          <w:rPr>
            <w:rFonts w:ascii="arial" w:eastAsia="arial" w:hAnsi="arial" w:cs="arial"/>
            <w:i/>
            <w:color w:val="0077CC"/>
            <w:sz w:val="20"/>
            <w:u w:val="single"/>
            <w:shd w:val="clear" w:color="auto" w:fill="FFFFFF"/>
            <w:lang w:val="en-US" w:eastAsia="en-US" w:bidi="ar-SA"/>
          </w:rPr>
          <w:t>2013 BCSC 415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In the amended notice of civil claim that was the subject of the application before the master, the plaintiff asserts claims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breach of contract, breach of statutory duty and/or lack of informed consent. He submits he suffered injuries and damages as a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asserts that after he was admitted to the Abbotsford Regional Hospital on December 31, 2008, due to suspicion of tachyarrhythmia, one of the Abbotsford Regional Hospital physicians decided to insert a temporary internal pacemaker into the plaintiff's heart.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procedure was carried out using a specialized medical device known as a percutaneous sheath introducer kit (the "Introducer"). The Introducer is a single use tool or medical device that surgeons use to guide the insertion and placement of medical devices into a patient's blood vessels for a variety of purposes, including patient monitoring, fluid extraction and the insertion of pacemakers. In this case a defendant physician is alleged to have used the Introducer to access the plaintiff's right internal jugular vein to guide the insertion of the temporary pacemaker into the right ventricle of his heart.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Shortly after the procedure was performed, the plaintiff was transferred by ambulance to the Royal Columbian Hospital. Within a few hours of his arrival at that facility, he was observed to be in distress and it was determined that the Introducer had broken. The plaintiff alleges that he suffered a hypoxic brain injury as a result of the failure of the Introducer.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defendant Edwards Lifesciences LLC designs and manufactures various medical devices, including Introducers that were offered for sale in Canada as part of a kit with other medical devices ("Sheath Introducer Kits"). The defendant Edwards Lifesciences (Canada) sells medical devices including Sheath Introducer Kits to hospitals and health authorities. None of the Edwards Defendants supplied, distributed, sold, promoted, marketed, advertised, solicited or otherwise offered Sheath Introducer Kits to individual patients in Canada, including the plaintiff. The defendant Fraser Valley Health Authority purchased the Introducer whose failure allegedly caused the plaintiff's injuries from the Edwards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 Chronology of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commenced this action by notice of civil claim on December 13, 2010. In the original pleading the defendants were the doctors, nurses, and hospitals involved in the plaintiff's treatment. None of the Edwards Defendants were named as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On January 10, 2012, several of the defendants filed third party notices against the Edwards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On June 5, 2012, the plaintiff filed an application to amend the notice of civil claim to add the Edwards Defendants and assert claims against them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pursuant to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The Edwards Defendants did not object to the amendment of the notice of civil claim with respect to the claims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but opposed the amendment adding the statutory claims against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master heard the application on February 28, 2013. The sole issue was whether the plaintiff should be granted leave to plead the cause of action pursuant to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REASONS OF THE MASTER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On March 13, 2013, the master issued reasons for judgment and allowed the amendments. In the course of his reasons, he noted that counsel were agreed that the test to be applied was whether it was plain and obvious that the plaintiff could not succeed in an action based on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After reviewing the background facts and the provisions of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the master concluded his analysis at paras. 26 - 28: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[26] I also observe that in my reading of the cases, the law developed as cited in</w:t>
      </w:r>
      <w:r>
        <w:rPr>
          <w:rFonts w:ascii="arial" w:eastAsia="arial" w:hAnsi="arial" w:cs="arial"/>
          <w:i/>
          <w:color w:val="000000"/>
          <w:sz w:val="20"/>
          <w:lang w:val="en-US" w:eastAsia="en-US" w:bidi="ar-SA"/>
        </w:rPr>
        <w:t xml:space="preserve"> Hunt,</w:t>
      </w:r>
      <w:r>
        <w:rPr>
          <w:rFonts w:ascii="arial" w:eastAsia="arial" w:hAnsi="arial" w:cs="arial"/>
          <w:color w:val="000000"/>
          <w:sz w:val="20"/>
          <w:lang w:val="en-US" w:eastAsia="en-US" w:bidi="ar-SA"/>
        </w:rPr>
        <w:t xml:space="preserve"> usually deals with the common law and pleading related to its application to the facts in the statement of claim or now, the notice of civil claim, not the interpretation of a statute as it might apply to the facts pleaded. While this might be a somewhat tenuous distinction, I prefer to rely on it at this stage in the proceedings, as the trial is not scheduled to proceed until May of 2014.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[27] Accordingly, I have come to the conclusion that it is not plain and obvious that the plaintiff's statement of claim discloses no reasonable cause of action. To do otherwise would, in my view, prevent the plaintiff from attempting to prove at trial that he is ultimately the real consumer of the product.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[28] Accordingly, I allow the application of the plaintiff with costs to the plaintiff in any event of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POSITION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The Edwards Defendants submit that it is plain and obvious that the claims under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do not disclose a reasonable cause of action. Alternatively they submit that such claims are an abuse of process. They submit that the plain and obvious standard applies regardless of whether the cause of action arises as a matter of statute or common law. They submit the distinction that the master drew at para. 26 of his reasons between statutory and common law claims is an error of law. They submit no such distinction exists.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 Edwards Defendants submit that if the facts set out in the amended notice of civil claim are proven at trial, they do not do not establish a "consumer transaction" or a "deceptive act or practice" as those terms are defined in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 Edwards Defendants submit that a consumer transaction is the foundation of a claim under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They further submit that the amended notice of civil claim does not plead any deceptive act or practice within the meaning of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They note that the plaintiff does not plead that he was aware of or relied upon any statement or conduct with respect to the Introducer made by the Edwards Defendants. Finally, they submit that there is no legal or factual basis for the plaintiff to assert a claim under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as both the facts as pleaded and the undisputed evidence, do not establish the existence of either a consumer transaction or any deceptive acts or practices in relation to such a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The plaintiff submits that the master exercised his discretion allowing the pleadings to be amended and his decision to do so should be given deference. He further submits that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applies in this case because the plaintiff falls within the definition of a consumer and the Edwards Defendants come within the definition of supplier. He submits that the fact that there was no privity of contract between the plaintiff and the Edwards Defendants is not fatal to his claim. He submits that a person does not have to be a consumer in order to bring an action against the supplier if the person has suffered damage due to a contravention of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 submits that the Edwards Defendants did supply the medical device to him, albeit through the Fraser Health Authority who had purchased the product in the first instance. He submits having a medical device inserted in your body is a personal purpose and the plaintiff participated in the consumer transaction by virtue of the fact that the device was used on his body, making him the real consumer of the product.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LEGISLATION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Section 1(1) of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defines "consumer", "consumer transaction", and "supplier"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"consumer" means an individual, whether in British Columbia or not, who participates in a consumer transaction, but does not include a guarantor;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"consumer transaction" means</w:t>
      </w:r>
    </w:p>
    <w:p>
      <w:pPr>
        <w:numPr>
          <w:numId w:val="1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supply of goods or services or real property by a supplier to a consumer for purposes that are primarily personal, family or household, or</w:t>
      </w:r>
    </w:p>
    <w:p>
      <w:pPr>
        <w:numPr>
          <w:numId w:val="1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solicitation, offer, advertisement or promotion by a supplier with respect to a transaction referred to in paragraph (a),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except in Parts 4 and 5, includes a solicitation of a consumer by a supplier for a contribution of money or other property by the consumer;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"supplier" means a person, whether in British Columbia or not, who in the course of business participates in a consumer transaction by</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supplying goods or services or real property to a consumer, or</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soliciting, offering, advertising or promoting with respect to a transaction referred to in paragraph (a) of the definition of "consumer transaction",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whether or not privity of contract exists between that person and the consumer, and includes the successor to, and assignee of, any rights or obligations of that person and, except in Parts 3 to 5 </w:t>
      </w:r>
      <w:r>
        <w:rPr>
          <w:rFonts w:ascii="arial" w:eastAsia="arial" w:hAnsi="arial" w:cs="arial"/>
          <w:i/>
          <w:color w:val="000000"/>
          <w:sz w:val="20"/>
          <w:lang w:val="en-US" w:eastAsia="en-US" w:bidi="ar-SA"/>
        </w:rPr>
        <w:t>[Rights of Assignees and Guarantors Respecting Consumer Credit; Consumer Contracts; Disclosure of the Cost of Consumer Credit]</w:t>
      </w:r>
      <w:r>
        <w:rPr>
          <w:rFonts w:ascii="arial" w:eastAsia="arial" w:hAnsi="arial" w:cs="arial"/>
          <w:color w:val="000000"/>
          <w:sz w:val="20"/>
          <w:lang w:val="en-US" w:eastAsia="en-US" w:bidi="ar-SA"/>
        </w:rPr>
        <w:t>, includes a person who solicits a consumer for a contribution of money or other property by the consumer;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Section 4 of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defines a "deceptive act" or "practice in relation to a consumer transaction" as:</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oral, written, visual, descriptive or other representation by a supplier, or</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conduct by a supplier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that has the capability, tendency or effect of deceiving or misleading a consumer or guarantor;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Section 5 of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is the prohibition and burden of proof section of the legislation as it relates to deceptive practices. It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 (1) A supplier must not commit or engage in a deceptive act or practice in respect of a consumer transaction</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it is alleged that a supplier committed or engaged in a deceptive act or practice, the burden of proof that the deceptive act or practice was not committed or engaged in is on the supplier.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Section 171 of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provides for damages in these terms: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171 (1) Subject to subsection (2), if a person, other than a person referred to in paragraphs (a) to (e), has suffered damage or loss due to a contravention of this Act or the regulations, the person who suffered damage or loss may bring an action against a</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supplier,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who engaged in or acquiesced in the contravention that caused the damage or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STANDARD OF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standard of review from a master's orders has been long settled. In regards to an interlocutory matter involving the exercise of discretion the master must be shown to be clearly wrong: </w:t>
      </w:r>
      <w:r>
        <w:rPr>
          <w:rFonts w:ascii="arial" w:eastAsia="arial" w:hAnsi="arial" w:cs="arial"/>
          <w:i/>
          <w:color w:val="000000"/>
          <w:sz w:val="20"/>
          <w:lang w:val="en-US" w:eastAsia="en-US" w:bidi="ar-SA"/>
        </w:rPr>
        <w:t>Abermin Corporation v. Granges Exploration Limited</w:t>
      </w:r>
      <w:r>
        <w:rPr>
          <w:rFonts w:ascii="arial" w:eastAsia="arial" w:hAnsi="arial" w:cs="arial"/>
          <w:color w:val="000000"/>
          <w:sz w:val="20"/>
          <w:lang w:val="en-US" w:eastAsia="en-US" w:bidi="ar-SA"/>
        </w:rPr>
        <w:t xml:space="preserve"> </w:t>
      </w:r>
      <w:hyperlink r:id="rId444" w:history="1">
        <w:r>
          <w:rPr>
            <w:rFonts w:ascii="arial" w:eastAsia="arial" w:hAnsi="arial" w:cs="arial"/>
            <w:i/>
            <w:color w:val="0077CC"/>
            <w:sz w:val="20"/>
            <w:u w:val="single"/>
            <w:shd w:val="clear" w:color="auto" w:fill="FFFFFF"/>
            <w:lang w:val="en-US" w:eastAsia="en-US" w:bidi="ar-SA"/>
          </w:rPr>
          <w:t>(1990), 45 B.C.L.R. (2d) 188</w:t>
        </w:r>
      </w:hyperlink>
      <w:r>
        <w:rPr>
          <w:rFonts w:ascii="arial" w:eastAsia="arial" w:hAnsi="arial" w:cs="arial"/>
          <w:color w:val="000000"/>
          <w:sz w:val="20"/>
          <w:lang w:val="en-US" w:eastAsia="en-US" w:bidi="ar-SA"/>
        </w:rPr>
        <w:t xml:space="preserve"> at 193, </w:t>
      </w:r>
      <w:hyperlink r:id="rId444" w:history="1">
        <w:r>
          <w:rPr>
            <w:rFonts w:ascii="arial" w:eastAsia="arial" w:hAnsi="arial" w:cs="arial"/>
            <w:i/>
            <w:color w:val="0077CC"/>
            <w:sz w:val="20"/>
            <w:u w:val="single"/>
            <w:shd w:val="clear" w:color="auto" w:fill="FFFFFF"/>
            <w:lang w:val="en-US" w:eastAsia="en-US" w:bidi="ar-SA"/>
          </w:rPr>
          <w:t>42 C.P.C. (2d) 25</w:t>
        </w:r>
      </w:hyperlink>
      <w:r>
        <w:rPr>
          <w:rFonts w:ascii="arial" w:eastAsia="arial" w:hAnsi="arial" w:cs="arial"/>
          <w:color w:val="000000"/>
          <w:sz w:val="20"/>
          <w:lang w:val="en-US" w:eastAsia="en-US" w:bidi="ar-SA"/>
        </w:rPr>
        <w:t xml:space="preserve"> (S.C.). Where the judgment under appeal involves not an exercise of discretion but a decision on a point of law, the standard of review is one of correctness: </w:t>
      </w:r>
      <w:r>
        <w:rPr>
          <w:rFonts w:ascii="arial" w:eastAsia="arial" w:hAnsi="arial" w:cs="arial"/>
          <w:i/>
          <w:color w:val="000000"/>
          <w:sz w:val="20"/>
          <w:lang w:val="en-US" w:eastAsia="en-US" w:bidi="ar-SA"/>
        </w:rPr>
        <w:t>Northland Properties Ltd. v. Equitable Trust Co.</w:t>
      </w:r>
      <w:r>
        <w:rPr>
          <w:rFonts w:ascii="arial" w:eastAsia="arial" w:hAnsi="arial" w:cs="arial"/>
          <w:color w:val="000000"/>
          <w:sz w:val="20"/>
          <w:lang w:val="en-US" w:eastAsia="en-US" w:bidi="ar-SA"/>
        </w:rPr>
        <w:t xml:space="preserve"> </w:t>
      </w:r>
      <w:hyperlink r:id="rId445" w:history="1">
        <w:r>
          <w:rPr>
            <w:rFonts w:ascii="arial" w:eastAsia="arial" w:hAnsi="arial" w:cs="arial"/>
            <w:i/>
            <w:color w:val="0077CC"/>
            <w:sz w:val="20"/>
            <w:u w:val="single"/>
            <w:shd w:val="clear" w:color="auto" w:fill="FFFFFF"/>
            <w:lang w:val="en-US" w:eastAsia="en-US" w:bidi="ar-SA"/>
          </w:rPr>
          <w:t>(1992), 71 B.C.L.R. (2d) 124</w:t>
        </w:r>
      </w:hyperlink>
      <w:r>
        <w:rPr>
          <w:rFonts w:ascii="arial" w:eastAsia="arial" w:hAnsi="arial" w:cs="arial"/>
          <w:color w:val="000000"/>
          <w:sz w:val="20"/>
          <w:lang w:val="en-US" w:eastAsia="en-US" w:bidi="ar-SA"/>
        </w:rPr>
        <w:t xml:space="preserve">, </w:t>
      </w:r>
      <w:hyperlink r:id="rId445" w:history="1">
        <w:r>
          <w:rPr>
            <w:rFonts w:ascii="arial" w:eastAsia="arial" w:hAnsi="arial" w:cs="arial"/>
            <w:i/>
            <w:color w:val="0077CC"/>
            <w:sz w:val="20"/>
            <w:u w:val="single"/>
            <w:shd w:val="clear" w:color="auto" w:fill="FFFFFF"/>
            <w:lang w:val="en-US" w:eastAsia="en-US" w:bidi="ar-SA"/>
          </w:rPr>
          <w:t>10 C.P.C. (3d) 245</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0856464 B.C. Ltd. v. TimberWest Forest Corp.</w:t>
      </w:r>
      <w:r>
        <w:rPr>
          <w:rFonts w:ascii="arial" w:eastAsia="arial" w:hAnsi="arial" w:cs="arial"/>
          <w:color w:val="000000"/>
          <w:sz w:val="20"/>
          <w:lang w:val="en-US" w:eastAsia="en-US" w:bidi="ar-SA"/>
        </w:rPr>
        <w:t xml:space="preserve">, </w:t>
      </w:r>
      <w:hyperlink r:id="rId446" w:history="1">
        <w:r>
          <w:rPr>
            <w:rFonts w:ascii="arial" w:eastAsia="arial" w:hAnsi="arial" w:cs="arial"/>
            <w:i/>
            <w:color w:val="0077CC"/>
            <w:sz w:val="20"/>
            <w:u w:val="single"/>
            <w:shd w:val="clear" w:color="auto" w:fill="FFFFFF"/>
            <w:lang w:val="en-US" w:eastAsia="en-US" w:bidi="ar-SA"/>
          </w:rPr>
          <w:t>2012 BCSC 597</w:t>
        </w:r>
      </w:hyperlink>
      <w:r>
        <w:rPr>
          <w:rFonts w:ascii="arial" w:eastAsia="arial" w:hAnsi="arial" w:cs="arial"/>
          <w:color w:val="000000"/>
          <w:sz w:val="20"/>
          <w:lang w:val="en-US" w:eastAsia="en-US" w:bidi="ar-SA"/>
        </w:rPr>
        <w:t xml:space="preserve">, </w:t>
      </w:r>
      <w:hyperlink r:id="rId446" w:history="1">
        <w:r>
          <w:rPr>
            <w:rFonts w:ascii="arial" w:eastAsia="arial" w:hAnsi="arial" w:cs="arial"/>
            <w:i/>
            <w:color w:val="0077CC"/>
            <w:sz w:val="20"/>
            <w:u w:val="single"/>
            <w:shd w:val="clear" w:color="auto" w:fill="FFFFFF"/>
            <w:lang w:val="en-US" w:eastAsia="en-US" w:bidi="ar-SA"/>
          </w:rPr>
          <w:t>89 C.B.R. (5th) 235</w:t>
        </w:r>
      </w:hyperlink>
      <w:r>
        <w:rPr>
          <w:rFonts w:ascii="arial" w:eastAsia="arial" w:hAnsi="arial" w:cs="arial"/>
          <w:color w:val="000000"/>
          <w:sz w:val="20"/>
          <w:lang w:val="en-US" w:eastAsia="en-US" w:bidi="ar-SA"/>
        </w:rPr>
        <w:t>, Fitzpatrick J. reviewed the authorities in regards to an appeal from a master's decision in which the issue was, as in this case, whether proposed pleadings disclosed a cause of action. After reviewing the authorities, she concluded that a determination as to whether or not a pleading disclosed a cause of action did not involve an exercise of discretion, but rather the consideration of the law in whether the pleadings disclosed sufficient facts to support a cause of action. I agree with Fitzpatrick J.'s reasoning and the result. A decision as to whether or not a pleading discloses a cause of action is a question of law which is to be reviewed upon a standard of correctness. No deference is owed to a master's findings in resolving such an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the circumstances of this case, however, that reasoning is not conclusive as to the applicable standard of review. In this case, the master did not ultimately decide whether or not the pleading disclosed a cause of action. Rather than deciding that question, he distinguished the cases which had been put before him in relation to whether a cause of action was pleaded and suggested that those cases did not apply in the interpretation of the statute. He concluded the matter should properly go to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British Columbia (Director of Civil Forfeiture) v. Flynn</w:t>
      </w:r>
      <w:r>
        <w:rPr>
          <w:rFonts w:ascii="arial" w:eastAsia="arial" w:hAnsi="arial" w:cs="arial"/>
          <w:color w:val="000000"/>
          <w:sz w:val="20"/>
          <w:lang w:val="en-US" w:eastAsia="en-US" w:bidi="ar-SA"/>
        </w:rPr>
        <w:t xml:space="preserve">, </w:t>
      </w:r>
      <w:hyperlink r:id="rId447" w:history="1">
        <w:r>
          <w:rPr>
            <w:rFonts w:ascii="arial" w:eastAsia="arial" w:hAnsi="arial" w:cs="arial"/>
            <w:i/>
            <w:color w:val="0077CC"/>
            <w:sz w:val="20"/>
            <w:u w:val="single"/>
            <w:shd w:val="clear" w:color="auto" w:fill="FFFFFF"/>
            <w:lang w:val="en-US" w:eastAsia="en-US" w:bidi="ar-SA"/>
          </w:rPr>
          <w:t>2013 BCCA 91</w:t>
        </w:r>
      </w:hyperlink>
      <w:r>
        <w:rPr>
          <w:rFonts w:ascii="arial" w:eastAsia="arial" w:hAnsi="arial" w:cs="arial"/>
          <w:color w:val="000000"/>
          <w:sz w:val="20"/>
          <w:lang w:val="en-US" w:eastAsia="en-US" w:bidi="ar-SA"/>
        </w:rPr>
        <w:t xml:space="preserve">, </w:t>
      </w:r>
      <w:hyperlink r:id="rId447" w:history="1">
        <w:r>
          <w:rPr>
            <w:rFonts w:ascii="arial" w:eastAsia="arial" w:hAnsi="arial" w:cs="arial"/>
            <w:i/>
            <w:color w:val="0077CC"/>
            <w:sz w:val="20"/>
            <w:u w:val="single"/>
            <w:shd w:val="clear" w:color="auto" w:fill="FFFFFF"/>
            <w:lang w:val="en-US" w:eastAsia="en-US" w:bidi="ar-SA"/>
          </w:rPr>
          <w:t>334 B.C.A.C. 215</w:t>
        </w:r>
      </w:hyperlink>
      <w:r>
        <w:rPr>
          <w:rFonts w:ascii="arial" w:eastAsia="arial" w:hAnsi="arial" w:cs="arial"/>
          <w:color w:val="000000"/>
          <w:sz w:val="20"/>
          <w:lang w:val="en-US" w:eastAsia="en-US" w:bidi="ar-SA"/>
        </w:rPr>
        <w:t>, the Court of Appeal held that a decision made on a pre-trial application as to whether to strike pleadings is entitled to deference, as it involves an exercise of judicial discretion. In that case, the court held that a chambers judge hearing a motion to strike pleadings based on a complex question of statutory interpretation is not obligated to come to a conclusion on the interpretation of the provisions in issue, but rather can quite properly exercise their discretion and leave the matter to be decided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Arguably, that is the course that the master followed in this case. Accepting that to be so, the initial issue for determination is whether or not the master was clearly wrong in the exercise of his discretion. While a discretionary order is entitled to deference, that entitlement is lost if the discretion is exercised on wrong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In this case, in my respectful view, the master did indeed exercise his discretion on wrong principles. His suggestion that a different test applies when an application is brought to strike pleadings to a claim based on the interpretation of a statute is clearly wrong. One needs to look no further for this proposition then to the Supreme Court of Canada's decision in </w:t>
      </w:r>
      <w:r>
        <w:rPr>
          <w:rFonts w:ascii="arial" w:eastAsia="arial" w:hAnsi="arial" w:cs="arial"/>
          <w:i/>
          <w:color w:val="000000"/>
          <w:sz w:val="20"/>
          <w:lang w:val="en-US" w:eastAsia="en-US" w:bidi="ar-SA"/>
        </w:rPr>
        <w:t>R. v. Imperial Tobacco Canada Ltd.</w:t>
      </w:r>
      <w:r>
        <w:rPr>
          <w:rFonts w:ascii="arial" w:eastAsia="arial" w:hAnsi="arial" w:cs="arial"/>
          <w:color w:val="000000"/>
          <w:sz w:val="20"/>
          <w:lang w:val="en-US" w:eastAsia="en-US" w:bidi="ar-SA"/>
        </w:rPr>
        <w:t xml:space="preserve">, </w:t>
      </w:r>
      <w:hyperlink r:id="rId448" w:history="1">
        <w:r>
          <w:rPr>
            <w:rFonts w:ascii="arial" w:eastAsia="arial" w:hAnsi="arial" w:cs="arial"/>
            <w:i/>
            <w:color w:val="0077CC"/>
            <w:sz w:val="20"/>
            <w:u w:val="single"/>
            <w:shd w:val="clear" w:color="auto" w:fill="FFFFFF"/>
            <w:lang w:val="en-US" w:eastAsia="en-US" w:bidi="ar-SA"/>
          </w:rPr>
          <w:t>2011 SCC 42</w:t>
        </w:r>
      </w:hyperlink>
      <w:r>
        <w:rPr>
          <w:rFonts w:ascii="arial" w:eastAsia="arial" w:hAnsi="arial" w:cs="arial"/>
          <w:color w:val="000000"/>
          <w:sz w:val="20"/>
          <w:lang w:val="en-US" w:eastAsia="en-US" w:bidi="ar-SA"/>
        </w:rPr>
        <w:t xml:space="preserve">, </w:t>
      </w:r>
      <w:hyperlink r:id="rId448" w:history="1">
        <w:r>
          <w:rPr>
            <w:rFonts w:ascii="arial" w:eastAsia="arial" w:hAnsi="arial" w:cs="arial"/>
            <w:i/>
            <w:color w:val="0077CC"/>
            <w:sz w:val="20"/>
            <w:u w:val="single"/>
            <w:shd w:val="clear" w:color="auto" w:fill="FFFFFF"/>
            <w:lang w:val="en-US" w:eastAsia="en-US" w:bidi="ar-SA"/>
          </w:rPr>
          <w:t>[2011] 3 S.C.R. 45</w:t>
        </w:r>
      </w:hyperlink>
      <w:r>
        <w:rPr>
          <w:rFonts w:ascii="arial" w:eastAsia="arial" w:hAnsi="arial" w:cs="arial"/>
          <w:color w:val="000000"/>
          <w:sz w:val="20"/>
          <w:lang w:val="en-US" w:eastAsia="en-US" w:bidi="ar-SA"/>
        </w:rPr>
        <w:t xml:space="preserve">, in which the case before the court was whether a party could be held liable under the provisions of the </w:t>
      </w:r>
      <w:r>
        <w:rPr>
          <w:rFonts w:ascii="arial" w:eastAsia="arial" w:hAnsi="arial" w:cs="arial"/>
          <w:i/>
          <w:color w:val="000000"/>
          <w:sz w:val="20"/>
          <w:lang w:val="en-US" w:eastAsia="en-US" w:bidi="ar-SA"/>
        </w:rPr>
        <w:t>Tobacco Damages and Health Care Costs Recovery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2000, c. 30</w:t>
      </w:r>
      <w:r>
        <w:rPr>
          <w:rFonts w:ascii="arial" w:eastAsia="arial" w:hAnsi="arial" w:cs="arial"/>
          <w:color w:val="000000"/>
          <w:sz w:val="20"/>
          <w:lang w:val="en-US" w:eastAsia="en-US" w:bidi="ar-SA"/>
        </w:rPr>
        <w:t xml:space="preserve"> and under provisions of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Having determined that the master exercised his discretion on a clearly wrong principle, I am able to consider the matter afresh.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is directed at consumer protection. In </w:t>
      </w:r>
      <w:r>
        <w:rPr>
          <w:rFonts w:ascii="arial" w:eastAsia="arial" w:hAnsi="arial" w:cs="arial"/>
          <w:i/>
          <w:color w:val="000000"/>
          <w:sz w:val="20"/>
          <w:lang w:val="en-US" w:eastAsia="en-US" w:bidi="ar-SA"/>
        </w:rPr>
        <w:t>Seidel v. TELUS Communications Inc.</w:t>
      </w:r>
      <w:r>
        <w:rPr>
          <w:rFonts w:ascii="arial" w:eastAsia="arial" w:hAnsi="arial" w:cs="arial"/>
          <w:color w:val="000000"/>
          <w:sz w:val="20"/>
          <w:lang w:val="en-US" w:eastAsia="en-US" w:bidi="ar-SA"/>
        </w:rPr>
        <w:t xml:space="preserve">, </w:t>
      </w:r>
      <w:hyperlink r:id="rId449" w:history="1">
        <w:r>
          <w:rPr>
            <w:rFonts w:ascii="arial" w:eastAsia="arial" w:hAnsi="arial" w:cs="arial"/>
            <w:i/>
            <w:color w:val="0077CC"/>
            <w:sz w:val="20"/>
            <w:u w:val="single"/>
            <w:shd w:val="clear" w:color="auto" w:fill="FFFFFF"/>
            <w:lang w:val="en-US" w:eastAsia="en-US" w:bidi="ar-SA"/>
          </w:rPr>
          <w:t>2011 SCC 15</w:t>
        </w:r>
      </w:hyperlink>
      <w:r>
        <w:rPr>
          <w:rFonts w:ascii="arial" w:eastAsia="arial" w:hAnsi="arial" w:cs="arial"/>
          <w:color w:val="000000"/>
          <w:sz w:val="20"/>
          <w:lang w:val="en-US" w:eastAsia="en-US" w:bidi="ar-SA"/>
        </w:rPr>
        <w:t xml:space="preserve">, </w:t>
      </w:r>
      <w:hyperlink r:id="rId449" w:history="1">
        <w:r>
          <w:rPr>
            <w:rFonts w:ascii="arial" w:eastAsia="arial" w:hAnsi="arial" w:cs="arial"/>
            <w:i/>
            <w:color w:val="0077CC"/>
            <w:sz w:val="20"/>
            <w:u w:val="single"/>
            <w:shd w:val="clear" w:color="auto" w:fill="FFFFFF"/>
            <w:lang w:val="en-US" w:eastAsia="en-US" w:bidi="ar-SA"/>
          </w:rPr>
          <w:t>[2011] 1 S.C.R. 531</w:t>
        </w:r>
      </w:hyperlink>
      <w:r>
        <w:rPr>
          <w:rFonts w:ascii="arial" w:eastAsia="arial" w:hAnsi="arial" w:cs="arial"/>
          <w:color w:val="000000"/>
          <w:sz w:val="20"/>
          <w:lang w:val="en-US" w:eastAsia="en-US" w:bidi="ar-SA"/>
        </w:rPr>
        <w:t xml:space="preserve">, a case dealing with whether the statutory right to bring an action under s. 172 of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took precedence over an arbitration clause in a consumer contract, Binnie J. (writing for a majority of the Court) discussed the purpose of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at para. 37: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to statutory purpose,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is all about consumer protection. As such, its terms should be interpreted generously in favour of consumers: </w:t>
      </w:r>
      <w:r>
        <w:rPr>
          <w:rFonts w:ascii="arial" w:eastAsia="arial" w:hAnsi="arial" w:cs="arial"/>
          <w:i/>
          <w:color w:val="000000"/>
          <w:sz w:val="20"/>
          <w:lang w:val="en-US" w:eastAsia="en-US" w:bidi="ar-SA"/>
        </w:rPr>
        <w:t>Smith v. Co-operators General Insurance Co.</w:t>
      </w:r>
      <w:r>
        <w:rPr>
          <w:rFonts w:ascii="arial" w:eastAsia="arial" w:hAnsi="arial" w:cs="arial"/>
          <w:color w:val="000000"/>
          <w:sz w:val="20"/>
          <w:lang w:val="en-US" w:eastAsia="en-US" w:bidi="ar-SA"/>
        </w:rPr>
        <w:t xml:space="preserve">, </w:t>
      </w:r>
      <w:hyperlink r:id="rId450" w:history="1">
        <w:r>
          <w:rPr>
            <w:rFonts w:ascii="arial" w:eastAsia="arial" w:hAnsi="arial" w:cs="arial"/>
            <w:i/>
            <w:color w:val="0077CC"/>
            <w:sz w:val="20"/>
            <w:u w:val="single"/>
            <w:shd w:val="clear" w:color="auto" w:fill="FFFFFF"/>
            <w:lang w:val="en-US" w:eastAsia="en-US" w:bidi="ar-SA"/>
          </w:rPr>
          <w:t>2002 SCC 30</w:t>
        </w:r>
      </w:hyperlink>
      <w:r>
        <w:rPr>
          <w:rFonts w:ascii="arial" w:eastAsia="arial" w:hAnsi="arial" w:cs="arial"/>
          <w:color w:val="000000"/>
          <w:sz w:val="20"/>
          <w:lang w:val="en-US" w:eastAsia="en-US" w:bidi="ar-SA"/>
        </w:rPr>
        <w:t xml:space="preserve">, </w:t>
      </w:r>
      <w:hyperlink r:id="rId450" w:history="1">
        <w:r>
          <w:rPr>
            <w:rFonts w:ascii="arial" w:eastAsia="arial" w:hAnsi="arial" w:cs="arial"/>
            <w:i/>
            <w:color w:val="0077CC"/>
            <w:sz w:val="20"/>
            <w:u w:val="single"/>
            <w:shd w:val="clear" w:color="auto" w:fill="FFFFFF"/>
            <w:lang w:val="en-US" w:eastAsia="en-US" w:bidi="ar-SA"/>
          </w:rPr>
          <w:t>[2002] 2 S.C.R. 129</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ACS Public Sector Solutions Inc. v. Courthouse Technologies Ltd.</w:t>
      </w:r>
      <w:r>
        <w:rPr>
          <w:rFonts w:ascii="arial" w:eastAsia="arial" w:hAnsi="arial" w:cs="arial"/>
          <w:color w:val="000000"/>
          <w:sz w:val="20"/>
          <w:lang w:val="en-US" w:eastAsia="en-US" w:bidi="ar-SA"/>
        </w:rPr>
        <w:t xml:space="preserve">, </w:t>
      </w:r>
      <w:hyperlink r:id="rId451" w:history="1">
        <w:r>
          <w:rPr>
            <w:rFonts w:ascii="arial" w:eastAsia="arial" w:hAnsi="arial" w:cs="arial"/>
            <w:i/>
            <w:color w:val="0077CC"/>
            <w:sz w:val="20"/>
            <w:u w:val="single"/>
            <w:shd w:val="clear" w:color="auto" w:fill="FFFFFF"/>
            <w:lang w:val="en-US" w:eastAsia="en-US" w:bidi="ar-SA"/>
          </w:rPr>
          <w:t>2005 BCCA 605</w:t>
        </w:r>
      </w:hyperlink>
      <w:r>
        <w:rPr>
          <w:rFonts w:ascii="arial" w:eastAsia="arial" w:hAnsi="arial" w:cs="arial"/>
          <w:color w:val="000000"/>
          <w:sz w:val="20"/>
          <w:lang w:val="en-US" w:eastAsia="en-US" w:bidi="ar-SA"/>
        </w:rPr>
        <w:t xml:space="preserve">, </w:t>
      </w:r>
      <w:hyperlink r:id="rId451" w:history="1">
        <w:r>
          <w:rPr>
            <w:rFonts w:ascii="arial" w:eastAsia="arial" w:hAnsi="arial" w:cs="arial"/>
            <w:i/>
            <w:color w:val="0077CC"/>
            <w:sz w:val="20"/>
            <w:u w:val="single"/>
            <w:shd w:val="clear" w:color="auto" w:fill="FFFFFF"/>
            <w:lang w:val="en-US" w:eastAsia="en-US" w:bidi="ar-SA"/>
          </w:rPr>
          <w:t>48 B.C.L.R. (4th) 328</w:t>
        </w:r>
      </w:hyperlink>
      <w:r>
        <w:rPr>
          <w:rFonts w:ascii="arial" w:eastAsia="arial" w:hAnsi="arial" w:cs="arial"/>
          <w:color w:val="000000"/>
          <w:sz w:val="20"/>
          <w:lang w:val="en-US" w:eastAsia="en-US" w:bidi="ar-SA"/>
        </w:rPr>
        <w:t xml:space="preser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While the legislation must be given a broad and generous interpretation, a court is bound by the words of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and cannot create a cause of action where one does not exist. In this case, the key question is whether the facts pleaded in the amended notice of civil claim, assuming they are true, give rise to a "consumer transaction" or a "deceptive act or practice" as those terms are defined in the legislation.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Under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a "consumer" is defined as an "individual, whether in British Columbia or not, who participates in a consumer transaction". A consumer transaction in turn is defined as a supply of goods by a supplier to a consumer for purposes that are primarily personal, family or household, or a solicitation, offer, advertisement, or promotion by a supplier which respect to such a transaction. Section 5(1)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prohibits deceptive acts or practices in respect to consumer transactions.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"Consumer"," supplier", "deceptive act or practice" and a contravention of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are each defined by reference to a consumer transaction. Absent a consumer transaction,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does not apply. A "consumer transaction" in turn requires a supply of goods or services or real property by a supplier to a consumer for purposes that are primarily personal, family or household or a solicitation, offer, advertisement, or promotion by a supplier with respect to such a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In this case, the pleadings do not allege a consumer transaction within the meaning of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The Introducer was not supplied by the Edwards Defendants to the plaintiff indirectly or otherwise. The Introducer was purchased, not by the plaintiff, but by the Fraser Valley Health Authority, in order to enable the Authority to carry out its obligations as a healthcare service provider. The Introducer was not used by the plaintiff; rather it was used by the physicians in the context of a medical procedure that was being administered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Further, the amended notice of civil claim does not plead a "deceptive act or practice" within the meaning of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There is no allegation that the plaintiff was aware of, or relied upon, any statement or conduct concerning the Introducer. In </w:t>
      </w:r>
      <w:r>
        <w:rPr>
          <w:rFonts w:ascii="arial" w:eastAsia="arial" w:hAnsi="arial" w:cs="arial"/>
          <w:i/>
          <w:color w:val="000000"/>
          <w:sz w:val="20"/>
          <w:lang w:val="en-US" w:eastAsia="en-US" w:bidi="ar-SA"/>
        </w:rPr>
        <w:t>Loychuk v. Cougar Mountain Adventures Ltd.</w:t>
      </w:r>
      <w:r>
        <w:rPr>
          <w:rFonts w:ascii="arial" w:eastAsia="arial" w:hAnsi="arial" w:cs="arial"/>
          <w:color w:val="000000"/>
          <w:sz w:val="20"/>
          <w:lang w:val="en-US" w:eastAsia="en-US" w:bidi="ar-SA"/>
        </w:rPr>
        <w:t xml:space="preserve">, </w:t>
      </w:r>
      <w:hyperlink r:id="rId452" w:history="1">
        <w:r>
          <w:rPr>
            <w:rFonts w:ascii="arial" w:eastAsia="arial" w:hAnsi="arial" w:cs="arial"/>
            <w:i/>
            <w:color w:val="0077CC"/>
            <w:sz w:val="20"/>
            <w:u w:val="single"/>
            <w:shd w:val="clear" w:color="auto" w:fill="FFFFFF"/>
            <w:lang w:val="en-US" w:eastAsia="en-US" w:bidi="ar-SA"/>
          </w:rPr>
          <w:t>2012 BCCA 122</w:t>
        </w:r>
      </w:hyperlink>
      <w:r>
        <w:rPr>
          <w:rFonts w:ascii="arial" w:eastAsia="arial" w:hAnsi="arial" w:cs="arial"/>
          <w:color w:val="000000"/>
          <w:sz w:val="20"/>
          <w:lang w:val="en-US" w:eastAsia="en-US" w:bidi="ar-SA"/>
        </w:rPr>
        <w:t xml:space="preserve">, </w:t>
      </w:r>
      <w:hyperlink r:id="rId452" w:history="1">
        <w:r>
          <w:rPr>
            <w:rFonts w:ascii="arial" w:eastAsia="arial" w:hAnsi="arial" w:cs="arial"/>
            <w:i/>
            <w:color w:val="0077CC"/>
            <w:sz w:val="20"/>
            <w:u w:val="single"/>
            <w:shd w:val="clear" w:color="auto" w:fill="FFFFFF"/>
            <w:lang w:val="en-US" w:eastAsia="en-US" w:bidi="ar-SA"/>
          </w:rPr>
          <w:t>31 B.C.L.R. (5th) 23</w:t>
        </w:r>
      </w:hyperlink>
      <w:r>
        <w:rPr>
          <w:rFonts w:ascii="arial" w:eastAsia="arial" w:hAnsi="arial" w:cs="arial"/>
          <w:color w:val="000000"/>
          <w:sz w:val="20"/>
          <w:lang w:val="en-US" w:eastAsia="en-US" w:bidi="ar-SA"/>
        </w:rPr>
        <w:t>, Frankel J.A. discussed this requirement at para. 60: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Deceptive statements cannot be pleaded in the abstract. A consumer cannot allege that a statement was deceptive -- either in support of an assertion that a transaction was unconscionable or as an independent basis for damages -- without establishing that he or she relied on that statement in entering into the transaction in issue. Absent such a nexus a statement would not be a "representation", as it would not have been "used or relied upon by a supplier in connection with a consumer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Individual reliance is required to find a breach of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and a contravention of the legislation is a necessary precondition to a claim for damages under s. 171.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I find that the plaintiff's pleading does not disclose a cause of action under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The master erred in granting that portion of the proposed amendment. The appeal is allowed, and the order granting leave to permit the claims under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is set aside. The plaintiff's application for the amendment to add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claims against the Edwards Defendants is dismissed with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Edwards Defendants are entitled to their costs on this application and the application before the master in any event of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R.B.T. GOEPEL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99" style="position:absolute;z-index:2518691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53"/>
          <w:headerReference w:type="default" r:id="rId454"/>
          <w:footerReference w:type="even" r:id="rId455"/>
          <w:footerReference w:type="default" r:id="rId456"/>
          <w:headerReference w:type="first" r:id="rId457"/>
          <w:footerReference w:type="first" r:id="rId45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459" w:history="1">
        <w:r>
          <w:rPr>
            <w:rFonts w:ascii="arial" w:eastAsia="arial" w:hAnsi="arial" w:cs="arial"/>
            <w:b/>
            <w:bCs/>
            <w:i/>
            <w:color w:val="0077CC"/>
            <w:kern w:val="32"/>
            <w:sz w:val="28"/>
            <w:szCs w:val="32"/>
            <w:u w:val="single"/>
            <w:shd w:val="clear" w:color="auto" w:fill="FFFFFF"/>
            <w:lang w:val="en-US" w:eastAsia="en-US" w:bidi="ar-SA"/>
          </w:rPr>
          <w:t>Burnett Estate v. St. Jude Medical, Inc., [2009] B.C.J. No. 2403</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J.S. Sigurdson J.</w:t>
      </w:r>
    </w:p>
    <w:p>
      <w:pPr>
        <w:spacing w:before="120" w:line="260" w:lineRule="atLeast"/>
        <w:jc w:val="center"/>
        <w:rPr>
          <w:lang w:val="en-US" w:eastAsia="en-US" w:bidi="ar-SA"/>
        </w:rPr>
      </w:pPr>
      <w:r>
        <w:rPr>
          <w:rFonts w:ascii="arial" w:eastAsia="arial" w:hAnsi="arial" w:cs="arial"/>
          <w:color w:val="000000"/>
          <w:sz w:val="20"/>
          <w:lang w:val="en-US" w:eastAsia="en-US" w:bidi="ar-SA"/>
        </w:rPr>
        <w:t>Heard: September 30, October 1-2, 2009; written submissions,</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October 26, 2009.</w:t>
      </w:r>
    </w:p>
    <w:p>
      <w:pPr>
        <w:spacing w:before="120" w:line="260" w:lineRule="atLeast"/>
        <w:jc w:val="center"/>
        <w:rPr>
          <w:lang w:val="en-US" w:eastAsia="en-US" w:bidi="ar-SA"/>
        </w:rPr>
      </w:pPr>
      <w:r>
        <w:rPr>
          <w:rFonts w:ascii="arial" w:eastAsia="arial" w:hAnsi="arial" w:cs="arial"/>
          <w:color w:val="000000"/>
          <w:sz w:val="20"/>
          <w:lang w:val="en-US" w:eastAsia="en-US" w:bidi="ar-SA"/>
        </w:rPr>
        <w:t>Supplementary judgment: December 2, 2009.</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w:t>
      </w:r>
    </w:p>
    <w:p>
      <w:pPr>
        <w:spacing w:before="120" w:line="260" w:lineRule="atLeast"/>
        <w:jc w:val="center"/>
        <w:rPr>
          <w:lang w:val="en-US" w:eastAsia="en-US" w:bidi="ar-SA"/>
        </w:rPr>
      </w:pPr>
      <w:r>
        <w:rPr>
          <w:rFonts w:ascii="arial" w:eastAsia="arial" w:hAnsi="arial" w:cs="arial"/>
          <w:color w:val="000000"/>
          <w:sz w:val="20"/>
          <w:lang w:val="en-US" w:eastAsia="en-US" w:bidi="ar-SA"/>
        </w:rPr>
        <w:t>Docket: S014221</w:t>
      </w:r>
    </w:p>
    <w:p>
      <w:pPr>
        <w:spacing w:before="120" w:line="260" w:lineRule="atLeast"/>
        <w:jc w:val="center"/>
        <w:rPr>
          <w:lang w:val="en-US" w:eastAsia="en-US" w:bidi="ar-SA"/>
        </w:rPr>
      </w:pPr>
      <w:r>
        <w:rPr>
          <w:rFonts w:ascii="arial" w:eastAsia="arial" w:hAnsi="arial" w:cs="arial"/>
          <w:color w:val="000000"/>
          <w:sz w:val="20"/>
          <w:lang w:val="en-US" w:eastAsia="en-US" w:bidi="ar-SA"/>
        </w:rPr>
        <w:t>Registry: Vancouver</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[2009] B.C.J. No. 2403</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2009 BCSC 1651</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2009 CarswellBC 3256</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183 A.C.W.S. (3d) 39</w:t>
      </w:r>
    </w:p>
    <w:p>
      <w:pPr>
        <w:spacing w:before="120" w:line="260" w:lineRule="atLeast"/>
        <w:rPr>
          <w:lang w:val="en-US" w:eastAsia="en-US" w:bidi="ar-SA"/>
        </w:rPr>
      </w:pPr>
      <w:r>
        <w:rPr>
          <w:rFonts w:ascii="arial" w:eastAsia="arial" w:hAnsi="arial" w:cs="arial"/>
          <w:color w:val="000000"/>
          <w:sz w:val="20"/>
          <w:lang w:val="en-US" w:eastAsia="en-US" w:bidi="ar-SA"/>
        </w:rPr>
        <w:t>Between Elsie Burnett, as Executrix of the Estate of Earl Burnett, Plaintiff, and St. Jude Medical, Inc. and St. Jude Medical, Canada Inc., Defendants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100" style="position:absolute;z-index:251674624"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104" w:name="Keywords_15"/>
      <w:bookmarkEnd w:id="104"/>
      <w:r>
        <w:rPr>
          <w:rFonts w:ascii="arial" w:eastAsia="arial" w:hAnsi="arial" w:cs="arial"/>
          <w:b/>
          <w:color w:val="000000"/>
          <w:sz w:val="20"/>
          <w:lang w:val="en-US" w:eastAsia="en-US" w:bidi="ar-SA"/>
        </w:rPr>
        <w:t>Civil litigation — Civil procedure — Parties — Class or representative actions — Certification — Settlements — Approval — Application for certification and for approval of an amended settlement of a class proceeding, allowed — Amended settlement properly addressed the claims for psychological or psychiatric injuries raised by members of the class — Settlement was fair and reasonable and was in the best interests of the class members as a whole — Certification was previously granted in an earlier decision in this matter.</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105" w:name="Case Summary_15"/>
            <w:bookmarkEnd w:id="105"/>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Application by the representative plaintiff in a class proceeding for certification of the action and for approval of an amended settlement. The proceeding related to an allegedly defective mechanical heart valve that was designed, manufactured and distributed by the defendants. The matter was previously before the Court for certification and approval of a settlement. The Court declined to approve the settlement. It would have approved the settlement in connection with the physical injuries said to be incurred by patients as a result of the defective valves. The settlement was not approved because the possible claims for psychological injury had not been properly investigated. Eight months after the reasons in the first application were released the representative plaintiff brought this application. The relevant portion of this application related to the resolution of the claims for psychological injury. In the amended settlement the parties agreed on a definition for psychological injury and they agreed to establish a psychological injury fund of $50,000 to be distributed according to an attached schedule. The schedule provided that class members who had a mild disorder would receive a maximum of $3,000 while members who had a moderate or a severe disorder would receive $6,000 and $10,000 respectively. The $50,000 fund was the maximum amount payable for all psychological claims. Few members of the class would qualify for compensation for psychological injuries because they would be unable to establish a psychological injury that met the requirements of the applicable caselaw. </w:t>
            </w:r>
            <w:r>
              <w:rPr>
                <w:lang w:val="en-US" w:eastAsia="en-US" w:bidi="ar-SA"/>
              </w:rPr>
              <w:cr/>
            </w:r>
          </w:p>
          <w:p>
            <w:pPr>
              <w:spacing w:before="120" w:line="260" w:lineRule="atLeast"/>
              <w:ind w:left="240"/>
              <w:jc w:val="both"/>
              <w:rPr>
                <w:lang w:val="en-US" w:eastAsia="en-US" w:bidi="ar-SA"/>
              </w:rPr>
            </w:pPr>
            <w:bookmarkStart w:id="106" w:name="Holdings of Court_15"/>
            <w:bookmarkEnd w:id="106"/>
            <w:r>
              <w:rPr>
                <w:rFonts w:ascii="arial" w:eastAsia="arial" w:hAnsi="arial" w:cs="arial"/>
                <w:color w:val="000000"/>
                <w:sz w:val="20"/>
                <w:lang w:val="en-US" w:eastAsia="en-US" w:bidi="ar-SA"/>
              </w:rPr>
              <w:t>HELD: Application allowed.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The settlement was approved. It met the requirement of being fair and reasonable and it was in the best interests of the class as a whole. The proposed settlement was based on an interpretation of the caselaw that required proof of a recognized psychiatric disorder. This was a reasonable interpretation of the caselaw when it was applied to a person's reaction to being informed that an implanted medical device was being recalled due to the increased risk of complications. The caselaw provided strong support for the fact that the basis for compensation under the proposed settlement agreement was well considered by the parties to the agreement and it was consistent with the governing authority. If some class members did suffer from a provable and recognized psychiatric disorder, the agreement provided some compensation when supported by a letter from a psychologist or psychiatrist, or from a family doctor that was supported by contemporaneous records. The individuals amounts and the total amount of compensation for the psychiatric disorders were at the lower end of the scale but were within a range of reasonableness. In the previous decision the Court found that the test for certification had been met. </w:t>
            </w:r>
            <w:r>
              <w:rPr>
                <w:lang w:val="en-US" w:eastAsia="en-US" w:bidi="ar-SA"/>
              </w:rPr>
              <w:cr/>
            </w:r>
          </w:p>
          <w:p>
            <w:pPr>
              <w:rPr>
                <w:lang w:val="en-US" w:eastAsia="en-US" w:bidi="ar-SA"/>
              </w:rPr>
            </w:pPr>
          </w:p>
        </w:tc>
      </w:tr>
    </w:tbl>
    <w:p>
      <w:pPr>
        <w:jc w:val="both"/>
        <w:rPr>
          <w:lang w:val="en-US" w:eastAsia="en-US" w:bidi="ar-SA"/>
        </w:rPr>
      </w:pPr>
      <w:bookmarkStart w:id="107" w:name="Legislation Cited_8"/>
      <w:bookmarkEnd w:id="107"/>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101" style="position:absolute;z-index:251725824"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Class Proceeding Act, </w:t>
      </w:r>
      <w:r>
        <w:rPr>
          <w:rFonts w:ascii="arial" w:eastAsia="arial" w:hAnsi="arial" w:cs="arial"/>
          <w:i/>
          <w:color w:val="000000"/>
          <w:sz w:val="20"/>
          <w:lang w:val="en-US" w:eastAsia="en-US" w:bidi="ar-SA"/>
        </w:rPr>
        <w:t>RSBC 1996, CHAPTER 50</w:t>
      </w:r>
      <w:r>
        <w:rPr>
          <w:rFonts w:ascii="arial" w:eastAsia="arial" w:hAnsi="arial" w:cs="arial"/>
          <w:color w:val="000000"/>
          <w:sz w:val="20"/>
          <w:lang w:val="en-US" w:eastAsia="en-US" w:bidi="ar-SA"/>
        </w:rPr>
        <w:t>,</w:t>
      </w:r>
      <w:r>
        <w:rPr>
          <w:lang w:val="en-US" w:eastAsia="en-US" w:bidi="ar-SA"/>
        </w:rPr>
        <w:cr/>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p>
          <w:p>
            <w:pPr>
              <w:spacing w:before="120" w:line="260" w:lineRule="atLeast"/>
              <w:ind w:left="240"/>
              <w:jc w:val="both"/>
              <w:rPr>
                <w:lang w:val="en-US" w:eastAsia="en-US" w:bidi="ar-SA"/>
              </w:rPr>
            </w:pPr>
            <w:r>
              <w:rPr>
                <w:rFonts w:ascii="arial" w:eastAsia="arial" w:hAnsi="arial" w:cs="arial"/>
                <w:color w:val="000000"/>
                <w:sz w:val="20"/>
                <w:lang w:val="en-US" w:eastAsia="en-US" w:bidi="ar-SA"/>
              </w:rPr>
              <w:t>Supplementary Reasons to: Supreme Court of B.C., January 30, 2009 (</w:t>
            </w:r>
            <w:r>
              <w:rPr>
                <w:rFonts w:ascii="arial" w:eastAsia="arial" w:hAnsi="arial" w:cs="arial"/>
                <w:i/>
                <w:color w:val="000000"/>
                <w:sz w:val="20"/>
                <w:lang w:val="en-US" w:eastAsia="en-US" w:bidi="ar-SA"/>
              </w:rPr>
              <w:t>Burnett v. St. Jude Medical, Inc.</w:t>
            </w:r>
            <w:r>
              <w:rPr>
                <w:rFonts w:ascii="arial" w:eastAsia="arial" w:hAnsi="arial" w:cs="arial"/>
                <w:color w:val="000000"/>
                <w:sz w:val="20"/>
                <w:lang w:val="en-US" w:eastAsia="en-US" w:bidi="ar-SA"/>
              </w:rPr>
              <w:t xml:space="preserve">, </w:t>
            </w:r>
            <w:hyperlink r:id="rId460" w:history="1">
              <w:r>
                <w:rPr>
                  <w:rFonts w:ascii="arial" w:eastAsia="arial" w:hAnsi="arial" w:cs="arial"/>
                  <w:i/>
                  <w:color w:val="0077CC"/>
                  <w:sz w:val="20"/>
                  <w:u w:val="single"/>
                  <w:shd w:val="clear" w:color="auto" w:fill="FFFFFF"/>
                  <w:lang w:val="en-US" w:eastAsia="en-US" w:bidi="ar-SA"/>
                </w:rPr>
                <w:t>2009 BCSC 82</w:t>
              </w:r>
            </w:hyperlink>
            <w:r>
              <w:rPr>
                <w:rFonts w:ascii="arial" w:eastAsia="arial" w:hAnsi="arial" w:cs="arial"/>
                <w:color w:val="000000"/>
                <w:sz w:val="20"/>
                <w:lang w:val="en-US" w:eastAsia="en-US" w:bidi="ar-SA"/>
              </w:rPr>
              <w:t xml:space="preserve">, Vancouver File No. S014221) (90 paras.) </w:t>
            </w:r>
            <w:r>
              <w:rPr>
                <w:lang w:val="en-US" w:eastAsia="en-US" w:bidi="ar-SA"/>
              </w:rPr>
              <w:cr/>
            </w:r>
          </w:p>
          <w:p>
            <w:pPr>
              <w:rPr>
                <w:lang w:val="en-US" w:eastAsia="en-US" w:bidi="ar-SA"/>
              </w:rPr>
            </w:pPr>
          </w:p>
        </w:tc>
      </w:tr>
    </w:tbl>
    <w:p>
      <w:pPr>
        <w:jc w:val="both"/>
        <w:rPr>
          <w:lang w:val="en-US" w:eastAsia="en-US" w:bidi="ar-SA"/>
        </w:rPr>
      </w:pPr>
      <w:bookmarkStart w:id="108" w:name="Counsel_15"/>
      <w:bookmarkEnd w:id="108"/>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02" style="position:absolute;z-index:251777024"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Plaintiff: K.J. Baxter, J.M. Poyner.</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Defendants: D.T. Neave, D. Gruber, S.G. McKee.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Objectors: J.J. Camp, Q.C., R. Mogerman.</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Province of British Columbia: A.G. Lieberman.</w:t>
      </w:r>
      <w:r>
        <w:rPr>
          <w:lang w:val="en-US" w:eastAsia="en-US" w:bidi="ar-SA"/>
        </w:rPr>
        <w:cr/>
      </w:r>
    </w:p>
    <w:p>
      <w:pPr>
        <w:spacing w:after="240"/>
        <w:rPr>
          <w:lang w:val="en-US" w:eastAsia="en-US" w:bidi="ar-SA"/>
        </w:rPr>
      </w:pPr>
      <w:bookmarkStart w:id="109" w:name="Judgment_15"/>
      <w:bookmarkEnd w:id="109"/>
      <w:r>
        <w:pict>
          <v:line id="_x0000_s1103" style="position:absolute;z-index:251827200" from="0,12pt" to="512pt,12pt" strokecolor="#009ddb" strokeweight="1.5pt">
            <v:stroke linestyle="single"/>
          </v:line>
        </w:pict>
      </w:r>
    </w:p>
    <w:p>
      <w:pPr>
        <w:spacing w:before="120" w:line="260" w:lineRule="atLeast"/>
        <w:jc w:val="center"/>
        <w:rPr>
          <w:lang w:val="en-US" w:eastAsia="en-US" w:bidi="ar-SA"/>
        </w:rPr>
      </w:pPr>
      <w:r>
        <w:rPr>
          <w:rFonts w:ascii="arial" w:eastAsia="arial" w:hAnsi="arial" w:cs="arial"/>
          <w:b/>
          <w:color w:val="000000"/>
          <w:sz w:val="20"/>
          <w:lang w:val="en-US" w:eastAsia="en-US" w:bidi="ar-SA"/>
        </w:rPr>
        <w:t>Reasons for Judgment</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0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110" w:name="J.S. SIGURDSON J."/>
            <w:bookmarkEnd w:id="110"/>
            <w:r>
              <w:rPr>
                <w:rFonts w:ascii="arial" w:eastAsia="arial" w:hAnsi="arial" w:cs="arial"/>
                <w:b/>
                <w:color w:val="000000"/>
                <w:sz w:val="30"/>
                <w:lang w:val="en-US" w:eastAsia="en-US" w:bidi="ar-SA"/>
              </w:rPr>
              <w:t>J.S. SIGURDSON J.</w:t>
            </w:r>
          </w:p>
        </w:tc>
      </w:tr>
    </w:tbl>
    <w:p>
      <w:pPr>
        <w:spacing w:line="260" w:lineRule="atLeast"/>
        <w:jc w:val="both"/>
        <w:rPr>
          <w:lang w:val="en-US" w:eastAsia="en-US" w:bidi="ar-SA"/>
        </w:rPr>
      </w:pPr>
      <w:r>
        <w:rPr>
          <w:lang w:val="en-US" w:eastAsia="en-US" w:bidi="ar-SA"/>
        </w:rPr>
        <w:br/>
      </w:r>
      <w:r>
        <w:rPr>
          <w:lang w:val="en-US" w:eastAsia="en-US" w:bidi="ar-SA"/>
        </w:rPr>
        <w:br/>
      </w:r>
      <w:r>
        <w:rPr>
          <w:rFonts w:ascii="arial" w:eastAsia="arial" w:hAnsi="arial" w:cs="arial"/>
          <w:b/>
          <w:color w:val="000000"/>
          <w:sz w:val="20"/>
          <w:lang w:val="en-US" w:eastAsia="en-US" w:bidi="ar-SA"/>
        </w:rPr>
        <w:t>INTRODUCTION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is an application for certification of a class proceeding under the </w:t>
      </w:r>
      <w:r>
        <w:rPr>
          <w:rFonts w:ascii="arial" w:eastAsia="arial" w:hAnsi="arial" w:cs="arial"/>
          <w:i/>
          <w:color w:val="000000"/>
          <w:sz w:val="20"/>
          <w:lang w:val="en-US" w:eastAsia="en-US" w:bidi="ar-SA"/>
        </w:rPr>
        <w:t>Class Proceedings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50</w:t>
      </w:r>
      <w:r>
        <w:rPr>
          <w:rFonts w:ascii="arial" w:eastAsia="arial" w:hAnsi="arial" w:cs="arial"/>
          <w:color w:val="000000"/>
          <w:sz w:val="20"/>
          <w:lang w:val="en-US" w:eastAsia="en-US" w:bidi="ar-SA"/>
        </w:rPr>
        <w:t>, and for the approval of an amended settlement made between the representative plaintiff, Elsie Burnett, and the St. Jude Medical defendants dated July 20, 2009.</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proceeding relates to an allegedly defective mechanical heart valve designed, manufactured, and distributed by the St. Jude Medical defendants.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matter had earlier come on for certification and approval of a settlement but I declined to approve the settlement (Reasons dated January 30, 2009: </w:t>
      </w:r>
      <w:hyperlink r:id="rId460" w:history="1">
        <w:r>
          <w:rPr>
            <w:rFonts w:ascii="arial" w:eastAsia="arial" w:hAnsi="arial" w:cs="arial"/>
            <w:i/>
            <w:color w:val="0077CC"/>
            <w:sz w:val="20"/>
            <w:u w:val="single"/>
            <w:shd w:val="clear" w:color="auto" w:fill="FFFFFF"/>
            <w:lang w:val="en-US" w:eastAsia="en-US" w:bidi="ar-SA"/>
          </w:rPr>
          <w:t>2009 BCSC 82</w:t>
        </w:r>
      </w:hyperlink>
      <w:r>
        <w:rPr>
          <w:rFonts w:ascii="arial" w:eastAsia="arial" w:hAnsi="arial" w:cs="arial"/>
          <w:color w:val="000000"/>
          <w:sz w:val="20"/>
          <w:lang w:val="en-US" w:eastAsia="en-US" w:bidi="ar-SA"/>
        </w:rPr>
        <w:t xml:space="preserve">, </w:t>
      </w:r>
      <w:hyperlink r:id="rId461" w:history="1">
        <w:r>
          <w:rPr>
            <w:rFonts w:ascii="arial" w:eastAsia="arial" w:hAnsi="arial" w:cs="arial"/>
            <w:i/>
            <w:color w:val="0077CC"/>
            <w:sz w:val="20"/>
            <w:u w:val="single"/>
            <w:shd w:val="clear" w:color="auto" w:fill="FFFFFF"/>
            <w:lang w:val="en-US" w:eastAsia="en-US" w:bidi="ar-SA"/>
          </w:rPr>
          <w:t>70 C.C.E.L. (3d) 212</w:t>
        </w:r>
      </w:hyperlink>
      <w:r>
        <w:rPr>
          <w:rFonts w:ascii="arial" w:eastAsia="arial" w:hAnsi="arial" w:cs="arial"/>
          <w:color w:val="000000"/>
          <w:sz w:val="20"/>
          <w:lang w:val="en-US" w:eastAsia="en-US" w:bidi="ar-SA"/>
        </w:rPr>
        <w:t>). I would have approved the settlement in connection with the physical injuries said to have been incurred by patients as a result of the defective mechanical heart valves, in particular, increased risk of paravalvular leak within two years of implantation. However I did not approve the settlement because the possible claims for psychological injury had not, in my view, been properly investigated. At the conclusion of my reasons, I said: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[211] Although I generally find the settlement acceptable, I am not prepared to approve it on its present terms. Counsel may consider my comments and make a further application if they can agree on terms that they think will address my concerns.</w:t>
      </w:r>
    </w:p>
    <w:p>
      <w:pPr>
        <w:spacing w:before="120" w:line="260" w:lineRule="atLeast"/>
        <w:ind w:left="720"/>
        <w:rPr>
          <w:lang w:val="en-US" w:eastAsia="en-US" w:bidi="ar-SA"/>
        </w:rPr>
      </w:pPr>
      <w:r>
        <w:rPr>
          <w:rFonts w:ascii="arial" w:eastAsia="arial" w:hAnsi="arial" w:cs="arial"/>
          <w:color w:val="000000"/>
          <w:sz w:val="20"/>
          <w:lang w:val="en-US" w:eastAsia="en-US" w:bidi="ar-SA"/>
        </w:rPr>
        <w:t>[212] I recognize that settlements are not perfect, and only have to be shown to be within a range or zone of reasonableness. The aspect of the settlement that concerns me and places the settlement outside the range of reasonableness relates to the nominal compensation paid to so many class members when there is evidence of the possibility that some of them might have compensable claims for psychological injury.</w:t>
      </w:r>
    </w:p>
    <w:p>
      <w:pPr>
        <w:spacing w:before="120" w:line="260" w:lineRule="atLeast"/>
        <w:ind w:left="720"/>
        <w:rPr>
          <w:lang w:val="en-US" w:eastAsia="en-US" w:bidi="ar-SA"/>
        </w:rPr>
      </w:pPr>
      <w:r>
        <w:rPr>
          <w:rFonts w:ascii="arial" w:eastAsia="arial" w:hAnsi="arial" w:cs="arial"/>
          <w:color w:val="000000"/>
          <w:sz w:val="20"/>
          <w:lang w:val="en-US" w:eastAsia="en-US" w:bidi="ar-SA"/>
        </w:rPr>
        <w:t>...</w:t>
      </w:r>
    </w:p>
    <w:p>
      <w:pPr>
        <w:spacing w:before="120" w:line="260" w:lineRule="atLeast"/>
        <w:ind w:left="720"/>
        <w:rPr>
          <w:lang w:val="en-US" w:eastAsia="en-US" w:bidi="ar-SA"/>
        </w:rPr>
      </w:pPr>
      <w:r>
        <w:rPr>
          <w:rFonts w:ascii="arial" w:eastAsia="arial" w:hAnsi="arial" w:cs="arial"/>
          <w:color w:val="000000"/>
          <w:sz w:val="20"/>
          <w:lang w:val="en-US" w:eastAsia="en-US" w:bidi="ar-SA"/>
        </w:rPr>
        <w:t xml:space="preserve">[214] I recognize that there are significant difficulties with the psychological claims. I also appreciate that there are significant issues of causation, and that in the absence of proven psychological injury, or even with it, these claims may not be economically viable. There are serious questions about whether, based on the evidence that was filed by these objectors, the plaintiffs could satisfy the test in </w:t>
      </w:r>
      <w:r>
        <w:rPr>
          <w:rFonts w:ascii="arial" w:eastAsia="arial" w:hAnsi="arial" w:cs="arial"/>
          <w:i/>
          <w:color w:val="000000"/>
          <w:sz w:val="20"/>
          <w:lang w:val="en-US" w:eastAsia="en-US" w:bidi="ar-SA"/>
        </w:rPr>
        <w:t>Mustapha</w:t>
      </w:r>
      <w:r>
        <w:rPr>
          <w:rFonts w:ascii="arial" w:eastAsia="arial" w:hAnsi="arial" w:cs="arial"/>
          <w:color w:val="000000"/>
          <w:sz w:val="20"/>
          <w:lang w:val="en-US" w:eastAsia="en-US" w:bidi="ar-SA"/>
        </w:rPr>
        <w:t xml:space="preserve">, but on properly analyzed evidence, perhaps some might. Nevertheless, upon full consideration, which in my view has not yet taken place, some members of the class may well have suffered compensable foreseeable injury if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established.</w:t>
      </w:r>
    </w:p>
    <w:p>
      <w:pPr>
        <w:spacing w:before="120" w:line="260" w:lineRule="atLeast"/>
        <w:ind w:left="720"/>
        <w:rPr>
          <w:lang w:val="en-US" w:eastAsia="en-US" w:bidi="ar-SA"/>
        </w:rPr>
      </w:pPr>
      <w:r>
        <w:rPr>
          <w:rFonts w:ascii="arial" w:eastAsia="arial" w:hAnsi="arial" w:cs="arial"/>
          <w:color w:val="000000"/>
          <w:sz w:val="20"/>
          <w:lang w:val="en-US" w:eastAsia="en-US" w:bidi="ar-SA"/>
        </w:rPr>
        <w:t xml:space="preserve">[215] I have concluded that this settlement would be reasonable to all affected if it contained some reasonable provision that those who were able to establish on medical evidence that they suffered injury to the compensable level as per </w:t>
      </w:r>
      <w:r>
        <w:rPr>
          <w:rFonts w:ascii="arial" w:eastAsia="arial" w:hAnsi="arial" w:cs="arial"/>
          <w:i/>
          <w:color w:val="000000"/>
          <w:sz w:val="20"/>
          <w:lang w:val="en-US" w:eastAsia="en-US" w:bidi="ar-SA"/>
        </w:rPr>
        <w:t>Mustapha</w:t>
      </w:r>
      <w:r>
        <w:rPr>
          <w:rFonts w:ascii="arial" w:eastAsia="arial" w:hAnsi="arial" w:cs="arial"/>
          <w:color w:val="000000"/>
          <w:sz w:val="20"/>
          <w:lang w:val="en-US" w:eastAsia="en-US" w:bidi="ar-SA"/>
        </w:rPr>
        <w:t xml:space="preserve"> received some negotiated compensation. I think that this aspect must be more fully addressed by the parties. There are no doubt many ways that my concern could be addressed by the parties, but I leave that to them. The settlement can then be brought back to court if the representative plaintiff and defendants continue to agree on the terms of a settlement.</w:t>
      </w:r>
    </w:p>
    <w:p>
      <w:pPr>
        <w:spacing w:before="120" w:line="260" w:lineRule="atLeast"/>
        <w:ind w:left="720"/>
        <w:rPr>
          <w:lang w:val="en-US" w:eastAsia="en-US" w:bidi="ar-SA"/>
        </w:rPr>
      </w:pPr>
      <w:r>
        <w:rPr>
          <w:rFonts w:ascii="arial" w:eastAsia="arial" w:hAnsi="arial" w:cs="arial"/>
          <w:color w:val="000000"/>
          <w:sz w:val="20"/>
          <w:lang w:val="en-US" w:eastAsia="en-US" w:bidi="ar-SA"/>
        </w:rPr>
        <w:t>[216] Apart from my concerns about that aspect, I would have approved the settlement, as it otherwise appears to be, on all issues, a fair and reasonable settlement.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My earlier reasons at paras. 124-137 describe the test applied by the court for approval of a settlement in a class proceeding and the history of this litigation, and I need not repeat those descriptions here.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Eight months after the release of those reasons, the representative plaintiff brought a new application for certification and approval of a revised settlement. The application is to approve the settlement agreement as a whole.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No further argument was advanced regarding the issues I determined on the last application.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relevant portion of this application relates to the resolution of the claims for psychological injury.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 will set out below certain relevant paragraphs of the revised settlement agreement. In the preamble to the revised settlement agreement, the parties provided: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"On 6 and 8 to 10 October 2008, the Plaintiff sought certification of this Proceeding for the purposes of settlement and approval of the Settlement Agreement dated for reference 20 December 2007. On 30 January 2009 Mr. Justice Sigurdson released reasons for judgment in Burnett Estate v. St. Jude Medical Inc., </w:t>
      </w:r>
      <w:hyperlink r:id="rId460" w:history="1">
        <w:r>
          <w:rPr>
            <w:rFonts w:ascii="arial" w:eastAsia="arial" w:hAnsi="arial" w:cs="arial"/>
            <w:i/>
            <w:color w:val="0077CC"/>
            <w:sz w:val="20"/>
            <w:u w:val="single"/>
            <w:shd w:val="clear" w:color="auto" w:fill="FFFFFF"/>
            <w:lang w:val="en-US" w:eastAsia="en-US" w:bidi="ar-SA"/>
          </w:rPr>
          <w:t>[2009] B.C.J. No. 133</w:t>
        </w:r>
      </w:hyperlink>
      <w:r>
        <w:rPr>
          <w:rFonts w:ascii="arial" w:eastAsia="arial" w:hAnsi="arial" w:cs="arial"/>
          <w:color w:val="000000"/>
          <w:sz w:val="20"/>
          <w:lang w:val="en-US" w:eastAsia="en-US" w:bidi="ar-SA"/>
        </w:rPr>
        <w:t>, denying the Plaintiff's application. In so doing, Mr. Justice Sigurdson held he would have allowed the Plaintiff s application had he been satisfied that the possible claims for psychological injury had been properly investigated and assessed by Plaintiff's counsel. Counsel for the Plaintiff and the Defendants have, in consultation with their respective expert psychologists, investigated the alleged psychological injury claims. Following a mediation of their respective positions before Mr. Wally Oppal on 13 July 2009, the Parties agreed to provide for the settlement of all such alleged claims on the basis set out hereunder and subject to approval of the British Columbia Supreme Court".</w:t>
      </w:r>
    </w:p>
    <w:p>
      <w:pPr>
        <w:spacing w:before="120" w:line="260" w:lineRule="atLeast"/>
        <w:ind w:left="1440"/>
        <w:rPr>
          <w:lang w:val="en-US" w:eastAsia="en-US" w:bidi="ar-SA"/>
        </w:rPr>
      </w:pPr>
      <w:r>
        <w:rPr>
          <w:rFonts w:ascii="arial" w:eastAsia="arial" w:hAnsi="arial" w:cs="arial"/>
          <w:color w:val="000000"/>
          <w:sz w:val="20"/>
          <w:lang w:val="en-US" w:eastAsia="en-US" w:bidi="ar-SA"/>
        </w:rPr>
        <w:t>[Amended Settlement Agreement, Paragraph C]</w:t>
      </w:r>
    </w:p>
    <w:p>
      <w:pPr>
        <w:spacing w:before="120" w:line="260" w:lineRule="atLeast"/>
        <w:ind w:left="720"/>
        <w:rPr>
          <w:lang w:val="en-US" w:eastAsia="en-US" w:bidi="ar-SA"/>
        </w:rPr>
      </w:pPr>
      <w:r>
        <w:rPr>
          <w:rFonts w:ascii="arial" w:eastAsia="arial" w:hAnsi="arial" w:cs="arial"/>
          <w:color w:val="000000"/>
          <w:sz w:val="20"/>
          <w:lang w:val="en-US" w:eastAsia="en-US" w:bidi="ar-SA"/>
        </w:rPr>
        <w:t>"The Defendants have always denied and continue to deny the allegations in the Proceeding. including any and all claims for alleged psychological injury. The Defendants further deny that the criteria set out hereunder for Psychological Injury are the appropriate criteria for compensable psychological injury claims. The Defendants have agreed to this compromise solely to avoid legal costs of defending this matter through a common issues trial and individual issue trials."</w:t>
      </w:r>
    </w:p>
    <w:p>
      <w:pPr>
        <w:spacing w:before="120" w:line="260" w:lineRule="atLeast"/>
        <w:ind w:left="1440"/>
        <w:rPr>
          <w:lang w:val="en-US" w:eastAsia="en-US" w:bidi="ar-SA"/>
        </w:rPr>
      </w:pPr>
      <w:r>
        <w:rPr>
          <w:rFonts w:ascii="arial" w:eastAsia="arial" w:hAnsi="arial" w:cs="arial"/>
          <w:color w:val="000000"/>
          <w:sz w:val="20"/>
          <w:lang w:val="en-US" w:eastAsia="en-US" w:bidi="ar-SA"/>
        </w:rPr>
        <w:t>[Amended Settlement Agreement, Paragraph 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parties agreed on a definition for a psychological injury in the settlement agreement and established a psychological injury fund of $50,000 to be distributed according to an attached schedule H.</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"Psychological Injury": means a diagnosable adjustment disorder with anxiety or an anxiety disorder, as defined in the Diagnostic and Statistical Manual of Mental Disorders - Fourth Edition, Text Revision ("DSM - IV"), as a result of learning about the recall of the Silzone coated valve (and not just as a result of the implant of the valve or any other disease process). The categories of Mild Disorder Moderate Disorder and Severe Disorder are determined according to Axis V of the DSM - IV - the Global Assessment of Functioning score ("GAF Score")- as follows: (a) greater than 60, (b) between 51 and 60, (c) less than 51 and the period of time the disorder continued, as follows: less than 6 months; from 6 months to 18 months: and for more than 18 months. Mild, Moderate and Severe Disorders are as follows:</w:t>
      </w:r>
    </w:p>
    <w:p>
      <w:pPr>
        <w:spacing w:before="120" w:line="260" w:lineRule="atLeast"/>
        <w:rPr>
          <w:lang w:val="en-US" w:eastAsia="en-US" w:bidi="ar-SA"/>
        </w:rPr>
      </w:pPr>
      <w:r>
        <w:pict>
          <v:shape id="_x0000_i1104" type="#_x0000_t75" style="width:432.06pt;height:135.02pt">
            <v:imagedata r:id="rId462" o:title=""/>
          </v:shape>
        </w:pict>
      </w:r>
      <w:r>
        <w:rPr>
          <w:lang w:val="en-US" w:eastAsia="en-US" w:bidi="ar-SA"/>
        </w:rPr>
        <w:t xml:space="preserve">  </w:t>
      </w:r>
    </w:p>
    <w:p>
      <w:pPr>
        <w:spacing w:line="260" w:lineRule="atLeast"/>
        <w:ind w:left="1440"/>
        <w:rPr>
          <w:lang w:val="en-US" w:eastAsia="en-US" w:bidi="ar-SA"/>
        </w:rPr>
      </w:pPr>
      <w:r>
        <w:rPr>
          <w:rFonts w:ascii="arial" w:eastAsia="arial" w:hAnsi="arial" w:cs="arial"/>
          <w:color w:val="000000"/>
          <w:sz w:val="20"/>
          <w:lang w:val="en-US" w:eastAsia="en-US" w:bidi="ar-SA"/>
        </w:rPr>
        <w:t>[Amended Settlement Agreement, Definitions]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According to the schedule, the fund would be distributed </w:t>
      </w:r>
      <w:r>
        <w:rPr>
          <w:rFonts w:ascii="arial" w:eastAsia="arial" w:hAnsi="arial" w:cs="arial"/>
          <w:i/>
          <w:color w:val="000000"/>
          <w:sz w:val="20"/>
          <w:lang w:val="en-US" w:eastAsia="en-US" w:bidi="ar-SA"/>
        </w:rPr>
        <w:t>pro rata</w:t>
      </w:r>
      <w:r>
        <w:rPr>
          <w:rFonts w:ascii="arial" w:eastAsia="arial" w:hAnsi="arial" w:cs="arial"/>
          <w:color w:val="000000"/>
          <w:sz w:val="20"/>
          <w:lang w:val="en-US" w:eastAsia="en-US" w:bidi="ar-SA"/>
        </w:rPr>
        <w:t xml:space="preserve"> to each settlement class member meeting the criteria of mild, moderate or severe psychological claim to a maximum of $3,000 for a mild disorder, $6,000 for a moderate disorder, and $10,000 for a severe disorder, with any surplus funds being added to the settlement monies and distributed under Clause 1B of the settlement.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proponents of the settlement suggest that the requirement of proof to receive compensation for a diagnosable psychiatric disorder is lower than the standard of proof that would be applied at individual psychological injury trials. To recover under the proposed settlement, the claimant need only provide contemporaneous records, along with a statement from his or her family doctor, or a report from a psychiatrist or psychologist.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effect of the settlement was to increase the fund by $50,000, which is the maximum amount payable for all psychological claims.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 representative plaintiff and the defendants say that they have negotiated this settlement at arm's length, and that, in fact, few members of the proposed class would qualify for compensation because they would be unable to establish a psychological injury that meets both the threshold requirement of </w:t>
      </w:r>
      <w:r>
        <w:rPr>
          <w:rFonts w:ascii="arial" w:eastAsia="arial" w:hAnsi="arial" w:cs="arial"/>
          <w:i/>
          <w:color w:val="000000"/>
          <w:sz w:val="20"/>
          <w:lang w:val="en-US" w:eastAsia="en-US" w:bidi="ar-SA"/>
        </w:rPr>
        <w:t>Mustapha v. Culligan of Canada Ltd.</w:t>
      </w:r>
      <w:r>
        <w:rPr>
          <w:rFonts w:ascii="arial" w:eastAsia="arial" w:hAnsi="arial" w:cs="arial"/>
          <w:color w:val="000000"/>
          <w:sz w:val="20"/>
          <w:lang w:val="en-US" w:eastAsia="en-US" w:bidi="ar-SA"/>
        </w:rPr>
        <w:t xml:space="preserve">, </w:t>
      </w:r>
      <w:hyperlink r:id="rId388" w:history="1">
        <w:r>
          <w:rPr>
            <w:rFonts w:ascii="arial" w:eastAsia="arial" w:hAnsi="arial" w:cs="arial"/>
            <w:i/>
            <w:color w:val="0077CC"/>
            <w:sz w:val="20"/>
            <w:u w:val="single"/>
            <w:shd w:val="clear" w:color="auto" w:fill="FFFFFF"/>
            <w:lang w:val="en-US" w:eastAsia="en-US" w:bidi="ar-SA"/>
          </w:rPr>
          <w:t>2008 SCC 27</w:t>
        </w:r>
      </w:hyperlink>
      <w:r>
        <w:rPr>
          <w:rFonts w:ascii="arial" w:eastAsia="arial" w:hAnsi="arial" w:cs="arial"/>
          <w:color w:val="000000"/>
          <w:sz w:val="20"/>
          <w:lang w:val="en-US" w:eastAsia="en-US" w:bidi="ar-SA"/>
        </w:rPr>
        <w:t xml:space="preserve">, </w:t>
      </w:r>
      <w:hyperlink r:id="rId388" w:history="1">
        <w:r>
          <w:rPr>
            <w:rFonts w:ascii="arial" w:eastAsia="arial" w:hAnsi="arial" w:cs="arial"/>
            <w:i/>
            <w:color w:val="0077CC"/>
            <w:sz w:val="20"/>
            <w:u w:val="single"/>
            <w:shd w:val="clear" w:color="auto" w:fill="FFFFFF"/>
            <w:lang w:val="en-US" w:eastAsia="en-US" w:bidi="ar-SA"/>
          </w:rPr>
          <w:t>[2008] 2 S.C.R. 114</w:t>
        </w:r>
      </w:hyperlink>
      <w:r>
        <w:rPr>
          <w:rFonts w:ascii="arial" w:eastAsia="arial" w:hAnsi="arial" w:cs="arial"/>
          <w:color w:val="000000"/>
          <w:sz w:val="20"/>
          <w:lang w:val="en-US" w:eastAsia="en-US" w:bidi="ar-SA"/>
        </w:rPr>
        <w:t xml:space="preserve"> and the causation requirement of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77"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xml:space="preserve">, </w:t>
      </w:r>
      <w:hyperlink r:id="rId77" w:history="1">
        <w:r>
          <w:rPr>
            <w:rFonts w:ascii="arial" w:eastAsia="arial" w:hAnsi="arial" w:cs="arial"/>
            <w:i/>
            <w:color w:val="0077CC"/>
            <w:sz w:val="20"/>
            <w:u w:val="single"/>
            <w:shd w:val="clear" w:color="auto" w:fill="FFFFFF"/>
            <w:lang w:val="en-US" w:eastAsia="en-US" w:bidi="ar-SA"/>
          </w:rPr>
          <w:t>[2007] 1 S.C.R. 333</w:t>
        </w:r>
      </w:hyperlink>
      <w:r>
        <w:rPr>
          <w:rFonts w:ascii="arial" w:eastAsia="arial" w:hAnsi="arial" w:cs="arial"/>
          <w:color w:val="000000"/>
          <w:sz w:val="20"/>
          <w:lang w:val="en-US" w:eastAsia="en-US" w:bidi="ar-SA"/>
        </w:rPr>
        <w:t>. Proponents of the settlement say it should be approved as it is within the zone or range of reasonableness.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Poyner, counsel for the representative plaintiff, deposed to engaging Dr. Brasfield, a psychiatrist, to assist in designing the claims process for psychological injury. Mr. Poyner deposed that he was not aware of any study establishing more psychological stress among recipients of Silzone heart valves than other devices, and he reviewed the opinion letters of Dr. Anderson, a psychiatrist retained by the objectors, and Dr. Smith, a psychiatrist retained by the defendants, with respect to three of the objectors who asserted psychological injuries. Mr. Poyner deposed that his firm had not received complaints of psychological harm from any possible class members others than some of the individuals represented by Mr. Camp's firm. Mr. Camp's firm represents about 24 objectors.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At the recent hearing to consider the settlement that was proposed, Mr. Poyner was cross-examined before me on his affidavit by Mr. Camp, Q.C. He had deposed that following my reasons refusing to approve the settlement, he initially thought it was appropriate that Mr. Camp's firm to take the lead in negotiating a settlement of the psychological claims, but that subsequently, he said, he found that proved fruitless. At that point, he engaged in negotiations with counsel for the defendants which, after a mediation, resulted in the proposed settlement.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Mr. Poyner expressed his opinion that few if any of the putative class members would satisfy the legal test in </w:t>
      </w:r>
      <w:r>
        <w:rPr>
          <w:rFonts w:ascii="arial" w:eastAsia="arial" w:hAnsi="arial" w:cs="arial"/>
          <w:i/>
          <w:color w:val="000000"/>
          <w:sz w:val="20"/>
          <w:lang w:val="en-US" w:eastAsia="en-US" w:bidi="ar-SA"/>
        </w:rPr>
        <w:t>Mustapha</w:t>
      </w:r>
      <w:r>
        <w:rPr>
          <w:rFonts w:ascii="arial" w:eastAsia="arial" w:hAnsi="arial" w:cs="arial"/>
          <w:color w:val="000000"/>
          <w:sz w:val="20"/>
          <w:lang w:val="en-US" w:eastAsia="en-US" w:bidi="ar-SA"/>
        </w:rPr>
        <w:t>. In his opinion, the amount of $50,000 in the amended settlement agreement for psychological claims would not likely be exceeded.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objectors represented by Mr. Camp and Mr. Mogerman say that the claims have still not been properly investigated, that in fact many class members have compensable psychological injuries, that the settlement quantum is far too low, and that the settlement agreement is collusive in the sense that it has not been the by-product of the required debate and confrontation. Mr. Camp argued that the revised settlement agreement was flawed on a procedural and substantive basis, the investigation has been inadequate, and, on the available evidence, the settlement was outside the zone or range of reasonableness. He contends that, given the circumstances, Mr. Poyner should no longer represent the plaintiffs in this proposed class proceeding.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BACKGROUND AND ISSUES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 will describe generally what has taken place following my last set of reasons. In the course of this discussion, I will review whether the revised settlement from a procedural basis was reasonable and from a substantive basis was within the zone or range of reasonableness. I will also discuss a recent and relevant decision of this Court on the recoverability of damages for psychological injury.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ANALYSIS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Procedure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Following my reasons of January 30, 2009, at the request of the defendants, the objectors on March 3, 2009 sent information to the defendants about J.R., L.D., and F.B., three representative objectors who had complained about emotional and psychological consequences following the recall of the defendants' heart valve.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Dr. Steven Anderson, a psychiatrist retained by the objectors, provided opinion letters with respect to F.B., L.D. and J.R. Dr. Derryck Smith, a psychiatrist retained by the defendants, provided an opinion letter on F.B. and L.D.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representative plaintiff's counsel's position is that settlement negotiations between the defendants and Mr. Camp's office had come to an end after Mr. Camp wrote and described the defendants' then existing offer as miserly and advised him that Mr. Mogerman would be devoting himself to certifying the case as a class proceeding and trying it on its merits.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By this point, Mr. Poyner had received the reports of Dr. Anderson and Dr. Smith with respect to two of the objectors. Counsel for the representative plaintiff and the defendants arranged a mediation, which apparently took about five hours. It resulted in the amended settlement agreement that is now presented to the court for approval. The objectors' lawyers were not given notice of the mediation.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A settlement does not need to be perfect, but it must be within a range of reasonableness. Reasonableness involves consideration of the process by which the settlement came about and a consideration of the litigation risk to the proposed class members: </w:t>
      </w:r>
      <w:r>
        <w:rPr>
          <w:rFonts w:ascii="arial" w:eastAsia="arial" w:hAnsi="arial" w:cs="arial"/>
          <w:i/>
          <w:color w:val="000000"/>
          <w:sz w:val="20"/>
          <w:lang w:val="en-US" w:eastAsia="en-US" w:bidi="ar-SA"/>
        </w:rPr>
        <w:t>Burnett v. St. Jude Medical, Inc.</w:t>
      </w:r>
      <w:r>
        <w:rPr>
          <w:rFonts w:ascii="arial" w:eastAsia="arial" w:hAnsi="arial" w:cs="arial"/>
          <w:color w:val="000000"/>
          <w:sz w:val="20"/>
          <w:lang w:val="en-US" w:eastAsia="en-US" w:bidi="ar-SA"/>
        </w:rPr>
        <w:t xml:space="preserve">, </w:t>
      </w:r>
      <w:hyperlink r:id="rId460" w:history="1">
        <w:r>
          <w:rPr>
            <w:rFonts w:ascii="arial" w:eastAsia="arial" w:hAnsi="arial" w:cs="arial"/>
            <w:i/>
            <w:color w:val="0077CC"/>
            <w:sz w:val="20"/>
            <w:u w:val="single"/>
            <w:shd w:val="clear" w:color="auto" w:fill="FFFFFF"/>
            <w:lang w:val="en-US" w:eastAsia="en-US" w:bidi="ar-SA"/>
          </w:rPr>
          <w:t>2009 BCSC 82</w:t>
        </w:r>
      </w:hyperlink>
      <w:r>
        <w:rPr>
          <w:rFonts w:ascii="arial" w:eastAsia="arial" w:hAnsi="arial" w:cs="arial"/>
          <w:color w:val="000000"/>
          <w:sz w:val="20"/>
          <w:lang w:val="en-US" w:eastAsia="en-US" w:bidi="ar-SA"/>
        </w:rPr>
        <w:t xml:space="preserve"> at para. 135; </w:t>
      </w:r>
      <w:r>
        <w:rPr>
          <w:rFonts w:ascii="arial" w:eastAsia="arial" w:hAnsi="arial" w:cs="arial"/>
          <w:i/>
          <w:color w:val="000000"/>
          <w:sz w:val="20"/>
          <w:lang w:val="en-US" w:eastAsia="en-US" w:bidi="ar-SA"/>
        </w:rPr>
        <w:t>Sawatzky v. Société Chirurgicale Instrumentarium Inc.</w:t>
      </w:r>
      <w:r>
        <w:rPr>
          <w:rFonts w:ascii="arial" w:eastAsia="arial" w:hAnsi="arial" w:cs="arial"/>
          <w:color w:val="000000"/>
          <w:sz w:val="20"/>
          <w:lang w:val="en-US" w:eastAsia="en-US" w:bidi="ar-SA"/>
        </w:rPr>
        <w:t xml:space="preserve"> </w:t>
      </w:r>
      <w:hyperlink r:id="rId463" w:history="1">
        <w:r>
          <w:rPr>
            <w:rFonts w:ascii="arial" w:eastAsia="arial" w:hAnsi="arial" w:cs="arial"/>
            <w:i/>
            <w:color w:val="0077CC"/>
            <w:sz w:val="20"/>
            <w:u w:val="single"/>
            <w:shd w:val="clear" w:color="auto" w:fill="FFFFFF"/>
            <w:lang w:val="en-US" w:eastAsia="en-US" w:bidi="ar-SA"/>
          </w:rPr>
          <w:t>(1999), 71 B.C.L.R. (3d) 51</w:t>
        </w:r>
      </w:hyperlink>
      <w:r>
        <w:rPr>
          <w:rFonts w:ascii="arial" w:eastAsia="arial" w:hAnsi="arial" w:cs="arial"/>
          <w:color w:val="000000"/>
          <w:sz w:val="20"/>
          <w:lang w:val="en-US" w:eastAsia="en-US" w:bidi="ar-SA"/>
        </w:rPr>
        <w:t>, 37 C.P.C. (4th) 163 (S.C.).</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Camp was critical of the approach taken by the representative plaintiff, suggesting that the evidence indicated Mr. Poyner was only concerned with the class members with physical, as opposed to psychological injuries, and that the exclusion of the objectors from the mediation suggested an intention to secure a settlement just large enough to obtain court approval.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Poyner's cross-examination revealed that it was apparently his colleague Mr. Baxter, not he, who took the role of carefully considering this settlement. Although suggestions were made, which Mr. Poyner denied, that he failed to recognize that all class members were his clients, not just the ones with physical injuries, that possible inference appears largely based on Mr. Poyner's belief that the psychological claims would be extremely difficult to advance from both a legal and practical standpoint.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 have concluded that Mr. Poyner honestly believed that the role of the objectors at the mediation, given the extent of their demands, would not be productive in securing a settlement. However, it was an unfortunate decision to exclude Mr. Camp's firm from the mediation given: (1) the active role that the objectors had taken in this proceeding; (2) their perspective on the psychological claims; (3) their participation in persuading the court to refuse the first settlement; and (4) the fact that they would be obviously heard by the court again on any future application to approve a settlement.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Although the process in reaching this settlement was flawed, there has since the last hearing been, what previously was absent, an investigation into the extent of the possible emotional injury of representatives of the objectors, or the psychological effect of the valve recall on possible class members. I will turn to that medical evidence shortly.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Substantive Claims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The issue between the parties is whether, and the extent to which, the plaintiffs could establish a psychological injury at the threshold level discussed in </w:t>
      </w:r>
      <w:r>
        <w:rPr>
          <w:rFonts w:ascii="arial" w:eastAsia="arial" w:hAnsi="arial" w:cs="arial"/>
          <w:i/>
          <w:color w:val="000000"/>
          <w:sz w:val="20"/>
          <w:lang w:val="en-US" w:eastAsia="en-US" w:bidi="ar-SA"/>
        </w:rPr>
        <w:t>Mustapha</w:t>
      </w:r>
      <w:r>
        <w:rPr>
          <w:rFonts w:ascii="arial" w:eastAsia="arial" w:hAnsi="arial" w:cs="arial"/>
          <w:color w:val="000000"/>
          <w:sz w:val="20"/>
          <w:lang w:val="en-US" w:eastAsia="en-US" w:bidi="ar-SA"/>
        </w:rPr>
        <w:t xml:space="preserve"> and that it was caused by the valve recall due to the defendant's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causation issue, according to the defendants, is whether any emotional injury that may have been suffered was the result of the recall of the valve because of statistically increased complications over a certain period, as opposed to heart disease, heart surgery or misinformation about the risks from the defendant's valve, generally.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Before dealing with the causation issue, a key area of debate between the proponents of this settlement and the objectors is whether any of the plaintiffs could meet the threshold for recovery of damages for psychological injury. Implicit in that question was whether the Supreme Court of Canada in </w:t>
      </w:r>
      <w:r>
        <w:rPr>
          <w:rFonts w:ascii="arial" w:eastAsia="arial" w:hAnsi="arial" w:cs="arial"/>
          <w:i/>
          <w:color w:val="000000"/>
          <w:sz w:val="20"/>
          <w:lang w:val="en-US" w:eastAsia="en-US" w:bidi="ar-SA"/>
        </w:rPr>
        <w:t>Mustapha</w:t>
      </w:r>
      <w:r>
        <w:rPr>
          <w:rFonts w:ascii="arial" w:eastAsia="arial" w:hAnsi="arial" w:cs="arial"/>
          <w:color w:val="000000"/>
          <w:sz w:val="20"/>
          <w:lang w:val="en-US" w:eastAsia="en-US" w:bidi="ar-SA"/>
        </w:rPr>
        <w:t xml:space="preserve"> had lowered the bar for recovery of claims for psychological injury.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 passage that both counsel focussed on in </w:t>
      </w:r>
      <w:r>
        <w:rPr>
          <w:rFonts w:ascii="arial" w:eastAsia="arial" w:hAnsi="arial" w:cs="arial"/>
          <w:i/>
          <w:color w:val="000000"/>
          <w:sz w:val="20"/>
          <w:lang w:val="en-US" w:eastAsia="en-US" w:bidi="ar-SA"/>
        </w:rPr>
        <w:t>Mustapha</w:t>
      </w:r>
      <w:r>
        <w:rPr>
          <w:rFonts w:ascii="arial" w:eastAsia="arial" w:hAnsi="arial" w:cs="arial"/>
          <w:color w:val="000000"/>
          <w:sz w:val="20"/>
          <w:lang w:val="en-US" w:eastAsia="en-US" w:bidi="ar-SA"/>
        </w:rPr>
        <w:t xml:space="preserve"> reads (para. 9):</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This said, psychological disturbance that rises to the level of personal injury must be distinguished from psychological upset. Personal injury at law connotes serious trauma or illness: see </w:t>
      </w:r>
      <w:r>
        <w:rPr>
          <w:rFonts w:ascii="arial" w:eastAsia="arial" w:hAnsi="arial" w:cs="arial"/>
          <w:i/>
          <w:color w:val="000000"/>
          <w:sz w:val="20"/>
          <w:lang w:val="en-US" w:eastAsia="en-US" w:bidi="ar-SA"/>
        </w:rPr>
        <w:t>Hinz v. Berry</w:t>
      </w:r>
      <w:r>
        <w:rPr>
          <w:rFonts w:ascii="arial" w:eastAsia="arial" w:hAnsi="arial" w:cs="arial"/>
          <w:color w:val="000000"/>
          <w:sz w:val="20"/>
          <w:lang w:val="en-US" w:eastAsia="en-US" w:bidi="ar-SA"/>
        </w:rPr>
        <w:t xml:space="preserve">, [1970] 2 Q.B. 40 (C.A.), at p. 42; </w:t>
      </w:r>
      <w:r>
        <w:rPr>
          <w:rFonts w:ascii="arial" w:eastAsia="arial" w:hAnsi="arial" w:cs="arial"/>
          <w:i/>
          <w:color w:val="000000"/>
          <w:sz w:val="20"/>
          <w:lang w:val="en-US" w:eastAsia="en-US" w:bidi="ar-SA"/>
        </w:rPr>
        <w:t>Page v. Smith</w:t>
      </w:r>
      <w:r>
        <w:rPr>
          <w:rFonts w:ascii="arial" w:eastAsia="arial" w:hAnsi="arial" w:cs="arial"/>
          <w:color w:val="000000"/>
          <w:sz w:val="20"/>
          <w:lang w:val="en-US" w:eastAsia="en-US" w:bidi="ar-SA"/>
        </w:rPr>
        <w:t xml:space="preserve">, at p. 189; </w:t>
      </w:r>
      <w:r>
        <w:rPr>
          <w:rFonts w:ascii="arial" w:eastAsia="arial" w:hAnsi="arial" w:cs="arial"/>
          <w:i/>
          <w:color w:val="000000"/>
          <w:sz w:val="20"/>
          <w:lang w:val="en-US" w:eastAsia="en-US" w:bidi="ar-SA"/>
        </w:rPr>
        <w:t>Linden and Feldthusen</w:t>
      </w:r>
      <w:r>
        <w:rPr>
          <w:rFonts w:ascii="arial" w:eastAsia="arial" w:hAnsi="arial" w:cs="arial"/>
          <w:color w:val="000000"/>
          <w:sz w:val="20"/>
          <w:lang w:val="en-US" w:eastAsia="en-US" w:bidi="ar-SA"/>
        </w:rPr>
        <w:t xml:space="preserve">, at pp. 425-27. The law does not recognize upset, disgust, anxiety, agitation or other mental states that fall short of injury. I would not purport to define compensable injury exhaustively, except to say that it must be serious and prolonged and rise above the ordinary annoyances, anxieties and fears that people living in society routinely, if sometimes reluctantly, accept. The need to accept such upsets rather than seek redress in tort is what I take the Court of Appeal to be expressing in its quote from </w:t>
      </w:r>
      <w:r>
        <w:rPr>
          <w:rFonts w:ascii="arial" w:eastAsia="arial" w:hAnsi="arial" w:cs="arial"/>
          <w:i/>
          <w:color w:val="000000"/>
          <w:sz w:val="20"/>
          <w:lang w:val="en-US" w:eastAsia="en-US" w:bidi="ar-SA"/>
        </w:rPr>
        <w:t>Vanek v. Great Atlantic &amp; Pacific Co. of Canada</w:t>
      </w:r>
      <w:r>
        <w:rPr>
          <w:rFonts w:ascii="arial" w:eastAsia="arial" w:hAnsi="arial" w:cs="arial"/>
          <w:color w:val="000000"/>
          <w:sz w:val="20"/>
          <w:lang w:val="en-US" w:eastAsia="en-US" w:bidi="ar-SA"/>
        </w:rPr>
        <w:t xml:space="preserve"> </w:t>
      </w:r>
      <w:hyperlink r:id="rId464" w:history="1">
        <w:r>
          <w:rPr>
            <w:rFonts w:ascii="arial" w:eastAsia="arial" w:hAnsi="arial" w:cs="arial"/>
            <w:i/>
            <w:color w:val="0077CC"/>
            <w:sz w:val="20"/>
            <w:u w:val="single"/>
            <w:shd w:val="clear" w:color="auto" w:fill="FFFFFF"/>
            <w:lang w:val="en-US" w:eastAsia="en-US" w:bidi="ar-SA"/>
          </w:rPr>
          <w:t>(1999), 48 O.R. (3d) 228</w:t>
        </w:r>
      </w:hyperlink>
      <w:r>
        <w:rPr>
          <w:rFonts w:ascii="arial" w:eastAsia="arial" w:hAnsi="arial" w:cs="arial"/>
          <w:color w:val="000000"/>
          <w:sz w:val="20"/>
          <w:lang w:val="en-US" w:eastAsia="en-US" w:bidi="ar-SA"/>
        </w:rPr>
        <w:t xml:space="preserve"> (C.A.): "Life goes on" (para. 60). Quite simply, minor and transient upsets do not constitute personal injury, and hence do not amount to damage.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First let me discuss how the proposed settlement deals with possible psychological injury.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Dr. Charles Brasfield, a psychiatrist, retained by Mr. Poyner's firm, opined that the psychological injury fund and its reference to an adjustment disorder - a psychological response to an identifiable stressor resulting in the development of clinically significant emotional or behavioural symptoms - was based on theories and principles most commonly followed by practicing psychiatrists and psychologists.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objectors however filed an opinion from Dr. William J. Koch, a psychologist. Dr. Koch had reviewed Dr. Brasfield's affidavit, which was sworn "with a view to formulating a realistic approach to the settlement of claims advanced on behalf of putative class members alleging psychiatric and/or psychological injury".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Dr. Koch described the questions that he thought should be answered: (1) the mental health disorders or psychological problems from a patient learning that his artificial valve is defective and may fail in the future; (2) the adverse affects that these disorders or psychological problems might have on daily functioning; and (3) how one might assess such disability.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Dr. Koch noted that there was "no published research ... about the psychological consequences of a failed treatment for a life-threatening illness equivalent to the current class action about artificial heart valve failure". Dr. Koch opined that mental health conditions such as depression, post traumatic stress disorder, panic disorder, and others account for substantial economic and work disability.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Dr. Koch commented on Dr. Brasfield's reference to the Global Assessment of Functioning (GAF) scale. Dr. Koch expressed concerns about the use of it in assessing functional disability, particularly among individuals with anxiety or mood disorders. Dr. Koch referred to the issue of "dimensional versus categorical" diagnosis with respect to mental health problems. He said that dimensional descriptions of generalized anxiety patients predict treatment outcomes better than the strict category diagnosis of generalized anxiety disorder. His opinion was: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In conclusion, given that the population of claimants you are representing all have had significant cardiac illness in the past and all have an artificial heart valve that they fear may malfunction at some time in the indefinite future, there is a wide range of potential mental health diagnoses and sub-clinical mental health problems from which they might suffer. As well, the extent for their functional disability arising from these mental health problems will likely be quite varied and will require more detailed inquiry with each individual to ascertain if such disability exists and the extent of such disability. These claimants should have individualized assessments to determine their specific losses.</w:t>
      </w:r>
    </w:p>
    <w:p>
      <w:pPr>
        <w:spacing w:before="120" w:line="260" w:lineRule="atLeast"/>
        <w:ind w:left="720"/>
        <w:rPr>
          <w:lang w:val="en-US" w:eastAsia="en-US" w:bidi="ar-SA"/>
        </w:rPr>
      </w:pPr>
      <w:r>
        <w:rPr>
          <w:rFonts w:ascii="arial" w:eastAsia="arial" w:hAnsi="arial" w:cs="arial"/>
          <w:color w:val="000000"/>
          <w:sz w:val="20"/>
          <w:lang w:val="en-US" w:eastAsia="en-US" w:bidi="ar-SA"/>
        </w:rPr>
        <w:t>Potential mental health diagnoses that could arise following such an event include, but are not limited to, Posttraumatic Stress Disorder, Depression, Panic Disorder, Generalized Anxiety Disorder, as well as heightened (but sub-clinical) levels of anxious and depressed mood.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Dr. Koch said that while the GAF scale has been shown to be reliable in samples of the severely mentally ill, more individualized approaches to assessing mental health-related functional disability are "the more current state of the art".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Dr. Koch also opined on the fact that in the vicinity of fifty percent of individuals with mood and anxiety disorders do not present for treatment and the delay in seeking treatment for anxiety disorders frequently exceeds seven years.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Dr. Smith, retained by the defendants, filed a further affidavit stating that psychiatric assessment using DSM-IV axes I-IV, which includes a Global Assessment of Functioning (GAF) score, is "the" standard practice for clinical psychiatrists in Canada and the U.S. and in many other countries which conduct such assessments. He said that many of the tests suggested by Dr. Koch did not have any validity index by which exaggerated or false claims of psychological distress can be screened out. Dr. Smith opined that the definition of psychological injury in the proposed amended settlement agreement is consistent with "the accepted standard for practice psychiatric assessment", and the definition can provide an "objective assessment of psychological injury, if any, that was suffered by a person implanted with a Silzone valve learning about the recall of the valve".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Since I heard argument, Justice Joyce handed down his decision in </w:t>
      </w:r>
      <w:r>
        <w:rPr>
          <w:rFonts w:ascii="arial" w:eastAsia="arial" w:hAnsi="arial" w:cs="arial"/>
          <w:i/>
          <w:color w:val="000000"/>
          <w:sz w:val="20"/>
          <w:lang w:val="en-US" w:eastAsia="en-US" w:bidi="ar-SA"/>
        </w:rPr>
        <w:t>Kotai v. Queen of the North (Ship)</w:t>
      </w:r>
      <w:r>
        <w:rPr>
          <w:rFonts w:ascii="arial" w:eastAsia="arial" w:hAnsi="arial" w:cs="arial"/>
          <w:color w:val="000000"/>
          <w:sz w:val="20"/>
          <w:lang w:val="en-US" w:eastAsia="en-US" w:bidi="ar-SA"/>
        </w:rPr>
        <w:t xml:space="preserve">, </w:t>
      </w:r>
      <w:hyperlink r:id="rId465" w:history="1">
        <w:r>
          <w:rPr>
            <w:rFonts w:ascii="arial" w:eastAsia="arial" w:hAnsi="arial" w:cs="arial"/>
            <w:i/>
            <w:color w:val="0077CC"/>
            <w:sz w:val="20"/>
            <w:u w:val="single"/>
            <w:shd w:val="clear" w:color="auto" w:fill="FFFFFF"/>
            <w:lang w:val="en-US" w:eastAsia="en-US" w:bidi="ar-SA"/>
          </w:rPr>
          <w:t>2009 BCSC 1405</w:t>
        </w:r>
      </w:hyperlink>
      <w:r>
        <w:rPr>
          <w:rFonts w:ascii="arial" w:eastAsia="arial" w:hAnsi="arial" w:cs="arial"/>
          <w:color w:val="000000"/>
          <w:sz w:val="20"/>
          <w:lang w:val="en-US" w:eastAsia="en-US" w:bidi="ar-SA"/>
        </w:rPr>
        <w:t xml:space="preserve">, where he considered </w:t>
      </w:r>
      <w:r>
        <w:rPr>
          <w:rFonts w:ascii="arial" w:eastAsia="arial" w:hAnsi="arial" w:cs="arial"/>
          <w:i/>
          <w:color w:val="000000"/>
          <w:sz w:val="20"/>
          <w:lang w:val="en-US" w:eastAsia="en-US" w:bidi="ar-SA"/>
        </w:rPr>
        <w:t>Mustapha</w:t>
      </w:r>
      <w:r>
        <w:rPr>
          <w:rFonts w:ascii="arial" w:eastAsia="arial" w:hAnsi="arial" w:cs="arial"/>
          <w:color w:val="000000"/>
          <w:sz w:val="20"/>
          <w:lang w:val="en-US" w:eastAsia="en-US" w:bidi="ar-SA"/>
        </w:rPr>
        <w:t xml:space="preserve"> and whether psychological claims in a class proceeding relating to the sinking of the Queen of the North were recoverable. He carefully analyzed whether </w:t>
      </w:r>
      <w:r>
        <w:rPr>
          <w:rFonts w:ascii="arial" w:eastAsia="arial" w:hAnsi="arial" w:cs="arial"/>
          <w:i/>
          <w:color w:val="000000"/>
          <w:sz w:val="20"/>
          <w:lang w:val="en-US" w:eastAsia="en-US" w:bidi="ar-SA"/>
        </w:rPr>
        <w:t>Mustapha</w:t>
      </w:r>
      <w:r>
        <w:rPr>
          <w:rFonts w:ascii="arial" w:eastAsia="arial" w:hAnsi="arial" w:cs="arial"/>
          <w:color w:val="000000"/>
          <w:sz w:val="20"/>
          <w:lang w:val="en-US" w:eastAsia="en-US" w:bidi="ar-SA"/>
        </w:rPr>
        <w:t xml:space="preserve"> lowered the bar for recovery of psychological claims and also considered the quantum of damages for six people in mini-trials.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Kotai</w:t>
      </w:r>
      <w:r>
        <w:rPr>
          <w:rFonts w:ascii="arial" w:eastAsia="arial" w:hAnsi="arial" w:cs="arial"/>
          <w:color w:val="000000"/>
          <w:sz w:val="20"/>
          <w:lang w:val="en-US" w:eastAsia="en-US" w:bidi="ar-SA"/>
        </w:rPr>
        <w:t xml:space="preserve"> is a carefully considered judgment that analyzes </w:t>
      </w:r>
      <w:r>
        <w:rPr>
          <w:rFonts w:ascii="arial" w:eastAsia="arial" w:hAnsi="arial" w:cs="arial"/>
          <w:i/>
          <w:color w:val="000000"/>
          <w:sz w:val="20"/>
          <w:lang w:val="en-US" w:eastAsia="en-US" w:bidi="ar-SA"/>
        </w:rPr>
        <w:t>Mustapha</w:t>
      </w:r>
      <w:r>
        <w:rPr>
          <w:rFonts w:ascii="arial" w:eastAsia="arial" w:hAnsi="arial" w:cs="arial"/>
          <w:color w:val="000000"/>
          <w:sz w:val="20"/>
          <w:lang w:val="en-US" w:eastAsia="en-US" w:bidi="ar-SA"/>
        </w:rPr>
        <w:t xml:space="preserve">. In assessing the litigation risk faced by the parties at bar, I find </w:t>
      </w:r>
      <w:r>
        <w:rPr>
          <w:rFonts w:ascii="arial" w:eastAsia="arial" w:hAnsi="arial" w:cs="arial"/>
          <w:i/>
          <w:color w:val="000000"/>
          <w:sz w:val="20"/>
          <w:lang w:val="en-US" w:eastAsia="en-US" w:bidi="ar-SA"/>
        </w:rPr>
        <w:t>Kotai</w:t>
      </w:r>
      <w:r>
        <w:rPr>
          <w:rFonts w:ascii="arial" w:eastAsia="arial" w:hAnsi="arial" w:cs="arial"/>
          <w:color w:val="000000"/>
          <w:sz w:val="20"/>
          <w:lang w:val="en-US" w:eastAsia="en-US" w:bidi="ar-SA"/>
        </w:rPr>
        <w:t xml:space="preserve"> very useful to my determination of whether this settlement is within a zone of reasonableness.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Mr. Justice Joyce concluded that under </w:t>
      </w:r>
      <w:r>
        <w:rPr>
          <w:rFonts w:ascii="arial" w:eastAsia="arial" w:hAnsi="arial" w:cs="arial"/>
          <w:i/>
          <w:color w:val="000000"/>
          <w:sz w:val="20"/>
          <w:lang w:val="en-US" w:eastAsia="en-US" w:bidi="ar-SA"/>
        </w:rPr>
        <w:t>Mustapha</w:t>
      </w:r>
      <w:r>
        <w:rPr>
          <w:rFonts w:ascii="arial" w:eastAsia="arial" w:hAnsi="arial" w:cs="arial"/>
          <w:color w:val="000000"/>
          <w:sz w:val="20"/>
          <w:lang w:val="en-US" w:eastAsia="en-US" w:bidi="ar-SA"/>
        </w:rPr>
        <w:t xml:space="preserve"> a plaintiff must still demonstrate that he or she suffered a recognizable psychiatric illness: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[58] Thus, despite the attempts to lower the barrier, I am satisfied that in British Columbia, at least up to the point of </w:t>
      </w:r>
      <w:r>
        <w:rPr>
          <w:rFonts w:ascii="arial" w:eastAsia="arial" w:hAnsi="arial" w:cs="arial"/>
          <w:i/>
          <w:color w:val="000000"/>
          <w:sz w:val="20"/>
          <w:lang w:val="en-US" w:eastAsia="en-US" w:bidi="ar-SA"/>
        </w:rPr>
        <w:t>Mustapha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 plaintiff who asserted a claim for damages for psychological injury in a "nervous shock" case had to meet the threshold test of establishing a recognizable psychiatric illness. While the threshold has been criticized and may be difficult to defend on principle, it appears to be one of the control mechanisms that have been employed to maintain what is perceived to be a fair balance between plaintiffs and defendants. The question then is whether </w:t>
      </w:r>
      <w:r>
        <w:rPr>
          <w:rFonts w:ascii="arial" w:eastAsia="arial" w:hAnsi="arial" w:cs="arial"/>
          <w:i/>
          <w:color w:val="000000"/>
          <w:sz w:val="20"/>
          <w:lang w:val="en-US" w:eastAsia="en-US" w:bidi="ar-SA"/>
        </w:rPr>
        <w:t>Mustapha</w:t>
      </w:r>
      <w:r>
        <w:rPr>
          <w:rFonts w:ascii="arial" w:eastAsia="arial" w:hAnsi="arial" w:cs="arial"/>
          <w:color w:val="000000"/>
          <w:sz w:val="20"/>
          <w:lang w:val="en-US" w:eastAsia="en-US" w:bidi="ar-SA"/>
        </w:rPr>
        <w:t xml:space="preserve"> suggests or requires that the test should be otherwise.</w:t>
      </w:r>
    </w:p>
    <w:p>
      <w:pPr>
        <w:spacing w:before="120" w:line="260" w:lineRule="atLeast"/>
        <w:ind w:left="720"/>
        <w:rPr>
          <w:lang w:val="en-US" w:eastAsia="en-US" w:bidi="ar-SA"/>
        </w:rPr>
      </w:pPr>
      <w:r>
        <w:rPr>
          <w:rFonts w:ascii="arial" w:eastAsia="arial" w:hAnsi="arial" w:cs="arial"/>
          <w:color w:val="000000"/>
          <w:sz w:val="20"/>
          <w:lang w:val="en-US" w:eastAsia="en-US" w:bidi="ar-SA"/>
        </w:rPr>
        <w:t xml:space="preserve">[59] In </w:t>
      </w:r>
      <w:r>
        <w:rPr>
          <w:rFonts w:ascii="arial" w:eastAsia="arial" w:hAnsi="arial" w:cs="arial"/>
          <w:i/>
          <w:color w:val="000000"/>
          <w:sz w:val="20"/>
          <w:lang w:val="en-US" w:eastAsia="en-US" w:bidi="ar-SA"/>
        </w:rPr>
        <w:t>Mustapha</w:t>
      </w:r>
      <w:r>
        <w:rPr>
          <w:rFonts w:ascii="arial" w:eastAsia="arial" w:hAnsi="arial" w:cs="arial"/>
          <w:color w:val="000000"/>
          <w:sz w:val="20"/>
          <w:lang w:val="en-US" w:eastAsia="en-US" w:bidi="ar-SA"/>
        </w:rPr>
        <w:t>, there was no issue whether the plaintiff's psychological injury was in fact the sort that could found a cause of action. The medical evidence proved that Mr. Mustapha developed a recognizable psychiatric/psychological illness, namely a major depressive disorder with associated phobia and anxiety. Mr. Hanson, counsel for the plaintiffs, submits, however, that the court put forward a different and less stringent test as to the kind or degree of damages that will be compensable at law provided the other elements are satisfied. In making that submission, Mr. Hanson focuses on the following words of McLachlin C.J.C. at para. 9 and her lack of any direct mention of the phrase "recognizable psychiatric illness":</w:t>
      </w:r>
    </w:p>
    <w:p>
      <w:pPr>
        <w:spacing w:before="120" w:line="260" w:lineRule="atLeast"/>
        <w:ind w:left="1080"/>
        <w:rPr>
          <w:lang w:val="en-US" w:eastAsia="en-US" w:bidi="ar-SA"/>
        </w:rPr>
      </w:pPr>
      <w:r>
        <w:rPr>
          <w:rFonts w:ascii="arial" w:eastAsia="arial" w:hAnsi="arial" w:cs="arial"/>
          <w:color w:val="000000"/>
          <w:sz w:val="20"/>
          <w:lang w:val="en-US" w:eastAsia="en-US" w:bidi="ar-SA"/>
        </w:rPr>
        <w:t>I would not purport to define compensable injury exhaustively, except to say that it must be serious and prolonged and rise above the ordinary annoyances, anxieties and fears that people living in society routinely, if sometimes reluctantly, accept. ... Quite simply, minor and transient upsets do not constitute personal injury, and hence do not amount to damage.</w:t>
      </w:r>
    </w:p>
    <w:p>
      <w:pPr>
        <w:spacing w:before="120" w:line="260" w:lineRule="atLeast"/>
        <w:ind w:left="720"/>
        <w:rPr>
          <w:lang w:val="en-US" w:eastAsia="en-US" w:bidi="ar-SA"/>
        </w:rPr>
      </w:pPr>
      <w:r>
        <w:rPr>
          <w:rFonts w:ascii="arial" w:eastAsia="arial" w:hAnsi="arial" w:cs="arial"/>
          <w:color w:val="000000"/>
          <w:sz w:val="20"/>
          <w:lang w:val="en-US" w:eastAsia="en-US" w:bidi="ar-SA"/>
        </w:rPr>
        <w:t xml:space="preserve">[60] Mr. Wharton, counsel for the defendant, submits that the Court was not intending to posit a test that was different from that which the courts in many jurisdictions, including Canada, have applied since </w:t>
      </w:r>
      <w:r>
        <w:rPr>
          <w:rFonts w:ascii="arial" w:eastAsia="arial" w:hAnsi="arial" w:cs="arial"/>
          <w:i/>
          <w:color w:val="000000"/>
          <w:sz w:val="20"/>
          <w:lang w:val="en-US" w:eastAsia="en-US" w:bidi="ar-SA"/>
        </w:rPr>
        <w:t>Hinz v. Berry</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Mr. Wharton submits that the Chief Justice's words reflect that test and merely state the same test in different words. Mr. Wharton points out that while the Chief Justice did not use the words "recognizable psychiatric illness", she stated that "personal injury at law connotes serious trauma or illness" and cited, with apparent approval, particular portions of </w:t>
      </w:r>
      <w:r>
        <w:rPr>
          <w:rFonts w:ascii="arial" w:eastAsia="arial" w:hAnsi="arial" w:cs="arial"/>
          <w:i/>
          <w:color w:val="000000"/>
          <w:sz w:val="20"/>
          <w:lang w:val="en-US" w:eastAsia="en-US" w:bidi="ar-SA"/>
        </w:rPr>
        <w:t>Hinz v. Berry</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Page v. Smith</w:t>
      </w:r>
      <w:r>
        <w:rPr>
          <w:rFonts w:ascii="arial" w:eastAsia="arial" w:hAnsi="arial" w:cs="arial"/>
          <w:color w:val="000000"/>
          <w:sz w:val="20"/>
          <w:lang w:val="en-US" w:eastAsia="en-US" w:bidi="ar-SA"/>
        </w:rPr>
        <w:t xml:space="preserve">, [1996] 1 A.C. 155 (H.L.); and Allen Linden, and Bruce Feldthusen, </w:t>
      </w:r>
      <w:r>
        <w:rPr>
          <w:rFonts w:ascii="arial" w:eastAsia="arial" w:hAnsi="arial" w:cs="arial"/>
          <w:i/>
          <w:color w:val="000000"/>
          <w:sz w:val="20"/>
          <w:lang w:val="en-US" w:eastAsia="en-US" w:bidi="ar-SA"/>
        </w:rPr>
        <w:t>Canadian Tort Law</w:t>
      </w:r>
      <w:r>
        <w:rPr>
          <w:rFonts w:ascii="arial" w:eastAsia="arial" w:hAnsi="arial" w:cs="arial"/>
          <w:color w:val="000000"/>
          <w:sz w:val="20"/>
          <w:lang w:val="en-US" w:eastAsia="en-US" w:bidi="ar-SA"/>
        </w:rPr>
        <w:t>. 8th ed. (Markham, Ont.: LexisNexis Butterworths, 2006), in which the test is stated to be a "recognizable psychiatric illness".</w:t>
      </w:r>
    </w:p>
    <w:p>
      <w:pPr>
        <w:spacing w:before="120" w:line="260" w:lineRule="atLeast"/>
        <w:ind w:left="720"/>
        <w:rPr>
          <w:lang w:val="en-US" w:eastAsia="en-US" w:bidi="ar-SA"/>
        </w:rPr>
      </w:pPr>
      <w:r>
        <w:rPr>
          <w:rFonts w:ascii="arial" w:eastAsia="arial" w:hAnsi="arial" w:cs="arial"/>
          <w:color w:val="000000"/>
          <w:sz w:val="20"/>
          <w:lang w:val="en-US" w:eastAsia="en-US" w:bidi="ar-SA"/>
        </w:rPr>
        <w:t xml:space="preserve">[61] Thus, in </w:t>
      </w:r>
      <w:r>
        <w:rPr>
          <w:rFonts w:ascii="arial" w:eastAsia="arial" w:hAnsi="arial" w:cs="arial"/>
          <w:i/>
          <w:color w:val="000000"/>
          <w:sz w:val="20"/>
          <w:lang w:val="en-US" w:eastAsia="en-US" w:bidi="ar-SA"/>
        </w:rPr>
        <w:t>Hinz v. Berry</w:t>
      </w:r>
      <w:r>
        <w:rPr>
          <w:rFonts w:ascii="arial" w:eastAsia="arial" w:hAnsi="arial" w:cs="arial"/>
          <w:color w:val="000000"/>
          <w:sz w:val="20"/>
          <w:lang w:val="en-US" w:eastAsia="en-US" w:bidi="ar-SA"/>
        </w:rPr>
        <w:t>, at 42:</w:t>
      </w:r>
    </w:p>
    <w:p>
      <w:pPr>
        <w:spacing w:before="120" w:line="260" w:lineRule="atLeast"/>
        <w:ind w:left="1080"/>
        <w:rPr>
          <w:lang w:val="en-US" w:eastAsia="en-US" w:bidi="ar-SA"/>
        </w:rPr>
      </w:pPr>
      <w:r>
        <w:rPr>
          <w:rFonts w:ascii="arial" w:eastAsia="arial" w:hAnsi="arial" w:cs="arial"/>
          <w:color w:val="000000"/>
          <w:sz w:val="20"/>
          <w:lang w:val="en-US" w:eastAsia="en-US" w:bidi="ar-SA"/>
        </w:rPr>
        <w:t>Damages are, however, recoverable for nervous shock, or, to put it in medical terms, for any recognizable psychiatric illness caused by the breach of duty by the defendant.</w:t>
      </w:r>
    </w:p>
    <w:p>
      <w:pPr>
        <w:spacing w:before="120" w:line="260" w:lineRule="atLeast"/>
        <w:ind w:left="720"/>
        <w:rPr>
          <w:lang w:val="en-US" w:eastAsia="en-US" w:bidi="ar-SA"/>
        </w:rPr>
      </w:pPr>
      <w:r>
        <w:rPr>
          <w:rFonts w:ascii="arial" w:eastAsia="arial" w:hAnsi="arial" w:cs="arial"/>
          <w:color w:val="000000"/>
          <w:sz w:val="20"/>
          <w:lang w:val="en-US" w:eastAsia="en-US" w:bidi="ar-SA"/>
        </w:rPr>
        <w:t xml:space="preserve">[62] And in </w:t>
      </w:r>
      <w:r>
        <w:rPr>
          <w:rFonts w:ascii="arial" w:eastAsia="arial" w:hAnsi="arial" w:cs="arial"/>
          <w:i/>
          <w:color w:val="000000"/>
          <w:sz w:val="20"/>
          <w:lang w:val="en-US" w:eastAsia="en-US" w:bidi="ar-SA"/>
        </w:rPr>
        <w:t>Page v. Smith</w:t>
      </w:r>
      <w:r>
        <w:rPr>
          <w:rFonts w:ascii="arial" w:eastAsia="arial" w:hAnsi="arial" w:cs="arial"/>
          <w:color w:val="000000"/>
          <w:sz w:val="20"/>
          <w:lang w:val="en-US" w:eastAsia="en-US" w:bidi="ar-SA"/>
        </w:rPr>
        <w:t>, at 189:</w:t>
      </w:r>
    </w:p>
    <w:p>
      <w:pPr>
        <w:spacing w:before="120" w:line="260" w:lineRule="atLeast"/>
        <w:ind w:left="1080"/>
        <w:rPr>
          <w:lang w:val="en-US" w:eastAsia="en-US" w:bidi="ar-SA"/>
        </w:rPr>
      </w:pPr>
      <w:r>
        <w:rPr>
          <w:rFonts w:ascii="arial" w:eastAsia="arial" w:hAnsi="arial" w:cs="arial"/>
          <w:color w:val="000000"/>
          <w:sz w:val="20"/>
          <w:lang w:val="en-US" w:eastAsia="en-US" w:bidi="ar-SA"/>
        </w:rPr>
        <w:t>Shock by itself is not the subject of compensation, any more than fear or grief or any other human emotion occasioned by the defendant's negligent conduct. It is only when shock is followed by recognizable psychiatric illness that the defendant may be held liable.</w:t>
      </w:r>
    </w:p>
    <w:p>
      <w:pPr>
        <w:spacing w:before="120" w:line="260" w:lineRule="atLeast"/>
        <w:ind w:left="720"/>
        <w:rPr>
          <w:lang w:val="en-US" w:eastAsia="en-US" w:bidi="ar-SA"/>
        </w:rPr>
      </w:pPr>
      <w:r>
        <w:rPr>
          <w:rFonts w:ascii="arial" w:eastAsia="arial" w:hAnsi="arial" w:cs="arial"/>
          <w:color w:val="000000"/>
          <w:sz w:val="20"/>
          <w:lang w:val="en-US" w:eastAsia="en-US" w:bidi="ar-SA"/>
        </w:rPr>
        <w:t>[63] And in Canadian Tort Law, at 425-26:</w:t>
      </w:r>
    </w:p>
    <w:p>
      <w:pPr>
        <w:spacing w:before="120" w:line="260" w:lineRule="atLeast"/>
        <w:ind w:left="1080"/>
        <w:rPr>
          <w:lang w:val="en-US" w:eastAsia="en-US" w:bidi="ar-SA"/>
        </w:rPr>
      </w:pPr>
      <w:r>
        <w:rPr>
          <w:rFonts w:ascii="arial" w:eastAsia="arial" w:hAnsi="arial" w:cs="arial"/>
          <w:color w:val="000000"/>
          <w:sz w:val="20"/>
          <w:lang w:val="en-US" w:eastAsia="en-US" w:bidi="ar-SA"/>
        </w:rPr>
        <w:t>To this day the courts steadfastly refuse to allow tort damages for every emotional upset and insist upon some physical symptoms like a heart attack or a miscarriage or some "recognizable psychiatric illness", like schizophrenia or morbid depression. [References omitted.]</w:t>
      </w:r>
    </w:p>
    <w:p>
      <w:pPr>
        <w:spacing w:before="120" w:line="260" w:lineRule="atLeast"/>
        <w:ind w:left="720"/>
        <w:rPr>
          <w:lang w:val="en-US" w:eastAsia="en-US" w:bidi="ar-SA"/>
        </w:rPr>
      </w:pPr>
      <w:r>
        <w:rPr>
          <w:rFonts w:ascii="arial" w:eastAsia="arial" w:hAnsi="arial" w:cs="arial"/>
          <w:color w:val="000000"/>
          <w:sz w:val="20"/>
          <w:lang w:val="en-US" w:eastAsia="en-US" w:bidi="ar-SA"/>
        </w:rPr>
        <w:t xml:space="preserve">[64] In the end, I am not able to conclude that the Court in </w:t>
      </w:r>
      <w:r>
        <w:rPr>
          <w:rFonts w:ascii="arial" w:eastAsia="arial" w:hAnsi="arial" w:cs="arial"/>
          <w:i/>
          <w:color w:val="000000"/>
          <w:sz w:val="20"/>
          <w:lang w:val="en-US" w:eastAsia="en-US" w:bidi="ar-SA"/>
        </w:rPr>
        <w:t>Mustapha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intended to change the law with respect to the threshold level of psychological or psychiatric injury that is required in order to be compensable where the psychiatric or psychological injury is caused by exposure, whether direct or indirect, to a shocking or frightening incident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 am not satisfied that </w:t>
      </w:r>
      <w:r>
        <w:rPr>
          <w:rFonts w:ascii="arial" w:eastAsia="arial" w:hAnsi="arial" w:cs="arial"/>
          <w:i/>
          <w:color w:val="000000"/>
          <w:sz w:val="20"/>
          <w:lang w:val="en-US" w:eastAsia="en-US" w:bidi="ar-SA"/>
        </w:rPr>
        <w:t>Mustapha</w:t>
      </w:r>
      <w:r>
        <w:rPr>
          <w:rFonts w:ascii="arial" w:eastAsia="arial" w:hAnsi="arial" w:cs="arial"/>
          <w:color w:val="000000"/>
          <w:sz w:val="20"/>
          <w:lang w:val="en-US" w:eastAsia="en-US" w:bidi="ar-SA"/>
        </w:rPr>
        <w:t xml:space="preserve"> has the effect of overturning </w:t>
      </w:r>
      <w:r>
        <w:rPr>
          <w:rFonts w:ascii="arial" w:eastAsia="arial" w:hAnsi="arial" w:cs="arial"/>
          <w:i/>
          <w:color w:val="000000"/>
          <w:sz w:val="20"/>
          <w:lang w:val="en-US" w:eastAsia="en-US" w:bidi="ar-SA"/>
        </w:rPr>
        <w:t>Graham v. MacMillan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which remains the law in this province in my opinion.</w:t>
      </w:r>
    </w:p>
    <w:p>
      <w:pPr>
        <w:spacing w:before="120" w:line="260" w:lineRule="atLeast"/>
        <w:ind w:left="720"/>
        <w:rPr>
          <w:lang w:val="en-US" w:eastAsia="en-US" w:bidi="ar-SA"/>
        </w:rPr>
      </w:pPr>
      <w:r>
        <w:rPr>
          <w:rFonts w:ascii="arial" w:eastAsia="arial" w:hAnsi="arial" w:cs="arial"/>
          <w:color w:val="000000"/>
          <w:sz w:val="20"/>
          <w:lang w:val="en-US" w:eastAsia="en-US" w:bidi="ar-SA"/>
        </w:rPr>
        <w:t xml:space="preserve">[65] It is important to remember that in </w:t>
      </w:r>
      <w:r>
        <w:rPr>
          <w:rFonts w:ascii="arial" w:eastAsia="arial" w:hAnsi="arial" w:cs="arial"/>
          <w:i/>
          <w:color w:val="000000"/>
          <w:sz w:val="20"/>
          <w:lang w:val="en-US" w:eastAsia="en-US" w:bidi="ar-SA"/>
        </w:rPr>
        <w:t>Mustapha</w:t>
      </w:r>
      <w:r>
        <w:rPr>
          <w:rFonts w:ascii="arial" w:eastAsia="arial" w:hAnsi="arial" w:cs="arial"/>
          <w:color w:val="000000"/>
          <w:sz w:val="20"/>
          <w:lang w:val="en-US" w:eastAsia="en-US" w:bidi="ar-SA"/>
        </w:rPr>
        <w:t xml:space="preserve"> the question of a threshold for damages was not an issue that had to be decided. It was clear that Mr. Mustapha suffered a psychiatric illness. I would expect that if McLachlin C.J.C. had intended to change the law with regard to the long-standing "psychiatric illness" test she would have addressed the issue more directly, would have expressly rejected that test and would have provided reasons for doing so.</w:t>
      </w:r>
    </w:p>
    <w:p>
      <w:pPr>
        <w:spacing w:before="120" w:line="260" w:lineRule="atLeast"/>
        <w:ind w:left="720"/>
        <w:rPr>
          <w:lang w:val="en-US" w:eastAsia="en-US" w:bidi="ar-SA"/>
        </w:rPr>
      </w:pPr>
      <w:r>
        <w:rPr>
          <w:rFonts w:ascii="arial" w:eastAsia="arial" w:hAnsi="arial" w:cs="arial"/>
          <w:color w:val="000000"/>
          <w:sz w:val="20"/>
          <w:lang w:val="en-US" w:eastAsia="en-US" w:bidi="ar-SA"/>
        </w:rPr>
        <w:t>[66] In my view, it is not for me to cast aside binding authority of our Court of Appeal and formulate a new test for the degree of psychological disturbance that is compensable.</w:t>
      </w:r>
    </w:p>
    <w:p>
      <w:pPr>
        <w:spacing w:before="120" w:line="260" w:lineRule="atLeast"/>
        <w:ind w:left="720"/>
        <w:rPr>
          <w:lang w:val="en-US" w:eastAsia="en-US" w:bidi="ar-SA"/>
        </w:rPr>
      </w:pPr>
      <w:r>
        <w:rPr>
          <w:rFonts w:ascii="arial" w:eastAsia="arial" w:hAnsi="arial" w:cs="arial"/>
          <w:color w:val="000000"/>
          <w:sz w:val="20"/>
          <w:lang w:val="en-US" w:eastAsia="en-US" w:bidi="ar-SA"/>
        </w:rPr>
        <w:t>[67] Furthermore, the proposed new test of "serious and prolonged" or something more than "minor and transient" would not, in my view, provide a particularly helpful benchmark for the court, lawyers or litigants. How would the court measure and decide what is "serious"? Would the seriousness of the psychological disturbance be measured by reference to its impact on the emotional state or feelings of the plaintiff, a very subjective matter, or by reference to the effect of the disturbance on the plaintiff's ability to pursue his or her usual activities, or by reference to other factors or by some combination of factors?</w:t>
      </w:r>
    </w:p>
    <w:p>
      <w:pPr>
        <w:spacing w:before="120" w:line="260" w:lineRule="atLeast"/>
        <w:ind w:left="720"/>
        <w:rPr>
          <w:lang w:val="en-US" w:eastAsia="en-US" w:bidi="ar-SA"/>
        </w:rPr>
      </w:pPr>
      <w:r>
        <w:rPr>
          <w:rFonts w:ascii="arial" w:eastAsia="arial" w:hAnsi="arial" w:cs="arial"/>
          <w:color w:val="000000"/>
          <w:sz w:val="20"/>
          <w:lang w:val="en-US" w:eastAsia="en-US" w:bidi="ar-SA"/>
        </w:rPr>
        <w:t>[68] The requirement that the plaintiff must prove that he or she suffered a recognizable psychiatric illness introduces a degree of objectivity and certainty to the law through the mechanism of expert medical evidence. PTSD is a psychiatric illness that is often alleged to result from exposure to frightening or shocking events. A medical expert will assess the patient with reference to the diagnostic criteria established by the medical community that must be present to make a diagnosis. These criteria require the medical specialist to consider the persistence of symptoms and their impairment of social and occupational impairment. The court is thereby provided with evidence that enable it to judge the seriousness of the disturbance and its longevity.</w:t>
      </w:r>
    </w:p>
    <w:p>
      <w:pPr>
        <w:spacing w:before="120" w:line="260" w:lineRule="atLeast"/>
        <w:ind w:left="720"/>
        <w:rPr>
          <w:lang w:val="en-US" w:eastAsia="en-US" w:bidi="ar-SA"/>
        </w:rPr>
      </w:pPr>
      <w:r>
        <w:rPr>
          <w:rFonts w:ascii="arial" w:eastAsia="arial" w:hAnsi="arial" w:cs="arial"/>
          <w:color w:val="000000"/>
          <w:sz w:val="20"/>
          <w:lang w:val="en-US" w:eastAsia="en-US" w:bidi="ar-SA"/>
        </w:rPr>
        <w:t xml:space="preserve">[69] Accordingly, I conclude that there remains a requirement that the claimants prove not just psychological disturbance or upset as a result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but also that their psychological disturbance rises to the level of a recognizable psychiatric illness.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There is, I find, merit to the representative plaintiff's contention that to establish a compensable recoverable psychological injury, absent physical injury, the evidence must show that the emotional reaction rises to a recognizable psychiatric illness. </w:t>
      </w:r>
      <w:r>
        <w:rPr>
          <w:rFonts w:ascii="arial" w:eastAsia="arial" w:hAnsi="arial" w:cs="arial"/>
          <w:i/>
          <w:color w:val="000000"/>
          <w:sz w:val="20"/>
          <w:lang w:val="en-US" w:eastAsia="en-US" w:bidi="ar-SA"/>
        </w:rPr>
        <w:t>Kotai</w:t>
      </w:r>
      <w:r>
        <w:rPr>
          <w:rFonts w:ascii="arial" w:eastAsia="arial" w:hAnsi="arial" w:cs="arial"/>
          <w:color w:val="000000"/>
          <w:sz w:val="20"/>
          <w:lang w:val="en-US" w:eastAsia="en-US" w:bidi="ar-SA"/>
        </w:rPr>
        <w:t xml:space="preserve"> also supports the position taken by the defendants and the representative plaintiff that the plaintiffs can only recover for the amount by which their psychological condition was made worse by learning of the valve recall. The objectors contend that the </w:t>
      </w:r>
      <w:r>
        <w:rPr>
          <w:rFonts w:ascii="arial" w:eastAsia="arial" w:hAnsi="arial" w:cs="arial"/>
          <w:i/>
          <w:color w:val="000000"/>
          <w:sz w:val="20"/>
          <w:lang w:val="en-US" w:eastAsia="en-US" w:bidi="ar-SA"/>
        </w:rPr>
        <w:t>Kotai</w:t>
      </w:r>
      <w:r>
        <w:rPr>
          <w:rFonts w:ascii="arial" w:eastAsia="arial" w:hAnsi="arial" w:cs="arial"/>
          <w:color w:val="000000"/>
          <w:sz w:val="20"/>
          <w:lang w:val="en-US" w:eastAsia="en-US" w:bidi="ar-SA"/>
        </w:rPr>
        <w:t xml:space="preserve"> analysis contributes nothing new to the causation issue.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In assessing the proposed settlement, I take into consideration that </w:t>
      </w:r>
      <w:r>
        <w:rPr>
          <w:rFonts w:ascii="arial" w:eastAsia="arial" w:hAnsi="arial" w:cs="arial"/>
          <w:i/>
          <w:color w:val="000000"/>
          <w:sz w:val="20"/>
          <w:lang w:val="en-US" w:eastAsia="en-US" w:bidi="ar-SA"/>
        </w:rPr>
        <w:t>Kotai</w:t>
      </w:r>
      <w:r>
        <w:rPr>
          <w:rFonts w:ascii="arial" w:eastAsia="arial" w:hAnsi="arial" w:cs="arial"/>
          <w:color w:val="000000"/>
          <w:sz w:val="20"/>
          <w:lang w:val="en-US" w:eastAsia="en-US" w:bidi="ar-SA"/>
        </w:rPr>
        <w:t xml:space="preserve"> may be appealed, but it is persuasive authority that the general approach of the representative plaintiff and defendants with respect to the threshold to prove a compensable psychological injury in the settlement has merit.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The objectors' argue that </w:t>
      </w:r>
      <w:r>
        <w:rPr>
          <w:rFonts w:ascii="arial" w:eastAsia="arial" w:hAnsi="arial" w:cs="arial"/>
          <w:i/>
          <w:color w:val="000000"/>
          <w:sz w:val="20"/>
          <w:lang w:val="en-US" w:eastAsia="en-US" w:bidi="ar-SA"/>
        </w:rPr>
        <w:t>Kotai</w:t>
      </w:r>
      <w:r>
        <w:rPr>
          <w:rFonts w:ascii="arial" w:eastAsia="arial" w:hAnsi="arial" w:cs="arial"/>
          <w:color w:val="000000"/>
          <w:sz w:val="20"/>
          <w:lang w:val="en-US" w:eastAsia="en-US" w:bidi="ar-SA"/>
        </w:rPr>
        <w:t xml:space="preserve"> was wrongly decided, and, in any event, only applies to nervous shock cases, not this type of case. I have considered Mr. Mogerman's argument that having an implanted defective valve is distinguishable from nervous shock from a traumatic event. He argues that an ongoing prolonged fear caused by a defective product would satisfy the </w:t>
      </w:r>
      <w:r>
        <w:rPr>
          <w:rFonts w:ascii="arial" w:eastAsia="arial" w:hAnsi="arial" w:cs="arial"/>
          <w:i/>
          <w:color w:val="000000"/>
          <w:sz w:val="20"/>
          <w:lang w:val="en-US" w:eastAsia="en-US" w:bidi="ar-SA"/>
        </w:rPr>
        <w:t>Mustapha</w:t>
      </w:r>
      <w:r>
        <w:rPr>
          <w:rFonts w:ascii="arial" w:eastAsia="arial" w:hAnsi="arial" w:cs="arial"/>
          <w:color w:val="000000"/>
          <w:sz w:val="20"/>
          <w:lang w:val="en-US" w:eastAsia="en-US" w:bidi="ar-SA"/>
        </w:rPr>
        <w:t xml:space="preserve"> test.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In determining the reasonableness of a proposed settlement, I find that the proponents' approach to recoverable psychological injury in the absence of physical injury is more in line with </w:t>
      </w:r>
      <w:r>
        <w:rPr>
          <w:rFonts w:ascii="arial" w:eastAsia="arial" w:hAnsi="arial" w:cs="arial"/>
          <w:i/>
          <w:color w:val="000000"/>
          <w:sz w:val="20"/>
          <w:lang w:val="en-US" w:eastAsia="en-US" w:bidi="ar-SA"/>
        </w:rPr>
        <w:t>Mustapha.</w:t>
      </w:r>
      <w:r>
        <w:rPr>
          <w:rFonts w:ascii="arial" w:eastAsia="arial" w:hAnsi="arial" w:cs="arial"/>
          <w:color w:val="000000"/>
          <w:sz w:val="20"/>
          <w:lang w:val="en-US" w:eastAsia="en-US" w:bidi="ar-SA"/>
        </w:rPr>
        <w:t xml:space="preserve"> That is not to say that there are not questions about the scope of </w:t>
      </w:r>
      <w:r>
        <w:rPr>
          <w:rFonts w:ascii="arial" w:eastAsia="arial" w:hAnsi="arial" w:cs="arial"/>
          <w:i/>
          <w:color w:val="000000"/>
          <w:sz w:val="20"/>
          <w:lang w:val="en-US" w:eastAsia="en-US" w:bidi="ar-SA"/>
        </w:rPr>
        <w:t>Mustapha</w:t>
      </w:r>
      <w:r>
        <w:rPr>
          <w:rFonts w:ascii="arial" w:eastAsia="arial" w:hAnsi="arial" w:cs="arial"/>
          <w:color w:val="000000"/>
          <w:sz w:val="20"/>
          <w:lang w:val="en-US" w:eastAsia="en-US" w:bidi="ar-SA"/>
        </w:rPr>
        <w:t xml:space="preserve"> in these particular circumstances, but the approach taken by the supporters of the settlement is reasonable and likely correct.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Quantum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 turn now to the question of the quantum of compensation under the settlement. I have set out above the agreed compensation table which is based on the duration and degree of the psychiatric disorder; the settlement is subject to a cap of $50,000.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Let me describe the evidence regarding the alleged psychological injuries suffered by objectors who were implanted with the defendant's heart valve. I do so with a view to assessing whether the evidence shows a likelihood that the objectors could prove a psychological injury and, if so, whether the quantum of the proposed settlement is within a range of reasonableness.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 reviewed the affidavits of the objectors put forward as examples of people suffering compensable psychological injury (J.R., L.D. and F.B. as well as affidavits sworn by K.D., A.J., G.B., and L.B. that I referred to in my earlier Reasons). As I noted, since the matter was last before me, expert reports were provided by Dr. Anderson, a psychiatrist, with respect to J.R., F.B. and L.D., as well as reports from Dr. Smith, a psychiatrist, about the latter two, L.D. and F.B.</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Dr. Anderson assessed L.D.: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Mr. [L.D.] was significantly traumatized emotionally be learning of the valve recall. He developed anxiety symptoms, including chest pain, when he learned of the recall and he went on to develop chronic anxiety and depressive symptoms.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Dr. Anderson went on to say that he is uncertain as to the extent to which L.D.'s fatigue is due to anxiety and depression versus medical factors, however both he noted cause fatigue and insomnia, and L.D. "is considering selling two of his businesses ... because of his reduced energy and drive". Dr. Anderson thought L.D. would continue to suffer anxiety and depressive symptoms on a long-term basis, and suggested cognitive behavioural therapy and anti-depressant medication.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In terms of J.R., Dr. Anderson opined that she has not developed a major depressive disorder or major anxiety disorder, and that her symptoms do not warrant a psychiatric diagnosis. He opined that her psychological injury does, however, rise above ordinary anxiety and fears, and that she has chronic anxiety and depressive symptoms.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With respect to F.B., Dr. Anderson said that he has a chronic adjustment disorder with mixed anxiety and depressive mood that rises above the ordinary everyday stressors that occur for average people. He suggested that F.B. should be seen by a registered psychologist for cognitive behavioural therapy and if the counselling was in place, his anxiety and symptoms would likely decrease but not likely to pre-morbid levels.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Dr. Smith performed an independent assessment and provided a medical report on F.B. and L.D. The defendants submit that Dr. Smith did not examine J.R. because Dr. Anderson did not find there to be a psychiatric disorder.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Dr. Smith was asked whether F.B. had suffered a serious prolonged psychological disturbance or psychological injury post-implant attributable to learning that the St. Jude Medical heart valve had a sewing cuff coated with Silzone and/or was recalled, as distinct, separate or in addition to from some other stressor, such as learning he had heart disease, was to be implanted with a mechanical heart valve, or receiving any misinformation (according to the defendants) from a doctor about the risks associated with the heart valve more than two years post implant.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Dr. Smith said that open heart surgery is anxiety-producing for all patients. He assumed that F.B. had never been referred for assessment or treatment by a psychiatrist or psychologist, that he was diagnosed by Dr. Anderson with an adjustment disorder with mixed anxiety and depressed mood and that the investigations to date had indicated his heart valve was functioning well and was not in need of replacement.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Dr. Smith went on to say that based on his assessment of the documents and his interview with F.B. and his wife, his opinion was that F.B. did not currently qualify for a psychiatric diagnosis, nor was he in need of treatment by a psychiatrist or a psychologist, although Dr. Smith described him as somewhat anxious. He described his worry as not specific to the recall of the heart valve but that his concerns about his heart status preceded the recall of the valve. He said he could find very little evidence of impairment as F.B. was still working, had a good set of friends and a solid marriage. He said that he did not qualify for a diagnosis of an adjustment disorder as his reaction to multiple stressors is not beyond what would be expected, there is no significant evidence of impairment and it is impossible to attribute specific anxiety to his knowledge of the recall. He gave a number of reasons for that conclusion. He also noted his view that F.B. was misinformed about the current risk of maintaining the Silzone mechanical heart valve.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Dr. Smith also interviewed L.D. He said he disagreed "entirely with Dr. Anderson on the matter of depression". He said that L.D. had only a rudimentary knowledge of risks associated with the valve and had developed a theory that the real problem was that the Silzone coating on the valve would come off like Teflon from a frying pan. He said that L.D. does not present at all like a person suffering from depression, he is affable, entertaining and engaging. Although Dr. Smith said that L.D. had a fear that his heart valve would fail, he did not present prominent symptoms of anxiety and did not have difficulty sleeping. Dr. Smith mentioned that L.D. had never sought counselling or treatment for depression or anxiety.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It is apparent that the medical evidence regarding these objectors is in dispute. Nevertheless, this review demonstrates that there is a serious risk that none of them may be able to establish a psychological injury to the level required for compensation at law.</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I have concluded that it is a reasonable inference that there are likely to be few, if any, in the proposed class who would be able to qualify for compensation under the </w:t>
      </w:r>
      <w:r>
        <w:rPr>
          <w:rFonts w:ascii="arial" w:eastAsia="arial" w:hAnsi="arial" w:cs="arial"/>
          <w:i/>
          <w:color w:val="000000"/>
          <w:sz w:val="20"/>
          <w:lang w:val="en-US" w:eastAsia="en-US" w:bidi="ar-SA"/>
        </w:rPr>
        <w:t>Mustapha</w:t>
      </w:r>
      <w:r>
        <w:rPr>
          <w:rFonts w:ascii="arial" w:eastAsia="arial" w:hAnsi="arial" w:cs="arial"/>
          <w:color w:val="000000"/>
          <w:sz w:val="20"/>
          <w:lang w:val="en-US" w:eastAsia="en-US" w:bidi="ar-SA"/>
        </w:rPr>
        <w:t xml:space="preserve"> test. I do so based on all of the evidence, the information put forward by some of the objectors, the fact that complaints of psychological injury were not made to Mr. Poyner's firm and the fact that others have apparently not come forward with complaints of psychological injury since my last decision.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 must now inquire into the reasonableness of the level of compensation under the settlement agreement for those who meet its requirements. The parties were not able to provide a great number of authorities that were of much guidance in these circumstances.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The comments of Joyce J. in </w:t>
      </w:r>
      <w:r>
        <w:rPr>
          <w:rFonts w:ascii="arial" w:eastAsia="arial" w:hAnsi="arial" w:cs="arial"/>
          <w:i/>
          <w:color w:val="000000"/>
          <w:sz w:val="20"/>
          <w:lang w:val="en-US" w:eastAsia="en-US" w:bidi="ar-SA"/>
        </w:rPr>
        <w:t>Kotai</w:t>
      </w:r>
      <w:r>
        <w:rPr>
          <w:rFonts w:ascii="arial" w:eastAsia="arial" w:hAnsi="arial" w:cs="arial"/>
          <w:color w:val="000000"/>
          <w:sz w:val="20"/>
          <w:lang w:val="en-US" w:eastAsia="en-US" w:bidi="ar-SA"/>
        </w:rPr>
        <w:t xml:space="preserve"> regarding whether damages would be awarded to the individual plaintiffs in that case were somewhat useful to my determination of whether the settlement presented to me was reasonable. His analysis of the individual plaintiffs also illustrates some of the difficulties that individual plaintiffs who have had heart valves implanted may have in demonstrating that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resulting in the recall caused their psychological injury.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 set out Justice Joyce's discussion and analysis with respect to the plaintiffs in the mini-trials that were conducted before him.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With respect to L.W. he concluded: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In my view, [L.W.] experienced the kind of anxieties that many people experience and endure for a period of time following a frightening event. I am not satisfied that his emotional stress, discomfort or anxiety rises to the level where they constitute a psychological injury. Dr. de Wit was of the view that [L.W.] displayed some features of PTSD but did not meet the criteria that is necessary to diagnose that psychological disorder.</w:t>
      </w:r>
    </w:p>
    <w:p>
      <w:pPr>
        <w:spacing w:before="120" w:line="260" w:lineRule="atLeast"/>
        <w:ind w:left="720"/>
        <w:rPr>
          <w:lang w:val="en-US" w:eastAsia="en-US" w:bidi="ar-SA"/>
        </w:rPr>
      </w:pPr>
      <w:r>
        <w:rPr>
          <w:rFonts w:ascii="arial" w:eastAsia="arial" w:hAnsi="arial" w:cs="arial"/>
          <w:color w:val="000000"/>
          <w:sz w:val="20"/>
          <w:lang w:val="en-US" w:eastAsia="en-US" w:bidi="ar-SA"/>
        </w:rPr>
        <w:t>Simply put, I conclude that [L.W.]'s emotional reaction falls into the category of that which "people living in society routinely, if reluctantly accept" and does not constitute a psychological injury for which the defendant must compensate him.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With respect to B.D. Joyce J. said: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As a result of his testing and interviewing, Dr. Wilensky provided an Assessment dated June 30, 2008 in which he expressed the opinion that [B.D.]'s injury as a result of his experience on the "Queen of the North" on the night of the sinking meets the diagnostic criteria for PTSD under the Diagnostic and Statistical Manual of Mental Disorders, Fourth Edition ("DSM-IV-TR") published by the American Psychiatric Association. Dr. Wilensky specified [B.D.]'s symptoms as chronic, meaning that they persisted for three months or more.</w:t>
      </w:r>
    </w:p>
    <w:p>
      <w:pPr>
        <w:spacing w:before="120" w:line="260" w:lineRule="atLeast"/>
        <w:ind w:left="720"/>
        <w:rPr>
          <w:lang w:val="en-US" w:eastAsia="en-US" w:bidi="ar-SA"/>
        </w:rPr>
      </w:pPr>
      <w:r>
        <w:rPr>
          <w:rFonts w:ascii="arial" w:eastAsia="arial" w:hAnsi="arial" w:cs="arial"/>
          <w:color w:val="000000"/>
          <w:sz w:val="20"/>
          <w:lang w:val="en-US" w:eastAsia="en-US" w:bidi="ar-SA"/>
        </w:rPr>
        <w:t>It seems apparent to me from listening to the evidence that making a diagnosis of PTSD is far from an exact science. Dr. Wilensky accepts that there are limitations, including the possibility of symptom transference. Dr. Wilensky had to take all of the information that he was able to glean from testing instruments and from his structured interview and apply his knowledge, training and expertise to arrive at a conclusion. In the end, I accept the opinion of Dr. Wilensky and find that [B.D.] has PTSD.</w:t>
      </w:r>
    </w:p>
    <w:p>
      <w:pPr>
        <w:spacing w:before="120" w:line="260" w:lineRule="atLeast"/>
        <w:ind w:left="720"/>
        <w:rPr>
          <w:lang w:val="en-US" w:eastAsia="en-US" w:bidi="ar-SA"/>
        </w:rPr>
      </w:pPr>
      <w:r>
        <w:rPr>
          <w:rFonts w:ascii="arial" w:eastAsia="arial" w:hAnsi="arial" w:cs="arial"/>
          <w:color w:val="000000"/>
          <w:sz w:val="20"/>
          <w:lang w:val="en-US" w:eastAsia="en-US" w:bidi="ar-SA"/>
        </w:rPr>
        <w:t xml:space="preserve">I also find that his experience surrounding the sinking of the "Queen of the North" is the cause of [B.D.]'s psychiatric injury. That there may be other factors that contributed to the injury does not detract from the fact, as I find it, that but 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[B.D.] would not have suffered the psychiatric injury.</w:t>
      </w:r>
    </w:p>
    <w:p>
      <w:pPr>
        <w:spacing w:before="120" w:line="260" w:lineRule="atLeast"/>
        <w:ind w:left="720"/>
        <w:rPr>
          <w:lang w:val="en-US" w:eastAsia="en-US" w:bidi="ar-SA"/>
        </w:rPr>
      </w:pPr>
      <w:r>
        <w:rPr>
          <w:rFonts w:ascii="arial" w:eastAsia="arial" w:hAnsi="arial" w:cs="arial"/>
          <w:color w:val="000000"/>
          <w:sz w:val="20"/>
          <w:lang w:val="en-US" w:eastAsia="en-US" w:bidi="ar-SA"/>
        </w:rPr>
        <w:t>I have concluded that an award of $12,000 would be appropriate compensation for [B.D.] by way of non-pecuniary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As to [L.M.] Joyce J. said: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[L.M.] had the misfortune to be a passenger on the ferry, the Queen of the North, when it sank in 2006. He was rescued without physical injury. However, it appears that he sustained a psychological injury from the traumatic event. Although his symptom picture does not currently meet all of the criteria for a diagnosis of Posttraumatic Stress Disorder, nonetheless there is evidence of distress, disruption of his employment, resultant distress of his wife and residual vulnerability. These symptoms were a direct result of his traumatic experience of the sinking of the Queen of the North on March 22, 2006.</w:t>
      </w:r>
    </w:p>
    <w:p>
      <w:pPr>
        <w:spacing w:before="120" w:line="260" w:lineRule="atLeast"/>
        <w:ind w:left="720"/>
        <w:rPr>
          <w:lang w:val="en-US" w:eastAsia="en-US" w:bidi="ar-SA"/>
        </w:rPr>
      </w:pPr>
      <w:r>
        <w:rPr>
          <w:rFonts w:ascii="arial" w:eastAsia="arial" w:hAnsi="arial" w:cs="arial"/>
          <w:color w:val="000000"/>
          <w:sz w:val="20"/>
          <w:lang w:val="en-US" w:eastAsia="en-US" w:bidi="ar-SA"/>
        </w:rPr>
        <w:t>[L.M.]'s experience with regard to the sinking of the "Queen of the North" did not cause him prolonged or significant emotional distress. The only effects appear to have been a brief period of anxiety, some minor interference with sleep for a short period of time and a heightened sense of security, including extra vigilance when using public transportation.</w:t>
      </w:r>
    </w:p>
    <w:p>
      <w:pPr>
        <w:spacing w:before="120" w:line="260" w:lineRule="atLeast"/>
        <w:ind w:left="720"/>
        <w:rPr>
          <w:lang w:val="en-US" w:eastAsia="en-US" w:bidi="ar-SA"/>
        </w:rPr>
      </w:pPr>
      <w:r>
        <w:rPr>
          <w:rFonts w:ascii="arial" w:eastAsia="arial" w:hAnsi="arial" w:cs="arial"/>
          <w:color w:val="000000"/>
          <w:sz w:val="20"/>
          <w:lang w:val="en-US" w:eastAsia="en-US" w:bidi="ar-SA"/>
        </w:rPr>
        <w:t>There was no functional impairment in [L.M.]'s work, family or other social activities.</w:t>
      </w:r>
    </w:p>
    <w:p>
      <w:pPr>
        <w:spacing w:before="120" w:line="260" w:lineRule="atLeast"/>
        <w:ind w:left="720"/>
        <w:rPr>
          <w:lang w:val="en-US" w:eastAsia="en-US" w:bidi="ar-SA"/>
        </w:rPr>
      </w:pPr>
      <w:r>
        <w:rPr>
          <w:rFonts w:ascii="arial" w:eastAsia="arial" w:hAnsi="arial" w:cs="arial"/>
          <w:color w:val="000000"/>
          <w:sz w:val="20"/>
          <w:lang w:val="en-US" w:eastAsia="en-US" w:bidi="ar-SA"/>
        </w:rPr>
        <w:t>In my view, the evidence fails to establish any compensable psychological injury.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As to F.B. Joyce J. said: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Having regard to the minor nature of the physical injuries sustained by [F.B.] and taking into account the fact that damages for his psychological injury must be assessed on the basis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has not caused the whole of his condition but has aggravated a pre-existing symptomatic condition, I assess [F.B.]'s claim at $7,500.00.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As to K.J., Joyce J. said: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As with Mr. Bolton's claim, Mr. Hanson submits that [K.J.]'s experience during the sinking of the "Queen of the North" made a bad situation worse and aggravated his psychological problems.</w:t>
      </w:r>
    </w:p>
    <w:p>
      <w:pPr>
        <w:spacing w:before="120" w:line="260" w:lineRule="atLeast"/>
        <w:ind w:left="720"/>
        <w:rPr>
          <w:lang w:val="en-US" w:eastAsia="en-US" w:bidi="ar-SA"/>
        </w:rPr>
      </w:pPr>
      <w:r>
        <w:rPr>
          <w:rFonts w:ascii="arial" w:eastAsia="arial" w:hAnsi="arial" w:cs="arial"/>
          <w:color w:val="000000"/>
          <w:sz w:val="20"/>
          <w:lang w:val="en-US" w:eastAsia="en-US" w:bidi="ar-SA"/>
        </w:rPr>
        <w:t xml:space="preserve">Mr. Wharton submits that it has not been proven that [K.J.] suffers from any recognizable psychiatric illness and, in any event, that it has not been proven that [K.J.]'s emotional or psychological problems were caused, in fact,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 agree. [K.J.] reported some initial anxiety following the sinking and sought the assistance of counsellors at three visits before returning to work on May 2, 2006. [K.J.] did not seek any further counselling, which he knew was available through B.C. Ferries, until March 2007 when Dr. Kaushansky spoke to him on behalf of counsel for the plaintiffs. [K.J.] was referred to Dr. Altar but only saw him on one occasion. He did not seek any further assistance for any emotional issues until February 2008 when he went to the Northern Health Authority Clinic. A few days later he reported to Dr. Nelson that he was feeling better and wanted to return to work. [K.J.] only attended one of five planned counselling sessions with Mr. Epp.</w:t>
      </w:r>
    </w:p>
    <w:p>
      <w:pPr>
        <w:spacing w:before="120" w:line="260" w:lineRule="atLeast"/>
        <w:ind w:left="720"/>
        <w:rPr>
          <w:lang w:val="en-US" w:eastAsia="en-US" w:bidi="ar-SA"/>
        </w:rPr>
      </w:pPr>
      <w:r>
        <w:rPr>
          <w:rFonts w:ascii="arial" w:eastAsia="arial" w:hAnsi="arial" w:cs="arial"/>
          <w:color w:val="000000"/>
          <w:sz w:val="20"/>
          <w:lang w:val="en-US" w:eastAsia="en-US" w:bidi="ar-SA"/>
        </w:rPr>
        <w:t>In my opinion, other events in [K.J.]'s life, including being away from his children whom he dearly loves, financial problems, lack of work and drug and alcohol abuse, are most likely the cause of his depression and anxiety, as opposed to his experience on the "Queen of the North".</w:t>
      </w:r>
    </w:p>
    <w:p>
      <w:pPr>
        <w:spacing w:before="120" w:line="260" w:lineRule="atLeast"/>
        <w:ind w:left="720"/>
        <w:rPr>
          <w:lang w:val="en-US" w:eastAsia="en-US" w:bidi="ar-SA"/>
        </w:rPr>
      </w:pPr>
      <w:r>
        <w:rPr>
          <w:rFonts w:ascii="arial" w:eastAsia="arial" w:hAnsi="arial" w:cs="arial"/>
          <w:color w:val="000000"/>
          <w:sz w:val="20"/>
          <w:lang w:val="en-US" w:eastAsia="en-US" w:bidi="ar-SA"/>
        </w:rPr>
        <w:t>I have to conclude that [K.J.]'s claim for compensation must fail.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 have also considered the authorities on quantum for psychological injury referred to at para. 190 of my previous reasons [</w:t>
      </w:r>
      <w:r>
        <w:rPr>
          <w:rFonts w:ascii="arial" w:eastAsia="arial" w:hAnsi="arial" w:cs="arial"/>
          <w:i/>
          <w:color w:val="000000"/>
          <w:sz w:val="20"/>
          <w:lang w:val="en-US" w:eastAsia="en-US" w:bidi="ar-SA"/>
        </w:rPr>
        <w:t>Fitzgerald v. Tin</w:t>
      </w:r>
      <w:r>
        <w:rPr>
          <w:rFonts w:ascii="arial" w:eastAsia="arial" w:hAnsi="arial" w:cs="arial"/>
          <w:color w:val="000000"/>
          <w:sz w:val="20"/>
          <w:lang w:val="en-US" w:eastAsia="en-US" w:bidi="ar-SA"/>
        </w:rPr>
        <w:t xml:space="preserve">, </w:t>
      </w:r>
      <w:hyperlink r:id="rId466" w:history="1">
        <w:r>
          <w:rPr>
            <w:rFonts w:ascii="arial" w:eastAsia="arial" w:hAnsi="arial" w:cs="arial"/>
            <w:i/>
            <w:color w:val="0077CC"/>
            <w:sz w:val="20"/>
            <w:u w:val="single"/>
            <w:shd w:val="clear" w:color="auto" w:fill="FFFFFF"/>
            <w:lang w:val="en-US" w:eastAsia="en-US" w:bidi="ar-SA"/>
          </w:rPr>
          <w:t>2003 BCSC 151</w:t>
        </w:r>
      </w:hyperlink>
      <w:r>
        <w:rPr>
          <w:rFonts w:ascii="arial" w:eastAsia="arial" w:hAnsi="arial" w:cs="arial"/>
          <w:color w:val="000000"/>
          <w:sz w:val="20"/>
          <w:lang w:val="en-US" w:eastAsia="en-US" w:bidi="ar-SA"/>
        </w:rPr>
        <w:t xml:space="preserve">, </w:t>
      </w:r>
      <w:hyperlink r:id="rId466" w:history="1">
        <w:r>
          <w:rPr>
            <w:rFonts w:ascii="arial" w:eastAsia="arial" w:hAnsi="arial" w:cs="arial"/>
            <w:i/>
            <w:color w:val="0077CC"/>
            <w:sz w:val="20"/>
            <w:u w:val="single"/>
            <w:shd w:val="clear" w:color="auto" w:fill="FFFFFF"/>
            <w:lang w:val="en-US" w:eastAsia="en-US" w:bidi="ar-SA"/>
          </w:rPr>
          <w:t>11 B.C.L.R. (4th) 375</w:t>
        </w:r>
      </w:hyperlink>
      <w:r>
        <w:rPr>
          <w:rFonts w:ascii="arial" w:eastAsia="arial" w:hAnsi="arial" w:cs="arial"/>
          <w:color w:val="000000"/>
          <w:sz w:val="20"/>
          <w:lang w:val="en-US" w:eastAsia="en-US" w:bidi="ar-SA"/>
        </w:rPr>
        <w:t xml:space="preserve">, where the court awarded $15,000 to a plaintiff who "had a reasonable and genuine concern arising out of her fear of HIV infection" for seven months after being pricked accidentally by a hypodermic needle in a taxi and </w:t>
      </w:r>
      <w:r>
        <w:rPr>
          <w:rFonts w:ascii="arial" w:eastAsia="arial" w:hAnsi="arial" w:cs="arial"/>
          <w:i/>
          <w:color w:val="000000"/>
          <w:sz w:val="20"/>
          <w:lang w:val="en-US" w:eastAsia="en-US" w:bidi="ar-SA"/>
        </w:rPr>
        <w:t>Tsoutsoulas v. Canada (Attorney General),</w:t>
      </w:r>
      <w:r>
        <w:rPr>
          <w:rFonts w:ascii="arial" w:eastAsia="arial" w:hAnsi="arial" w:cs="arial"/>
          <w:color w:val="000000"/>
          <w:sz w:val="20"/>
          <w:lang w:val="en-US" w:eastAsia="en-US" w:bidi="ar-SA"/>
        </w:rPr>
        <w:t xml:space="preserve"> </w:t>
      </w:r>
      <w:hyperlink r:id="rId467" w:history="1">
        <w:r>
          <w:rPr>
            <w:rFonts w:ascii="arial" w:eastAsia="arial" w:hAnsi="arial" w:cs="arial"/>
            <w:i/>
            <w:color w:val="0077CC"/>
            <w:sz w:val="20"/>
            <w:u w:val="single"/>
            <w:shd w:val="clear" w:color="auto" w:fill="FFFFFF"/>
            <w:lang w:val="en-US" w:eastAsia="en-US" w:bidi="ar-SA"/>
          </w:rPr>
          <w:t>[2006] O.J. No. 1020</w:t>
        </w:r>
      </w:hyperlink>
      <w:r>
        <w:rPr>
          <w:rFonts w:ascii="arial" w:eastAsia="arial" w:hAnsi="arial" w:cs="arial"/>
          <w:color w:val="000000"/>
          <w:sz w:val="20"/>
          <w:lang w:val="en-US" w:eastAsia="en-US" w:bidi="ar-SA"/>
        </w:rPr>
        <w:t xml:space="preserve"> (S.C.J.), where the plaintiff was awarded $25,000 after being bitten by a carrier of HIV and the period in which infection was uncertain was longer than in </w:t>
      </w:r>
      <w:r>
        <w:rPr>
          <w:rFonts w:ascii="arial" w:eastAsia="arial" w:hAnsi="arial" w:cs="arial"/>
          <w:i/>
          <w:color w:val="000000"/>
          <w:sz w:val="20"/>
          <w:lang w:val="en-US" w:eastAsia="en-US" w:bidi="ar-SA"/>
        </w:rPr>
        <w:t>Fitzgerald</w:t>
      </w:r>
      <w:r>
        <w:rPr>
          <w:rFonts w:ascii="arial" w:eastAsia="arial" w:hAnsi="arial" w:cs="arial"/>
          <w:color w:val="000000"/>
          <w:sz w:val="20"/>
          <w:lang w:val="en-US" w:eastAsia="en-US" w:bidi="ar-SA"/>
        </w:rPr>
        <w:t xml:space="preserve">.], as well as </w:t>
      </w:r>
      <w:r>
        <w:rPr>
          <w:rFonts w:ascii="arial" w:eastAsia="arial" w:hAnsi="arial" w:cs="arial"/>
          <w:i/>
          <w:color w:val="000000"/>
          <w:sz w:val="20"/>
          <w:lang w:val="en-US" w:eastAsia="en-US" w:bidi="ar-SA"/>
        </w:rPr>
        <w:t>Cardozo v. Becton, Dickinson and Co.</w:t>
      </w:r>
      <w:r>
        <w:rPr>
          <w:rFonts w:ascii="arial" w:eastAsia="arial" w:hAnsi="arial" w:cs="arial"/>
          <w:color w:val="000000"/>
          <w:sz w:val="20"/>
          <w:lang w:val="en-US" w:eastAsia="en-US" w:bidi="ar-SA"/>
        </w:rPr>
        <w:t xml:space="preserve">, </w:t>
      </w:r>
      <w:hyperlink r:id="rId468" w:history="1">
        <w:r>
          <w:rPr>
            <w:rFonts w:ascii="arial" w:eastAsia="arial" w:hAnsi="arial" w:cs="arial"/>
            <w:i/>
            <w:color w:val="0077CC"/>
            <w:sz w:val="20"/>
            <w:u w:val="single"/>
            <w:shd w:val="clear" w:color="auto" w:fill="FFFFFF"/>
            <w:lang w:val="en-US" w:eastAsia="en-US" w:bidi="ar-SA"/>
          </w:rPr>
          <w:t>2005 BCSC 1612</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Piresferreira v. Ayotte</w:t>
      </w:r>
      <w:r>
        <w:rPr>
          <w:rFonts w:ascii="arial" w:eastAsia="arial" w:hAnsi="arial" w:cs="arial"/>
          <w:color w:val="000000"/>
          <w:sz w:val="20"/>
          <w:lang w:val="en-US" w:eastAsia="en-US" w:bidi="ar-SA"/>
        </w:rPr>
        <w:t xml:space="preserve">, </w:t>
      </w:r>
      <w:hyperlink r:id="rId469" w:history="1">
        <w:r>
          <w:rPr>
            <w:rFonts w:ascii="arial" w:eastAsia="arial" w:hAnsi="arial" w:cs="arial"/>
            <w:i/>
            <w:color w:val="0077CC"/>
            <w:sz w:val="20"/>
            <w:u w:val="single"/>
            <w:shd w:val="clear" w:color="auto" w:fill="FFFFFF"/>
            <w:lang w:val="en-US" w:eastAsia="en-US" w:bidi="ar-SA"/>
          </w:rPr>
          <w:t>[2008] O.J. No. 5187</w:t>
        </w:r>
      </w:hyperlink>
      <w:r>
        <w:rPr>
          <w:rFonts w:ascii="arial" w:eastAsia="arial" w:hAnsi="arial" w:cs="arial"/>
          <w:color w:val="000000"/>
          <w:sz w:val="20"/>
          <w:lang w:val="en-US" w:eastAsia="en-US" w:bidi="ar-SA"/>
        </w:rPr>
        <w:t xml:space="preserve">, </w:t>
      </w:r>
      <w:hyperlink r:id="rId469" w:history="1">
        <w:r>
          <w:rPr>
            <w:rFonts w:ascii="arial" w:eastAsia="arial" w:hAnsi="arial" w:cs="arial"/>
            <w:i/>
            <w:color w:val="0077CC"/>
            <w:sz w:val="20"/>
            <w:u w:val="single"/>
            <w:shd w:val="clear" w:color="auto" w:fill="FFFFFF"/>
            <w:lang w:val="en-US" w:eastAsia="en-US" w:bidi="ar-SA"/>
          </w:rPr>
          <w:t>72 C.C.E.L. (3d) 23</w:t>
        </w:r>
      </w:hyperlink>
      <w:r>
        <w:rPr>
          <w:rFonts w:ascii="arial" w:eastAsia="arial" w:hAnsi="arial" w:cs="arial"/>
          <w:color w:val="000000"/>
          <w:sz w:val="20"/>
          <w:lang w:val="en-US" w:eastAsia="en-US" w:bidi="ar-SA"/>
        </w:rPr>
        <w:t xml:space="preserve"> (S.C.J.).</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Cardozo</w:t>
      </w:r>
      <w:r>
        <w:rPr>
          <w:rFonts w:ascii="arial" w:eastAsia="arial" w:hAnsi="arial" w:cs="arial"/>
          <w:color w:val="000000"/>
          <w:sz w:val="20"/>
          <w:lang w:val="en-US" w:eastAsia="en-US" w:bidi="ar-SA"/>
        </w:rPr>
        <w:t xml:space="preserve"> was a case where a settlement was reached in a class action concerning a defective device for detecting sexually transmitted diseases. The class members each received $400-$500 if their test results were false positive or false negative. In that case Gropper J. noted: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[20] The settlement value was arrived at, in part, by assessing the likely value of the individual claims and by taking into account the challenges of causation and proof which would attach if the claims were pursued in the ordinary way.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Piresferreira</w:t>
      </w:r>
      <w:r>
        <w:rPr>
          <w:rFonts w:ascii="arial" w:eastAsia="arial" w:hAnsi="arial" w:cs="arial"/>
          <w:color w:val="000000"/>
          <w:sz w:val="20"/>
          <w:lang w:val="en-US" w:eastAsia="en-US" w:bidi="ar-SA"/>
        </w:rPr>
        <w:t xml:space="preserve"> was a judgment rendered after a twelve day trial in a case where damages for the debilitating symptoms of post traumatic stress disorder, anxiety and depression following an assault were assessed at $50,000. The plaintiff had previously suffered disabling symptoms of depression and anxiety that had not noticeably ameliorated over time and there was uncertainty whether she would ever return to gainful employment.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Does the settlement in terms of quantum of damages fit within the zone of reasonableness? None of the cases presented to me provide particular assistance on the range of damages if an individual plaintiff is able to establish a psychological injury, but it is clear that there would be serious issues regarding causation given the fact that emotional problems may result from the fact of heart disease or the surgery itself rather than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I conclude that if a class member is shown to suffer from a psychiatric disorder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the amounts in the settlement agreement, while perhaps at the lower end of the range, are nevertheless within the range of reasonableness for payments made without the time, delay and expense of individual damage trials.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CONCLUSION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remaining and central question is one that I addressed in my last set of reasons, that is, does the settlement meet the requirement of being fair and reasonable, and in the best interests of the class as a whole?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 have concluded that it does.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This settlement addresses a point left unaddressed in the last proposed settlement: consideration of the recovery of damages for psychological injury.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The proposed settlement is based on an interpretation of </w:t>
      </w:r>
      <w:r>
        <w:rPr>
          <w:rFonts w:ascii="arial" w:eastAsia="arial" w:hAnsi="arial" w:cs="arial"/>
          <w:i/>
          <w:color w:val="000000"/>
          <w:sz w:val="20"/>
          <w:lang w:val="en-US" w:eastAsia="en-US" w:bidi="ar-SA"/>
        </w:rPr>
        <w:t>Mustapha</w:t>
      </w:r>
      <w:r>
        <w:rPr>
          <w:rFonts w:ascii="arial" w:eastAsia="arial" w:hAnsi="arial" w:cs="arial"/>
          <w:color w:val="000000"/>
          <w:sz w:val="20"/>
          <w:lang w:val="en-US" w:eastAsia="en-US" w:bidi="ar-SA"/>
        </w:rPr>
        <w:t xml:space="preserve"> that requires proof of a recognized psychiatric disorder. That appears to be a reasonable, and likely the correct, interpretation of </w:t>
      </w:r>
      <w:r>
        <w:rPr>
          <w:rFonts w:ascii="arial" w:eastAsia="arial" w:hAnsi="arial" w:cs="arial"/>
          <w:i/>
          <w:color w:val="000000"/>
          <w:sz w:val="20"/>
          <w:lang w:val="en-US" w:eastAsia="en-US" w:bidi="ar-SA"/>
        </w:rPr>
        <w:t>Mustapha</w:t>
      </w:r>
      <w:r>
        <w:rPr>
          <w:rFonts w:ascii="arial" w:eastAsia="arial" w:hAnsi="arial" w:cs="arial"/>
          <w:color w:val="000000"/>
          <w:sz w:val="20"/>
          <w:lang w:val="en-US" w:eastAsia="en-US" w:bidi="ar-SA"/>
        </w:rPr>
        <w:t xml:space="preserve"> when it is applied to a person's reaction to being informed that an implanted medical device has been recalled due to increased risk of complications.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The careful analysis of the law by Justice Joyce in </w:t>
      </w:r>
      <w:r>
        <w:rPr>
          <w:rFonts w:ascii="arial" w:eastAsia="arial" w:hAnsi="arial" w:cs="arial"/>
          <w:i/>
          <w:color w:val="000000"/>
          <w:sz w:val="20"/>
          <w:lang w:val="en-US" w:eastAsia="en-US" w:bidi="ar-SA"/>
        </w:rPr>
        <w:t>Kotai</w:t>
      </w:r>
      <w:r>
        <w:rPr>
          <w:rFonts w:ascii="arial" w:eastAsia="arial" w:hAnsi="arial" w:cs="arial"/>
          <w:color w:val="000000"/>
          <w:sz w:val="20"/>
          <w:lang w:val="en-US" w:eastAsia="en-US" w:bidi="ar-SA"/>
        </w:rPr>
        <w:t xml:space="preserve"> as to what is required to establish a psychological injury to the level described in </w:t>
      </w:r>
      <w:r>
        <w:rPr>
          <w:rFonts w:ascii="arial" w:eastAsia="arial" w:hAnsi="arial" w:cs="arial"/>
          <w:i/>
          <w:color w:val="000000"/>
          <w:sz w:val="20"/>
          <w:lang w:val="en-US" w:eastAsia="en-US" w:bidi="ar-SA"/>
        </w:rPr>
        <w:t>Mustapha,</w:t>
      </w:r>
      <w:r>
        <w:rPr>
          <w:rFonts w:ascii="arial" w:eastAsia="arial" w:hAnsi="arial" w:cs="arial"/>
          <w:color w:val="000000"/>
          <w:sz w:val="20"/>
          <w:lang w:val="en-US" w:eastAsia="en-US" w:bidi="ar-SA"/>
        </w:rPr>
        <w:t xml:space="preserve"> though subject to appeal, is persuasive. It provides strong support that the basis for compensation under the proposed settlement agreement was well considered by the parties to the agreement and is consistent with the governing authority.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I have considered carefully the submissions of the objectors. I recognize that they make an argument that the </w:t>
      </w:r>
      <w:r>
        <w:rPr>
          <w:rFonts w:ascii="arial" w:eastAsia="arial" w:hAnsi="arial" w:cs="arial"/>
          <w:i/>
          <w:color w:val="000000"/>
          <w:sz w:val="20"/>
          <w:lang w:val="en-US" w:eastAsia="en-US" w:bidi="ar-SA"/>
        </w:rPr>
        <w:t>Mustapha</w:t>
      </w:r>
      <w:r>
        <w:rPr>
          <w:rFonts w:ascii="arial" w:eastAsia="arial" w:hAnsi="arial" w:cs="arial"/>
          <w:color w:val="000000"/>
          <w:sz w:val="20"/>
          <w:lang w:val="en-US" w:eastAsia="en-US" w:bidi="ar-SA"/>
        </w:rPr>
        <w:t xml:space="preserve"> test applies differently in these circumstances than in typical "nervous shock" cases. In those cases, the objectors say the psychological injury is caused by exposure to a shocking or frightening incident, as contrasted with a prolonged event, caused by a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While I have taken this argument into consideration, I find the position of the supporters of the proposed settlement more persuasive.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Although there is conflict in the evidence about the extent of possible psychological injuries suffered by some of the objectors, and whether or not such injuries could reach the required standard, it is arguable, and I think likely, based on Dr. Smith's evidence, that few, if any, of the objectors would have a compensable psychological injury from the recall of the valve. I think that is a reasonable conclusion based on the information I have reviewed as to the extent of the psychological claims advanced by potential class members.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However, if some class members do suffer from a provable recognized psychiatric disorder, the agreement provides some compensation when supported by a letter from a psychologist or psychiatrist, or from a family doctor that is supported by contemporaneous records.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It was strongly argued by the objectors that the individual amounts and the total amount of compensation were not within a range of reasonableness.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Even if a psychiatric disorder could be proven to be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 have concluded that, taking into account the cost and difficulty of establishing causation at individual trials, the authorities to which I have referred, the litigation risks and the delay should the parties not settle, the amounts, while probably at the lower end of the scale, are within a range of reasonableness. The increased medical risks associated with the valve, on the evidence, appear to be for a period of time that has now passed. That is a relevant consideration in determining whether this aspect of the settlement is reasonable.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As the settlement has a cap on the claims for psychological injury, it must be reasonable both in terms of the payments to individuals and the total amount. Given my conclusion that few of the class members are likely to meet the standard for recovery under </w:t>
      </w:r>
      <w:r>
        <w:rPr>
          <w:rFonts w:ascii="arial" w:eastAsia="arial" w:hAnsi="arial" w:cs="arial"/>
          <w:i/>
          <w:color w:val="000000"/>
          <w:sz w:val="20"/>
          <w:lang w:val="en-US" w:eastAsia="en-US" w:bidi="ar-SA"/>
        </w:rPr>
        <w:t>Mustapha</w:t>
      </w:r>
      <w:r>
        <w:rPr>
          <w:rFonts w:ascii="arial" w:eastAsia="arial" w:hAnsi="arial" w:cs="arial"/>
          <w:color w:val="000000"/>
          <w:sz w:val="20"/>
          <w:lang w:val="en-US" w:eastAsia="en-US" w:bidi="ar-SA"/>
        </w:rPr>
        <w:t>, I find that the total settlement amount is within a reasonable range. I find this conclusion, reached by counsel for the representative plaintiff, to be a reasonable one.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Earlier in these reasons, I expressed concern about the process leading to the proposed settlement. However, the fact that the objectors were ignored in the process leading up to the mediation was more a result of the representative plaintiff's counsel's assessment, however misguided, that the involvement of the objectors would thwart a potential settlement.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 am satisfied, particularly after hearing Mr. Baxter's submission, that counsel of sufficient experience and ability has conducted sufficient investigations, and that there was no collusion, and there were no extraneous considerations. It is the view of the representative plaintiff's counsel that, on a litigation risk basis, the claims were not worth pursuing and could not be pursued separately, and that the settlement was in the best interests of the class. I think that on a cost/benefit analysis, the plaintiffs are well-served by accepting the settlement.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context of this litigation is important. It has gone on for many years. Although an argument to await the outcome in Ontario has been advanced, that may not be particularly realistic in providing a resolution for the proposed members of the British Columbia class in the reasonably near future.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 recognize that there are some members of the proposed class who are dissatisfied with this settlement. I appreciate the process by which it was achieved was not perfect. Nevertheless, it is practical, appears to be cost-effective, and after considering the authorities to which I have been referred, I consider the settlement to be well conceived.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To summarize, taking into consideration factors such as litigation risk, the difficulty of proving a compensable psychological injury, the possible quantum if causation is proved, and the issues concerning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causation, my assessment is that the settlement, notwithstanding the cap on quantum, is within a zone of reasonableness. The terms of this settlement as a whole are fair and reasonable, in the best interests of the class members as a whole, and should be approved.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In my previous reasons, I found that the test for certification had been met.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J.S. SIGURDSON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5" style="position:absolute;z-index:25187020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70"/>
          <w:headerReference w:type="default" r:id="rId471"/>
          <w:footerReference w:type="even" r:id="rId472"/>
          <w:footerReference w:type="default" r:id="rId473"/>
          <w:headerReference w:type="first" r:id="rId474"/>
          <w:footerReference w:type="first" r:id="rId47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76" w:history="1">
        <w:r>
          <w:rPr>
            <w:rFonts w:ascii="arial" w:eastAsia="arial" w:hAnsi="arial" w:cs="arial"/>
            <w:b/>
            <w:bCs/>
            <w:i/>
            <w:color w:val="0077CC"/>
            <w:kern w:val="32"/>
            <w:sz w:val="28"/>
            <w:szCs w:val="32"/>
            <w:u w:val="single"/>
            <w:shd w:val="clear" w:color="auto" w:fill="FFFFFF"/>
            <w:lang w:val="en-US" w:eastAsia="en-US" w:bidi="ar-SA"/>
          </w:rPr>
          <w:t>College of New Caledonia v. Kraft Construction Co., [2007] B.C.J. No. 2065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Prince George,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Parrett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5 - 7,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21,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Prince George Registry No. 20823/03</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[2007] B.C.J. No. 2065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BCSC 1408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63 C.L.R. (3d) 197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161 A.C.W.S. (3d) 733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CarswellBC 2272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College of New Caledonia, Plaintiff, and Kraft Construction Company Ltd., Kalwall Corporation, Keith Panel Systems Co. Ltd., Thermal Systems KWC Ltd., and Alan R. Greenwell and David J. Bryan, carrying on business as Greenwell &amp; Bryan Architects, and the said Alan R. Greenwell and David J. Bryan, Defendants, and Alan R. Greenwell and David J. Bryan, carrying on business as Greenwell &amp; Bryan Architects, and the said Alan R. Greenwell and David J. Bryan, and Kraft Construction Company Ltd.,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(95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06" style="position:absolute;z-index:2516756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11" w:name="Keywords_16"/>
      <w:bookmarkEnd w:id="111"/>
      <w:r>
        <w:rPr>
          <w:rFonts w:ascii="arial" w:eastAsia="arial" w:hAnsi="arial" w:cs="arial"/>
          <w:b/>
          <w:color w:val="000000"/>
          <w:sz w:val="20"/>
          <w:lang w:val="en-US" w:eastAsia="en-US" w:bidi="ar-SA"/>
        </w:rPr>
        <w:t>Civil procedure — Parties — Third party procedure — Striking out or setting aside — Application by defendant architects for summary dismissal of action and third party claim against them — Plaintiff alleged roofing system failed and caused water damage — Subcontractor who installed roof system commenced third party claim against architects — HELD: Application allowed — Limitation period provided for in consulting agreement applied and expired prior to commencement of present action — As architects not liable to college, third party claim against architects could not be maintained.</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Contracts — Formation — Express terms — Application by defendant architects for summary dismissal of action and third party claim against them — Plaintiff alleged roofing system failed and caused water damage — Subcontractor who installed roof system commenced third party claim against architects — HELD: Application allowed — Limitation period provided for in consulting agreement applied and expired prior to commencement of present action.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12" w:name="Case Summary_16"/>
            <w:bookmarkEnd w:id="11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defendant architects for summary dismissal of action and third party claim against them -- Action arose out of construction and renovation of college -- Project included installation of atrium roof -- Plaintiff alleged roofing system failed and caused water damage -- Architects argued that date of substantial performance of project was August 15, 1997 and the claims against them ceased to exist on sixth anniversary of that date as provided for in consulting agreement between parties -- College first commenced action prior to sixth anniversary that did not include architects -- College commenced action against architects after sixth anniversary -- Leaks in roof detected in 1997 -- Subcontractor who installed roof system commenced third party claim against architects -- HELD: Application allowed -- Limitation period provided for in consulting agreement applied to both tort and contract claims against architects -- College not an unsophisticated litigant who was caught up in a form of contract they had no option to sign and no experience in form of agreement -- Prior to sixth anniversary, college knew of its potential claim against architects and had decided to pursue them -- College's claims against architects arose out of architects' duties and responsibilities pursuant to consulting contract -- Pursuant to limitation clause and certificate of substantial performance, architects' liability for such claims ceased to exist before lawsuit commenced -- No evidence that architects committed fundamental breach -- As architects not liable to college, third party claim against architects could not be maintained -- No independent claim established and no prejudice flowing from absence of architects as parties.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13" w:name="Counsel_16"/>
      <w:bookmarkEnd w:id="11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07" style="position:absolute;z-index:2517268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R.J. Stewart, Q.C..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Keith Panel Systems Co. Ltd.: W.A. Baker.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and third parties Alan R. Greenwell, David J. Bryan, and Greenwell &amp; Bryan Architects: D.A. Brindle, Q.C. and S.W. Lesiuk.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third party Kraft Construction Company Ltd.: T.R. Darby.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14" w:name="Judgment_16"/>
      <w:bookmarkEnd w:id="114"/>
      <w:r>
        <w:pict>
          <v:line id="_x0000_s1108" style="position:absolute;z-index:251778048"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Corrigendum was released by the Court September 24, 2007; the correction has been made to the text and the Corrigendum is appended to this document.]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0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15" w:name="PARRETT J."/>
            <w:bookmarkEnd w:id="115"/>
            <w:r>
              <w:rPr>
                <w:rFonts w:ascii="arial" w:eastAsia="arial" w:hAnsi="arial" w:cs="arial"/>
                <w:b/>
                <w:color w:val="000000"/>
                <w:sz w:val="30"/>
                <w:lang w:val="en-US" w:eastAsia="en-US" w:bidi="ar-SA"/>
              </w:rPr>
              <w:t>PARRETT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the present application the defendants Alan R. Greenwell and David J. Bryan carrying on business as Greenwell &amp; Bryan Architects, and the said Alan R. Greenwell and David J. Bryan ("the Architects") seek an order under Rules 18, 18A and 19(24) of the Rules of Court that this action and the third party proceedings brought in it be dismissed as against them with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present action arises out of a construction and renovation project at the Prince George Campus of the College of New Caledonia ("the College").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project included the installation of an atrium roof as a component of the project and included within that was a roofing system known as the "Kalwall System". This project proceeded between 1995 and 1997. The present action seeks compensation for water damage caused by leaks arising from what the plaintiff alleges are failures of the Kalwall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parties to this litigation include the plaintiff College who is the owner of the improvement in question; the general contractor, Kraft Construction Company Ltd. ("Kraft Construction"); the Architects; Keith Panel Systems Co. Ltd. ("Keith Panel"), the subcontractor who installed the roof system; and Kalwall Corporation, the manufacturer of the roof system. In addition there are a series of third party notices that have been issued, some of which add additional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substance of the present application arises from the Architects' attempt to enforce the terms of a contract between themselves and the College.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summary, the Architects seek to have the claims against them dismissed on three separate grounds -</w:t>
      </w:r>
      <w:r>
        <w:rPr>
          <w:rFonts w:ascii="arial" w:eastAsia="arial" w:hAnsi="arial" w:cs="arial"/>
          <w:sz w:val="20"/>
          <w:lang w:val="en-US" w:eastAsia="en-US" w:bidi="ar-SA"/>
        </w:rPr>
        <w:cr/>
      </w:r>
    </w:p>
    <w:p>
      <w:pPr>
        <w:numPr>
          <w:numId w:val="1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under the terms of the contract between the Architects and the College all claims against them ceased to exist on August 15, 2003;</w:t>
      </w:r>
    </w:p>
    <w:p>
      <w:pPr>
        <w:numPr>
          <w:numId w:val="1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under the terms of the agreement the applicants say their liability is limited to available Professional Liability Insurance and, as a result of delay by the College in bringing this claim, no coverage is available to the Architects; and</w:t>
      </w:r>
    </w:p>
    <w:p>
      <w:pPr>
        <w:numPr>
          <w:numId w:val="1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procedurally the commencement of these proceedings against the Architects was fatally flawed.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HISTORY OF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Architects, on the present application, assert that the date of Substantial Performance of the project was August 15, 1997 and the claims against them ceased to exist on the sixth anniversary of that date, August 15,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Two days before the sixth anniversary, on August 13, 2003, the College commenced action in relation to this matter against Kalwall Corporation, Kraft Construction and Keith Panel. The Architects were not named as parties in that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present action was commenced by the filing of an endorsed writ of summons on December 24,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para. 9 of the endorsement, the plaintiff pleads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project was substantially completed on or about the 14th day of August 1997 and was certified to be totally performed in December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only claim advanced against the Architects in the writ of summons is found in para. 28(f) (the prayer for relief) which claims:</w:t>
      </w:r>
      <w:r>
        <w:rPr>
          <w:rFonts w:ascii="arial" w:eastAsia="arial" w:hAnsi="arial" w:cs="arial"/>
          <w:sz w:val="20"/>
          <w:lang w:val="en-US" w:eastAsia="en-US" w:bidi="ar-SA"/>
        </w:rPr>
        <w:cr/>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from the Defendant Bryan for negligent administration of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On November 25, 2004, just short of eleven months later, the plaintiff filed its statement of claim. In paras. 51 to 60, the plaintiff advances claims against the Architects under the general contract, alleges that they breached their obligations under their consulting contract with the College, and advances claims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failing to ensure the Kalwall product was installed correctly.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On March 6, 2006, the plaintiff amended its statement of claim advancing similar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the applicants' amended statement of defence, filed on May 23, 2006, two specific defences material to the present application are pled:</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action is contractually barred by virtue of clause 3.9.6 of the Consulting Contract, and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Architects have no liability because clause 3.9.1 provides that the Architects liability is limited to the amount of available insurance to cover the claims, and there is no insurance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CONSULTING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1994 the plaintiff College contacted the Architects with respect to a major addition and alterations to an existing building at its Prince George campus.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relationship between the two dated back to at least 1980 and included some 30 separate projects. More than 20 of those projects involved the execution between these two parties of a standard form AIBC client/architect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the present case, the College and the Architects entered into a consulting contract, dated June 7, 1994. The document was in the form of the Canadian Standard Form of Agreement between Client and Architects, 1989 Edition, Revised 1990.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agreement between the parties included the following provisions as Article 3.8.1: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Agreement represents the entire and integrated Agreement between the Client and the Architect and supersedes all prior negotiations, representations, or Agreements, either written or oral. This Agreement may be amended only by written instrument signed by both Client and Architect.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There is no written instrument by which these two parties amended the consulting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agreement also contained the following provisions: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31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1.5</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Contract Documents consist of the executed agreement between the Client and the contractor, the general conditions of the Contract, the plans, sketches, drawings, graphic representations, specifications and such other documents as are identified in the agreement and the general conditions as constituting part of the Contract Documents.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31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1.8</w:t>
            </w:r>
          </w:p>
        </w:tc>
        <w:tc>
          <w:tcPr>
            <w:tcW w:w="307"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Substantial Performance of the Work is as defined in the lien legislation applicable to the place of the project. If such legislation is not in force or does not contain such definition, Substantial Performance shall have been reached when the Work is ready for use or is being used for the purpose intended and is so certified by the Architect.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Work means the total construction and related services required by the Contract Documents.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 .</w:t>
      </w:r>
      <w:r>
        <w:rPr>
          <w:rFonts w:ascii="arial" w:eastAsia="arial" w:hAnsi="arial" w:cs="arial"/>
          <w:sz w:val="20"/>
          <w:lang w:val="en-US" w:eastAsia="en-US" w:bidi="ar-SA"/>
        </w:rPr>
        <w:cr/>
      </w:r>
    </w:p>
    <w:p>
      <w:pPr>
        <w:spacing w:before="120" w:line="260" w:lineRule="atLeast"/>
        <w:ind w:left="360"/>
        <w:rPr>
          <w:rFonts w:ascii="arial" w:eastAsia="arial" w:hAnsi="arial" w:cs="arial"/>
          <w:sz w:val="20"/>
          <w:lang w:val="en-US" w:eastAsia="en-US" w:bidi="ar-SA"/>
        </w:rPr>
      </w:pPr>
      <w:r>
        <w:rPr>
          <w:rFonts w:ascii="arial" w:eastAsia="arial" w:hAnsi="arial" w:cs="arial"/>
          <w:color w:val="000000"/>
          <w:sz w:val="20"/>
          <w:lang w:val="en-US" w:eastAsia="en-US" w:bidi="ar-SA"/>
        </w:rPr>
        <w:t>1.1.17 The Architect shall not:</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be responsible for the acts or omissions of the Contractor, Subcontractors or any other persons performing any of the Work, or for the failure of any of them to carry out the Work in accordance with the Contract Document.</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have control, charge or supervision of, nor responsibility for construction means, methods, techniques, sequences, or procedures or for safety precautions and programs in connection with the Work.</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31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2.1.24</w:t>
            </w:r>
          </w:p>
        </w:tc>
        <w:tc>
          <w:tcPr>
            <w:tcW w:w="307"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Architect shall determine the date of Substantial Performance and shall receive from the Contractor and forward to the Client for the Client's review the written warranties and related documents. The Architect shall determine the date when the Contract shall be deemed to be completed.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2.1.25</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extent of the duties, responsibilities and limitations of authority of the Architect as the Client's representative during construction shall not be modified or extended without written consent of the Client and the Architect.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31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2.3.6</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If the Client observes or otherwise becomes aware of any fault or defect in the project or any nonconformity with the requirements of the Contract, he shall immediately notify the Architect in writing.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31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3.7.1</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Client and the Architect, respectively bind themselves, their partners, successors, assigns and legal representatives to the other party to this Agreement and to the partners, successors, assigns, and legal representatives of such other party with respect to all covenants of this Agreement/Except as otherwise provided herein, neither the Client nor the Architect shall assign, sublet, or transfer an interest in this Agreement without the written consent of the other.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31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3.9.1</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 consideration of the premises and of provision of the services by the Architect to the Client under this agreement, the Client agrees that any and all claims which he has or hereafter may have against the Architect in any way arising out of or related to the Architect's duties and responsibilities pursuant to this agreement (hereinafter referred to in this Article 3.9 as "claims" or "claim"), whether such claims sound in contract or in tort, shall be limited to the amount of $250,000.00 each claim and $500,000.00 for all claims during each period of coverage as provided by the Architect's professional liability insurance or indemnity against errors and omissions in effect at the date of execution of this agreement, including the deductible portion thereof, and to the extent only that such insurance or indemnity is available to the Architect to satisfy such claims. The "Architect" in this paragraph includes officers, directors, architects, his employees, representatives and consultants.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31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3.9.6</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Architect's liability for all claims of the Client arising out of this agreement shall absolutely cease to exist after a period of six (6) years from the date of:</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Substantial Performance of the Work,</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suspension or abandonment of the project,</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termination of the Architect's services in this Agreement, or</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commencement of the limitation period for claims prescribed by any statute of the province or territory of the Place of the Work</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whichever shall first occur, and following the expiration of such period, the Client shall have no claim whatsoever against the Architect. The Architect's liability with respect to any claims arising out of this agreement shall be absolutely limited to direct damages arising out of the Architect's services rendered under this agreement, and the Architect shall bear no liability whatsoever for any consequential loss, injury or damage incurred by the Client, including but not limited to claims for loss of profits and loss of markets.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date of substantial performance is not in issue. The amended statement of claim, in para. 26, pleads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Certificate of Substantial Performance of the work on the project was issued by the Architect on August 15, 1997, pursuant to the Contract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This pleading was admitted by the Architects in para. 2 of their amended statement of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SEQUENCE OF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As set out above the certificate of substantial performance of the work was issued by the Architects on August 15,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College first informed the Architects that there was a water leak related to the atrium roof on December 29, 1997 and conveyed to them the College's request that the Architects report the leak to the subcontractor responsible for the atrium 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Efforts were made to evaluate and fix the problem to prevent further water leakage over a considerable period of time. In the spring of 2003 the College decided to commence a legal action against the Architects arising from services delivered under the Consulting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the College's response to interrogatories issued by the Architects, Penelope Fahlman, Vice President of Finance and Administration, responded in para. 25 of her affidavit that:</w:t>
      </w:r>
      <w:r>
        <w:rPr>
          <w:rFonts w:ascii="arial" w:eastAsia="arial" w:hAnsi="arial" w:cs="arial"/>
          <w:sz w:val="20"/>
          <w:lang w:val="en-US" w:eastAsia="en-US" w:bidi="ar-SA"/>
        </w:rPr>
        <w:cr/>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College of New Caledonia first contemplated making a claim against the manufacturer of the Kalwall products on or about July 22, 2002, and subsequently, in the Spring of 2003, determined that the claims of the College of New Caledonia ought to be made against the Architect, the General Contractor, the installer of the Kalwall product and Kalwall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a further interrogatory, the Architects posed the following question: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Was there anything that prevented the College from commencing its action against the Architect prior to August 15, 2003? If so, describe fully any and all reasons the College could not have commenced its action prior to August 15,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College responded with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College of New Caledonia was not aware of the potential physical and structural impact of the leaking Atrium roof until the Spring of 2003 and the full impact until after the remedial work had been performed to remove mould. The College of New Caledonia had relied on the professional obligations of the Architect to inform the College of New Caledonia about risks associated with the leaking roof and the potential for mould. No such advice was given. The affect of the leaks in the Atrium roof was latent and a progressive matter, evolving into a major problem and cost issue by Spring of 2003. </w:t>
      </w:r>
      <w:r>
        <w:rPr>
          <w:rFonts w:ascii="arial" w:eastAsia="arial" w:hAnsi="arial" w:cs="arial"/>
          <w:color w:val="000000"/>
          <w:sz w:val="20"/>
          <w:u w:val="single"/>
          <w:lang w:val="en-US" w:eastAsia="en-US" w:bidi="ar-SA"/>
        </w:rPr>
        <w:t>By the Spring of 2003 the College of New Caledonia formed the opinion that the Architect had not fulfilled its obligations under the Architect Agreement and the General Contract with respect to warranty work or deficiencies which were evident in the atrium roof, or with respect to advising the College of New Caledonia about the risks associated with mould</w:t>
      </w:r>
      <w:r>
        <w:rPr>
          <w:rFonts w:ascii="arial" w:eastAsia="arial" w:hAnsi="arial" w:cs="arial"/>
          <w:color w:val="000000"/>
          <w:sz w:val="20"/>
          <w:lang w:val="en-US" w:eastAsia="en-US" w:bidi="ar-SA"/>
        </w:rPr>
        <w:t xml:space="preserve">. The College of New Caledonia has relied on the Architect to deal with contractor and subcontractor issues associated with the leaks in the Atrium roof. By the Spring of 2003 it was clear to the College of New Caledonia that the services of the Architect had failed to ensure that the leaks were stopped and that leaks were continuing. Also, without assurances that leaking in the Atrium roof was permanently stopped, the College of New Caledonia concluded that expensive mould remediation may become a recurring aspect of the Atrium roof and associated building envelope. </w:t>
      </w:r>
      <w:r>
        <w:rPr>
          <w:rFonts w:ascii="arial" w:eastAsia="arial" w:hAnsi="arial" w:cs="arial"/>
          <w:color w:val="000000"/>
          <w:sz w:val="20"/>
          <w:u w:val="single"/>
          <w:lang w:val="en-US" w:eastAsia="en-US" w:bidi="ar-SA"/>
        </w:rPr>
        <w:t>By Spring of 2003 the College of New Caledonia had to consider the replacement of the Atrium roof as the only reasonable solution to end the ongoing leaking</w:t>
      </w:r>
      <w:r>
        <w:rPr>
          <w:rFonts w:ascii="arial" w:eastAsia="arial" w:hAnsi="arial" w:cs="arial"/>
          <w:color w:val="000000"/>
          <w:sz w:val="20"/>
          <w:lang w:val="en-US" w:eastAsia="en-US" w:bidi="ar-SA"/>
        </w:rPr>
        <w:t xml:space="preserve">. In the summer of 2003 the potential costs of replacement were not precisely known, but were believed to be significant. </w:t>
      </w:r>
      <w:r>
        <w:rPr>
          <w:rFonts w:ascii="arial" w:eastAsia="arial" w:hAnsi="arial" w:cs="arial"/>
          <w:color w:val="000000"/>
          <w:sz w:val="20"/>
          <w:u w:val="single"/>
          <w:lang w:val="en-US" w:eastAsia="en-US" w:bidi="ar-SA"/>
        </w:rPr>
        <w:t>In the Spring of 2003 the College of New Caledonia lost faith in the ability of the Architect to deal with the problems associated with the leaks in the Atrium roof</w:t>
      </w:r>
      <w:r>
        <w:rPr>
          <w:rFonts w:ascii="arial" w:eastAsia="arial" w:hAnsi="arial" w:cs="arial"/>
          <w:color w:val="000000"/>
          <w:sz w:val="20"/>
          <w:lang w:val="en-US" w:eastAsia="en-US" w:bidi="ar-SA"/>
        </w:rPr>
        <w:t>. Shortly after that point in time an action was commenced.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7946"/>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778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24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On August 13, 2003, two days before the sixth anniversary of the issuance of the Certificate of Substantial Performance, the College commenced action in this court by filing an endorsed writ of summons in action number 1911/03.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that action the College sought damages for "water damage including Toxic mould due to leaks associated with the Product [The Kalwall System] or the installation of the Product". The defendants named in that action were Kraft Construction Company Ltd., Kalwall Corporation and Keith Panel Systems Co. Ltd. The Architects were not named as defendants in that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More than four months later, and more than four months after the sixth anniversary of Substantial Completion, the College commenced the present action on December 24,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College, after commencing the action, had the writ of summons and statement of claim served on the Architects on November 30, 2004, more than eleven months after the action was commenced. Prior to the service of the pleadings the College did not advise or notify the Architects that they intended to hold the Architects responsible for the problems with the atrium roof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On December 3, 2004 the Architects notified their professional liability insurers of the claim. On January 17, 2005 the Architects professional liability insurers notified them that there was no insurance coverage available with respect to these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THIRD PARTY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There is no agreement or contract or indemnity agreement between Keith Panel and the Architects, or the other third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plaintiff opposes the relief sought on the basis that -</w:t>
      </w:r>
      <w:r>
        <w:rPr>
          <w:rFonts w:ascii="arial" w:eastAsia="arial" w:hAnsi="arial" w:cs="arial"/>
          <w:sz w:val="20"/>
          <w:lang w:val="en-US" w:eastAsia="en-US" w:bidi="ar-SA"/>
        </w:rPr>
        <w:cr/>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applicants drafted the General Contract;</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provision of services by the applicants to the College under the terms of the agreement did not end upon the date of Substantial Performance but continued thereafter in relation to the corrections of defects or deficiencies;</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the </w:t>
      </w:r>
      <w:r>
        <w:rPr>
          <w:rFonts w:ascii="arial" w:eastAsia="arial" w:hAnsi="arial" w:cs="arial"/>
          <w:b/>
          <w:i/>
          <w:color w:val="000000"/>
          <w:sz w:val="20"/>
          <w:lang w:val="en-US" w:eastAsia="en-US" w:bidi="ar-SA"/>
        </w:rPr>
        <w:t>Limitation Act</w:t>
      </w:r>
      <w:r>
        <w:rPr>
          <w:rFonts w:ascii="arial" w:eastAsia="arial" w:hAnsi="arial" w:cs="arial"/>
          <w:color w:val="000000"/>
          <w:sz w:val="20"/>
          <w:lang w:val="en-US" w:eastAsia="en-US" w:bidi="ar-SA"/>
        </w:rPr>
        <w:t xml:space="preserve"> applies then in the circumstances of this case the principal of "discoverability" results in a postponement of the running of the limitation period;</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exclusion clause in the agreement ought not to be enforced as</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a product of a standard form agreement without any significant negotiations;</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enforcement of the clause in this case would allow the Architects to escape liability even though it failed to provide the services it contracted to supply;</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was a case of fundamental breach where the Architects failure deprived the plaintiff of effectively the whole benefit they should have gained from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KEITH PANEL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Keith Panel opposes the relief sought on the basis that they are entitled to maintain their claim for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Architects and to have the degree of fault determined.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As Keith Panel puts it in their written submissions: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 an act has been done by a party acting on the express direction of another, and by virtue of that act the party causes injury to a third party, the party can claim indemnity against the person who directed the act to be completed.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Keith Panel also submits that the issues raised by the Architects are complex and inappropriate for determination on a summary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KRAFT CONSTRUCTION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Kraft Construction opposes the relief sought on the basis that -</w:t>
      </w:r>
      <w:r>
        <w:rPr>
          <w:rFonts w:ascii="arial" w:eastAsia="arial" w:hAnsi="arial" w:cs="arial"/>
          <w:sz w:val="20"/>
          <w:lang w:val="en-US" w:eastAsia="en-US" w:bidi="ar-SA"/>
        </w:rPr>
        <w:cr/>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expiration of a limitation period applicable to claims by a plaintiff against an immune concurrent tortfeasor will not relieve that immune tortfeasor of liability for contribution and indemnity to other concurrent tortfeasors;</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this principle should extend to a contractual limitation period;</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a claim for contribution should be allowed where the potential liability to the plaintiff, on the part of the immune tortfeasor, arose at the time the damages were sustained;</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alternative, the discretion of the court to grant declaratory relief is not restricted to those cases where a </w:t>
      </w:r>
      <w:r>
        <w:rPr>
          <w:rFonts w:ascii="arial" w:eastAsia="arial" w:hAnsi="arial" w:cs="arial"/>
          <w:i/>
          <w:color w:val="000000"/>
          <w:sz w:val="20"/>
          <w:lang w:val="en-US" w:eastAsia="en-US" w:bidi="ar-SA"/>
        </w:rPr>
        <w:t>lis</w:t>
      </w:r>
      <w:r>
        <w:rPr>
          <w:rFonts w:ascii="arial" w:eastAsia="arial" w:hAnsi="arial" w:cs="arial"/>
          <w:color w:val="000000"/>
          <w:sz w:val="20"/>
          <w:lang w:val="en-US" w:eastAsia="en-US" w:bidi="ar-SA"/>
        </w:rPr>
        <w:t xml:space="preserve"> exists between the parties, and the court should exercise its discretion to allow the respondent to seek an order declaring the Architects degree of fault; and</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any event, these issues are not suitable for summary determination.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Suitability for Summary Determination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As Groberman J. summarized in </w:t>
      </w:r>
      <w:r>
        <w:rPr>
          <w:rFonts w:ascii="arial" w:eastAsia="arial" w:hAnsi="arial" w:cs="arial"/>
          <w:b/>
          <w:i/>
          <w:color w:val="000000"/>
          <w:sz w:val="20"/>
          <w:lang w:val="en-US" w:eastAsia="en-US" w:bidi="ar-SA"/>
        </w:rPr>
        <w:t>Coast Foundation Society (1974) v. John Currie Architect Inc.</w:t>
      </w:r>
      <w:r>
        <w:rPr>
          <w:rFonts w:ascii="arial" w:eastAsia="arial" w:hAnsi="arial" w:cs="arial"/>
          <w:color w:val="000000"/>
          <w:sz w:val="20"/>
          <w:lang w:val="en-US" w:eastAsia="en-US" w:bidi="ar-SA"/>
        </w:rPr>
        <w:t xml:space="preserve">, </w:t>
      </w:r>
      <w:hyperlink r:id="rId477" w:history="1">
        <w:r>
          <w:rPr>
            <w:rFonts w:ascii="arial" w:eastAsia="arial" w:hAnsi="arial" w:cs="arial"/>
            <w:i/>
            <w:color w:val="0077CC"/>
            <w:sz w:val="20"/>
            <w:u w:val="single"/>
            <w:shd w:val="clear" w:color="auto" w:fill="FFFFFF"/>
            <w:lang w:val="en-US" w:eastAsia="en-US" w:bidi="ar-SA"/>
          </w:rPr>
          <w:t>[2003] B.C.J. No. 2749</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 A summary trial can serve as an efficient manner of disposing of issues or claims in appropriate circumstances. Where the court has the entire claim before it on a summary trial application, it will generally endeavour to grant judgment unless credibility issues preclude the fair adjudication of matters on affidavit evidence. There are, of course, exceptions. Discoveries, for example, may not have progressed to the point where the court is satisfied that each side has had an opportunity to uncover all of the evidence that might be important to its case. In such a case, it might be unjust to grant judgment: </w:t>
      </w:r>
      <w:r>
        <w:rPr>
          <w:rFonts w:ascii="arial" w:eastAsia="arial" w:hAnsi="arial" w:cs="arial"/>
          <w:i/>
          <w:color w:val="000000"/>
          <w:sz w:val="20"/>
          <w:lang w:val="en-US" w:eastAsia="en-US" w:bidi="ar-SA"/>
        </w:rPr>
        <w:t>Bank of British Columbia v. Anglo-American Cedar Products Ltd</w:t>
      </w:r>
      <w:r>
        <w:rPr>
          <w:rFonts w:ascii="arial" w:eastAsia="arial" w:hAnsi="arial" w:cs="arial"/>
          <w:color w:val="000000"/>
          <w:sz w:val="20"/>
          <w:lang w:val="en-US" w:eastAsia="en-US" w:bidi="ar-SA"/>
        </w:rPr>
        <w:t xml:space="preserve"> </w:t>
      </w:r>
      <w:hyperlink r:id="rId478" w:history="1">
        <w:r>
          <w:rPr>
            <w:rFonts w:ascii="arial" w:eastAsia="arial" w:hAnsi="arial" w:cs="arial"/>
            <w:i/>
            <w:color w:val="0077CC"/>
            <w:sz w:val="20"/>
            <w:u w:val="single"/>
            <w:shd w:val="clear" w:color="auto" w:fill="FFFFFF"/>
            <w:lang w:val="en-US" w:eastAsia="en-US" w:bidi="ar-SA"/>
          </w:rPr>
          <w:t>(1984), 57 B.C.L.R. 350</w:t>
        </w:r>
      </w:hyperlink>
      <w:r>
        <w:rPr>
          <w:rFonts w:ascii="arial" w:eastAsia="arial" w:hAnsi="arial" w:cs="arial"/>
          <w:color w:val="000000"/>
          <w:sz w:val="20"/>
          <w:lang w:val="en-US" w:eastAsia="en-US" w:bidi="ar-SA"/>
        </w:rPr>
        <w:t xml:space="preserve"> (S.C.). The court will also decline to grant judgment where the complexity of the issues is such that the court is unable to absorb all of the evidence and legal argument in the compressed time available within the Rule 18A procedure: </w:t>
      </w:r>
      <w:r>
        <w:rPr>
          <w:rFonts w:ascii="arial" w:eastAsia="arial" w:hAnsi="arial" w:cs="arial"/>
          <w:i/>
          <w:color w:val="000000"/>
          <w:sz w:val="20"/>
          <w:lang w:val="en-US" w:eastAsia="en-US" w:bidi="ar-SA"/>
        </w:rPr>
        <w:t>Chen v. Chen</w:t>
      </w:r>
      <w:r>
        <w:rPr>
          <w:rFonts w:ascii="arial" w:eastAsia="arial" w:hAnsi="arial" w:cs="arial"/>
          <w:color w:val="000000"/>
          <w:sz w:val="20"/>
          <w:lang w:val="en-US" w:eastAsia="en-US" w:bidi="ar-SA"/>
        </w:rPr>
        <w:t xml:space="preserve">, </w:t>
      </w:r>
      <w:hyperlink r:id="rId479" w:history="1">
        <w:r>
          <w:rPr>
            <w:rFonts w:ascii="arial" w:eastAsia="arial" w:hAnsi="arial" w:cs="arial"/>
            <w:i/>
            <w:color w:val="0077CC"/>
            <w:sz w:val="20"/>
            <w:u w:val="single"/>
            <w:shd w:val="clear" w:color="auto" w:fill="FFFFFF"/>
            <w:lang w:val="en-US" w:eastAsia="en-US" w:bidi="ar-SA"/>
          </w:rPr>
          <w:t>2002 BCSC 906</w:t>
        </w:r>
      </w:hyperlink>
      <w:r>
        <w:rPr>
          <w:rFonts w:ascii="arial" w:eastAsia="arial" w:hAnsi="arial" w:cs="arial"/>
          <w:color w:val="000000"/>
          <w:sz w:val="20"/>
          <w:lang w:val="en-US" w:eastAsia="en-US" w:bidi="ar-SA"/>
        </w:rPr>
        <w:t xml:space="preserve">, </w:t>
      </w:r>
      <w:hyperlink r:id="rId479" w:history="1">
        <w:r>
          <w:rPr>
            <w:rFonts w:ascii="arial" w:eastAsia="arial" w:hAnsi="arial" w:cs="arial"/>
            <w:i/>
            <w:color w:val="0077CC"/>
            <w:sz w:val="20"/>
            <w:u w:val="single"/>
            <w:shd w:val="clear" w:color="auto" w:fill="FFFFFF"/>
            <w:lang w:val="en-US" w:eastAsia="en-US" w:bidi="ar-SA"/>
          </w:rPr>
          <w:t>22 C.P.C. (5th) 73</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 The question of when the court ought to give judgment on an issue, as opposed to on the claim generally, is more complex. The court is justifiably reluctant to decide cases in a piecemeal fashion. In addition to all of the concerns that arise when the entire claim is before the court, there is a multitude of others. The result is that the court must exercise considerable caution before coming to the conclusion that it should grant judgment on an issue in a summary trial.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 Where a Rule 18A application requires determination of a difficult issue of law that might not need to be resolved in order to decide the claim at trial, for example, the court may conclude that the appropriate development of the common law demands restraint: </w:t>
      </w:r>
      <w:r>
        <w:rPr>
          <w:rFonts w:ascii="arial" w:eastAsia="arial" w:hAnsi="arial" w:cs="arial"/>
          <w:i/>
          <w:color w:val="000000"/>
          <w:sz w:val="20"/>
          <w:lang w:val="en-US" w:eastAsia="en-US" w:bidi="ar-SA"/>
        </w:rPr>
        <w:t>Bacchus Agents (1981) Lltd. v. Phillipe Dandurand Wines Ltd.</w:t>
      </w:r>
      <w:r>
        <w:rPr>
          <w:rFonts w:ascii="arial" w:eastAsia="arial" w:hAnsi="arial" w:cs="arial"/>
          <w:color w:val="000000"/>
          <w:sz w:val="20"/>
          <w:lang w:val="en-US" w:eastAsia="en-US" w:bidi="ar-SA"/>
        </w:rPr>
        <w:t xml:space="preserve">, </w:t>
      </w:r>
      <w:hyperlink r:id="rId480" w:history="1">
        <w:r>
          <w:rPr>
            <w:rFonts w:ascii="arial" w:eastAsia="arial" w:hAnsi="arial" w:cs="arial"/>
            <w:i/>
            <w:color w:val="0077CC"/>
            <w:sz w:val="20"/>
            <w:u w:val="single"/>
            <w:shd w:val="clear" w:color="auto" w:fill="FFFFFF"/>
            <w:lang w:val="en-US" w:eastAsia="en-US" w:bidi="ar-SA"/>
          </w:rPr>
          <w:t>2002 BCCA 138</w:t>
        </w:r>
      </w:hyperlink>
      <w:r>
        <w:rPr>
          <w:rFonts w:ascii="arial" w:eastAsia="arial" w:hAnsi="arial" w:cs="arial"/>
          <w:color w:val="000000"/>
          <w:sz w:val="20"/>
          <w:lang w:val="en-US" w:eastAsia="en-US" w:bidi="ar-SA"/>
        </w:rPr>
        <w:t xml:space="preserve">, </w:t>
      </w:r>
      <w:hyperlink r:id="rId480" w:history="1">
        <w:r>
          <w:rPr>
            <w:rFonts w:ascii="arial" w:eastAsia="arial" w:hAnsi="arial" w:cs="arial"/>
            <w:i/>
            <w:color w:val="0077CC"/>
            <w:sz w:val="20"/>
            <w:u w:val="single"/>
            <w:shd w:val="clear" w:color="auto" w:fill="FFFFFF"/>
            <w:lang w:val="en-US" w:eastAsia="en-US" w:bidi="ar-SA"/>
          </w:rPr>
          <w:t>164 B.C.A.C. 300</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 The court must also be wary of making determinations on particular issues on a Rule 18A application when those issues are inexorably intertwined with other issues that are to be left for determination at trial: </w:t>
      </w:r>
      <w:r>
        <w:rPr>
          <w:rFonts w:ascii="arial" w:eastAsia="arial" w:hAnsi="arial" w:cs="arial"/>
          <w:i/>
          <w:color w:val="000000"/>
          <w:sz w:val="20"/>
          <w:lang w:val="en-US" w:eastAsia="en-US" w:bidi="ar-SA"/>
        </w:rPr>
        <w:t>Prevost v. Vetter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2002 BCCA 202</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210 D.L.R. (4th) 649</w:t>
      </w:r>
      <w:r>
        <w:rPr>
          <w:rFonts w:ascii="arial" w:eastAsia="arial" w:hAnsi="arial" w:cs="arial"/>
          <w:color w:val="000000"/>
          <w:sz w:val="20"/>
          <w:lang w:val="en-US" w:eastAsia="en-US" w:bidi="ar-SA"/>
        </w:rPr>
        <w:t xml:space="preserve">; inter-relatedness of issues is not always obvious, and caution is necessary whenever a party seeks judgment on an issue as opposed to judgment generally under Rule 18A: </w:t>
      </w:r>
      <w:r>
        <w:rPr>
          <w:rFonts w:ascii="arial" w:eastAsia="arial" w:hAnsi="arial" w:cs="arial"/>
          <w:i/>
          <w:color w:val="000000"/>
          <w:sz w:val="20"/>
          <w:lang w:val="en-US" w:eastAsia="en-US" w:bidi="ar-SA"/>
        </w:rPr>
        <w:t>B.M.P. Global et al v. Bank of Nova Scotia</w:t>
      </w:r>
      <w:r>
        <w:rPr>
          <w:rFonts w:ascii="arial" w:eastAsia="arial" w:hAnsi="arial" w:cs="arial"/>
          <w:color w:val="000000"/>
          <w:sz w:val="20"/>
          <w:lang w:val="en-US" w:eastAsia="en-US" w:bidi="ar-SA"/>
        </w:rPr>
        <w:t xml:space="preserve">, </w:t>
      </w:r>
      <w:hyperlink r:id="rId481" w:history="1">
        <w:r>
          <w:rPr>
            <w:rFonts w:ascii="arial" w:eastAsia="arial" w:hAnsi="arial" w:cs="arial"/>
            <w:i/>
            <w:color w:val="0077CC"/>
            <w:sz w:val="20"/>
            <w:u w:val="single"/>
            <w:shd w:val="clear" w:color="auto" w:fill="FFFFFF"/>
            <w:lang w:val="en-US" w:eastAsia="en-US" w:bidi="ar-SA"/>
          </w:rPr>
          <w:t>2003 BCCA 534</w:t>
        </w:r>
      </w:hyperlink>
      <w:r>
        <w:rPr>
          <w:rFonts w:ascii="arial" w:eastAsia="arial" w:hAnsi="arial" w:cs="arial"/>
          <w:color w:val="000000"/>
          <w:sz w:val="20"/>
          <w:lang w:val="en-US" w:eastAsia="en-US" w:bidi="ar-SA"/>
        </w:rPr>
        <w:t xml:space="preserve">, </w:t>
      </w:r>
      <w:hyperlink r:id="rId481" w:history="1">
        <w:r>
          <w:rPr>
            <w:rFonts w:ascii="arial" w:eastAsia="arial" w:hAnsi="arial" w:cs="arial"/>
            <w:i/>
            <w:color w:val="0077CC"/>
            <w:sz w:val="20"/>
            <w:u w:val="single"/>
            <w:shd w:val="clear" w:color="auto" w:fill="FFFFFF"/>
            <w:lang w:val="en-US" w:eastAsia="en-US" w:bidi="ar-SA"/>
          </w:rPr>
          <w:t>[2003] B.C.J. No. 2383</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16 It must be borne in mind that the primary purpose of Rule 18A is the efficient resolution of disputes. Where the court does not consider that the determination of an issue under Rule 18A will assist in the efficient resolution of the dispute, it ought not to make the determination.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Groberman J. went on to describe two distinct aspects to be considered in gauging efficiency in the summary trial process - (a) the allocation of court resources and (b) the efficiency of a partial determination within the context of the litigation itself. As he observes at para. 17: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Piecemeal decision-making is rarely an efficient manner in which to resolve a dispute. It raises the possibility of multiple appeals on individual issues, and this will generally impede rather than hasten the orderly determination of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Despite the existence of these justifiable concerns, and a trial list which has become much more manageable than it was in earlier years, there remains a place for the summary trial process to assist in meeting the stated goal of efficiently resolving disputes or aspects of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Board of School Trustees et al v. Killick Metz Bowen Rose Architects and Planners et al</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Killick Metz</w:t>
      </w:r>
      <w:r>
        <w:rPr>
          <w:rFonts w:ascii="arial" w:eastAsia="arial" w:hAnsi="arial" w:cs="arial"/>
          <w:color w:val="000000"/>
          <w:sz w:val="20"/>
          <w:lang w:val="en-US" w:eastAsia="en-US" w:bidi="ar-SA"/>
        </w:rPr>
        <w:t xml:space="preserve">"), </w:t>
      </w:r>
      <w:hyperlink r:id="rId482" w:history="1">
        <w:r>
          <w:rPr>
            <w:rFonts w:ascii="arial" w:eastAsia="arial" w:hAnsi="arial" w:cs="arial"/>
            <w:i/>
            <w:color w:val="0077CC"/>
            <w:sz w:val="20"/>
            <w:u w:val="single"/>
            <w:shd w:val="clear" w:color="auto" w:fill="FFFFFF"/>
            <w:lang w:val="en-US" w:eastAsia="en-US" w:bidi="ar-SA"/>
          </w:rPr>
          <w:t>2007 BCSC 28</w:t>
        </w:r>
      </w:hyperlink>
      <w:r>
        <w:rPr>
          <w:rFonts w:ascii="arial" w:eastAsia="arial" w:hAnsi="arial" w:cs="arial"/>
          <w:color w:val="000000"/>
          <w:sz w:val="20"/>
          <w:lang w:val="en-US" w:eastAsia="en-US" w:bidi="ar-SA"/>
        </w:rPr>
        <w:t>, Gray J. had before her a somewhat similar set of circumstances involving similar claims against an architect. She determined that the matter was suitable for determination under a summary trial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A similar conclusion was reached by Burnyeat J. in </w:t>
      </w:r>
      <w:r>
        <w:rPr>
          <w:rFonts w:ascii="arial" w:eastAsia="arial" w:hAnsi="arial" w:cs="arial"/>
          <w:b/>
          <w:i/>
          <w:color w:val="000000"/>
          <w:sz w:val="20"/>
          <w:lang w:val="en-US" w:eastAsia="en-US" w:bidi="ar-SA"/>
        </w:rPr>
        <w:t>British Columbia (Workers Compensation Board) v. Neale Staniszkis Doll Adams Architects</w:t>
      </w:r>
      <w:r>
        <w:rPr>
          <w:rFonts w:ascii="arial" w:eastAsia="arial" w:hAnsi="arial" w:cs="arial"/>
          <w:color w:val="000000"/>
          <w:sz w:val="20"/>
          <w:lang w:val="en-US" w:eastAsia="en-US" w:bidi="ar-SA"/>
        </w:rPr>
        <w:t xml:space="preserve">, </w:t>
      </w:r>
      <w:hyperlink r:id="rId483" w:history="1">
        <w:r>
          <w:rPr>
            <w:rFonts w:ascii="arial" w:eastAsia="arial" w:hAnsi="arial" w:cs="arial"/>
            <w:i/>
            <w:color w:val="0077CC"/>
            <w:sz w:val="20"/>
            <w:u w:val="single"/>
            <w:shd w:val="clear" w:color="auto" w:fill="FFFFFF"/>
            <w:lang w:val="en-US" w:eastAsia="en-US" w:bidi="ar-SA"/>
          </w:rPr>
          <w:t>[2004] B.C.J. No. 2636</w:t>
        </w:r>
      </w:hyperlink>
      <w:r>
        <w:rPr>
          <w:rFonts w:ascii="arial" w:eastAsia="arial" w:hAnsi="arial" w:cs="arial"/>
          <w:color w:val="000000"/>
          <w:sz w:val="20"/>
          <w:lang w:val="en-US" w:eastAsia="en-US" w:bidi="ar-SA"/>
        </w:rPr>
        <w:t>. In this case, however, all parties were in agreement that the case was suitable for determination under R. 18A.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the present case the issues are indeed complex; and the determination of the limitation issue may not end the role of the Architects in this proceeding, but, it may well bring clarity to how that continued participation may affect the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my view, a determination of this issue is likely to assist in clarifying the remaining issues and as a result reduce the trial time necessary. As Gray J. observed at para. 55 of her decision: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While the trial may still address the question of the Architect's responsibility, if any, in order to allocate fault among tortfeasors, if the Architect ceases to be a party, it would not have the right to examine witnesses or make argument. As a result, resolution of the issue may reduce the length of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Equally, clarification of the status of the Architects may assist in settlement of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Assessing the whole of the circumstances I am satisfied that it would be just and convenient to determine the questions arising from the contractual time limitation on a summary trial and given the material before the court I am in a position to make the necessary findings. This is particularly so when the language under consideration has already been considered in previous 18A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CONSULTING CONTRACT PROVISIONS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Architects in the present application submit that clauses 3.9.1 and 3.9.6 provide a complete defence to the present action and the third party proceedings taken against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Clause 3.9.6 was considered at length by Gray J. in </w:t>
      </w:r>
      <w:r>
        <w:rPr>
          <w:rFonts w:ascii="arial" w:eastAsia="arial" w:hAnsi="arial" w:cs="arial"/>
          <w:b/>
          <w:i/>
          <w:color w:val="000000"/>
          <w:sz w:val="20"/>
          <w:lang w:val="en-US" w:eastAsia="en-US" w:bidi="ar-SA"/>
        </w:rPr>
        <w:t>Killick Metz</w:t>
      </w:r>
      <w:r>
        <w:rPr>
          <w:rFonts w:ascii="arial" w:eastAsia="arial" w:hAnsi="arial" w:cs="arial"/>
          <w:color w:val="000000"/>
          <w:sz w:val="20"/>
          <w:lang w:val="en-US" w:eastAsia="en-US" w:bidi="ar-SA"/>
        </w:rPr>
        <w:t xml:space="preserve"> at paras. 58-77. Her helpful analysis considers carefully the issue and the applicability of the "discoverability principle" argued on the present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 am in complete agreement with the analysis set forth and, in particular, the conclusions expressed in paras. 74-76 where she finds: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[74] In my opinion, the principle of discoverability ought to be considered in construing a contract. However, as distinct from construing statutes, the court must take into account the principle of primacy of private ordering and the fact that parties to a contract allocate certain risks between them. In this case, clause 3.9.3 provides that the Architect's liability to the School Board arising out of the contract "shall absolutely cease to exist" six years after the earlier of several dates. One of those dates requires application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which includes a principle of discoverability in the postponement terms of s. 6. However, the parties agreed that the Architect's liability would end earlier if the date which was six years following other events, including Substantial Performance of the Work, occurred first.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[75] The parties entered into a contract which required time to run from a fixed event, being Substantial Performance, which clearly occurs without regard to the School Board's knowledge. In cases where the wording of a time limitation permits time to run for example from when the "damages were sustained", as in </w:t>
      </w:r>
      <w:r>
        <w:rPr>
          <w:rFonts w:ascii="arial" w:eastAsia="arial" w:hAnsi="arial" w:cs="arial"/>
          <w:i/>
          <w:color w:val="000000"/>
          <w:sz w:val="20"/>
          <w:lang w:val="en-US" w:eastAsia="en-US" w:bidi="ar-SA"/>
        </w:rPr>
        <w:t>Peixeiro v. Haberman</w:t>
      </w:r>
      <w:r>
        <w:rPr>
          <w:rFonts w:ascii="arial" w:eastAsia="arial" w:hAnsi="arial" w:cs="arial"/>
          <w:color w:val="000000"/>
          <w:sz w:val="20"/>
          <w:lang w:val="en-US" w:eastAsia="en-US" w:bidi="ar-SA"/>
        </w:rPr>
        <w:t xml:space="preserve">, </w:t>
      </w:r>
      <w:hyperlink r:id="rId484" w:history="1">
        <w:r>
          <w:rPr>
            <w:rFonts w:ascii="arial" w:eastAsia="arial" w:hAnsi="arial" w:cs="arial"/>
            <w:i/>
            <w:color w:val="0077CC"/>
            <w:sz w:val="20"/>
            <w:u w:val="single"/>
            <w:shd w:val="clear" w:color="auto" w:fill="FFFFFF"/>
            <w:lang w:val="en-US" w:eastAsia="en-US" w:bidi="ar-SA"/>
          </w:rPr>
          <w:t>[1997] 3 S.C.R. 549</w:t>
        </w:r>
      </w:hyperlink>
      <w:r>
        <w:rPr>
          <w:rFonts w:ascii="arial" w:eastAsia="arial" w:hAnsi="arial" w:cs="arial"/>
          <w:color w:val="000000"/>
          <w:sz w:val="20"/>
          <w:lang w:val="en-US" w:eastAsia="en-US" w:bidi="ar-SA"/>
        </w:rPr>
        <w:t xml:space="preserve">, </w:t>
      </w:r>
      <w:hyperlink r:id="rId484" w:history="1">
        <w:r>
          <w:rPr>
            <w:rFonts w:ascii="arial" w:eastAsia="arial" w:hAnsi="arial" w:cs="arial"/>
            <w:i/>
            <w:color w:val="0077CC"/>
            <w:sz w:val="20"/>
            <w:u w:val="single"/>
            <w:shd w:val="clear" w:color="auto" w:fill="FFFFFF"/>
            <w:lang w:val="en-US" w:eastAsia="en-US" w:bidi="ar-SA"/>
          </w:rPr>
          <w:t>151 D.L.R. (4th) 429</w:t>
        </w:r>
      </w:hyperlink>
      <w:r>
        <w:rPr>
          <w:rFonts w:ascii="arial" w:eastAsia="arial" w:hAnsi="arial" w:cs="arial"/>
          <w:color w:val="000000"/>
          <w:sz w:val="20"/>
          <w:lang w:val="en-US" w:eastAsia="en-US" w:bidi="ar-SA"/>
        </w:rPr>
        <w:t xml:space="preserve">, or after "the date on which the right to do so arose", as in </w:t>
      </w:r>
      <w:r>
        <w:rPr>
          <w:rFonts w:ascii="arial" w:eastAsia="arial" w:hAnsi="arial" w:cs="arial"/>
          <w:i/>
          <w:color w:val="000000"/>
          <w:sz w:val="20"/>
          <w:lang w:val="en-US" w:eastAsia="en-US" w:bidi="ar-SA"/>
        </w:rPr>
        <w:t>Nielsen v. Kamloops (City)</w:t>
      </w:r>
      <w:r>
        <w:rPr>
          <w:rFonts w:ascii="arial" w:eastAsia="arial" w:hAnsi="arial" w:cs="arial"/>
          <w:color w:val="000000"/>
          <w:sz w:val="20"/>
          <w:lang w:val="en-US" w:eastAsia="en-US" w:bidi="ar-SA"/>
        </w:rPr>
        <w:t xml:space="preserve">, </w:t>
      </w:r>
      <w:hyperlink r:id="rId244" w:history="1">
        <w:r>
          <w:rPr>
            <w:rFonts w:ascii="arial" w:eastAsia="arial" w:hAnsi="arial" w:cs="arial"/>
            <w:i/>
            <w:color w:val="0077CC"/>
            <w:sz w:val="20"/>
            <w:u w:val="single"/>
            <w:shd w:val="clear" w:color="auto" w:fill="FFFFFF"/>
            <w:lang w:val="en-US" w:eastAsia="en-US" w:bidi="ar-SA"/>
          </w:rPr>
          <w:t>[1984] 2 S.C.R. 2</w:t>
        </w:r>
      </w:hyperlink>
      <w:r>
        <w:rPr>
          <w:rFonts w:ascii="arial" w:eastAsia="arial" w:hAnsi="arial" w:cs="arial"/>
          <w:color w:val="000000"/>
          <w:sz w:val="20"/>
          <w:lang w:val="en-US" w:eastAsia="en-US" w:bidi="ar-SA"/>
        </w:rPr>
        <w:t xml:space="preserve">, </w:t>
      </w:r>
      <w:hyperlink r:id="rId244" w:history="1">
        <w:r>
          <w:rPr>
            <w:rFonts w:ascii="arial" w:eastAsia="arial" w:hAnsi="arial" w:cs="arial"/>
            <w:i/>
            <w:color w:val="0077CC"/>
            <w:sz w:val="20"/>
            <w:u w:val="single"/>
            <w:shd w:val="clear" w:color="auto" w:fill="FFFFFF"/>
            <w:lang w:val="en-US" w:eastAsia="en-US" w:bidi="ar-SA"/>
          </w:rPr>
          <w:t>10 D.L.R. (4th) 641</w:t>
        </w:r>
      </w:hyperlink>
      <w:r>
        <w:rPr>
          <w:rFonts w:ascii="arial" w:eastAsia="arial" w:hAnsi="arial" w:cs="arial"/>
          <w:color w:val="000000"/>
          <w:sz w:val="20"/>
          <w:lang w:val="en-US" w:eastAsia="en-US" w:bidi="ar-SA"/>
        </w:rPr>
        <w:t>, the court must consider if enough has occurred to cause "damage" or give rise to a cause of action. In contrast, the pivotal event in the Consulting contract is the date of Substantial Performance of the Work as set out in clauses 3.9.6 and 1.8.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[76] The reasons the parties would choose to enter into such a term are easy to understand. The parties allocated risks between them under the terms of the Consulting Contract, with each party agreeing to accept a particular risk. They could order their affairs accordingly, such as by securing appropriate insurance.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Killick Metz</w:t>
      </w:r>
      <w:r>
        <w:rPr>
          <w:rFonts w:ascii="arial" w:eastAsia="arial" w:hAnsi="arial" w:cs="arial"/>
          <w:color w:val="000000"/>
          <w:sz w:val="20"/>
          <w:lang w:val="en-US" w:eastAsia="en-US" w:bidi="ar-SA"/>
        </w:rPr>
        <w:t xml:space="preserve"> the form of contract was the 1987 edition whereas the present case involves the 1989 edition. The language of the two provisions is, for present purposes, indistinguishable, and the material facts are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THE CLAIMS IN </w:t>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The difficulty with claims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advanced by the College against the Architects is that specifically identified and canvassed by Gray J. in paras. 79-80 of her reasons in </w:t>
      </w:r>
      <w:r>
        <w:rPr>
          <w:rFonts w:ascii="arial" w:eastAsia="arial" w:hAnsi="arial" w:cs="arial"/>
          <w:b/>
          <w:i/>
          <w:color w:val="000000"/>
          <w:sz w:val="20"/>
          <w:lang w:val="en-US" w:eastAsia="en-US" w:bidi="ar-SA"/>
        </w:rPr>
        <w:t>Killick Metz</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The language of clauses 3.9.6 sets out a broad description of claims that, in my view, include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claims arising out of the Consulting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inclusion of specific language in clause 3.9.1 that reads "whether such claims sound in contract or tort" do not serve to limit the language of 3.9.6 which, I agree, is already broad enough to encompass both contractual and tort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Once again the court's findings in </w:t>
      </w:r>
      <w:r>
        <w:rPr>
          <w:rFonts w:ascii="arial" w:eastAsia="arial" w:hAnsi="arial" w:cs="arial"/>
          <w:b/>
          <w:i/>
          <w:color w:val="000000"/>
          <w:sz w:val="20"/>
          <w:lang w:val="en-US" w:eastAsia="en-US" w:bidi="ar-SA"/>
        </w:rPr>
        <w:t>Killick Metz</w:t>
      </w:r>
      <w:r>
        <w:rPr>
          <w:rFonts w:ascii="arial" w:eastAsia="arial" w:hAnsi="arial" w:cs="arial"/>
          <w:color w:val="000000"/>
          <w:sz w:val="20"/>
          <w:lang w:val="en-US" w:eastAsia="en-US" w:bidi="ar-SA"/>
        </w:rPr>
        <w:t xml:space="preserve"> at paras. 82-86 are determinative of this issue as between the College and the Architects.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In another decision of this court, </w:t>
      </w:r>
      <w:r>
        <w:rPr>
          <w:rFonts w:ascii="arial" w:eastAsia="arial" w:hAnsi="arial" w:cs="arial"/>
          <w:b/>
          <w:i/>
          <w:color w:val="000000"/>
          <w:sz w:val="20"/>
          <w:lang w:val="en-US" w:eastAsia="en-US" w:bidi="ar-SA"/>
        </w:rPr>
        <w:t>British Columbia (Workers Compensation Board) v. Neal Staniszkis Doll Adams Architects</w:t>
      </w:r>
      <w:r>
        <w:rPr>
          <w:rFonts w:ascii="arial" w:eastAsia="arial" w:hAnsi="arial" w:cs="arial"/>
          <w:i/>
          <w:color w:val="000000"/>
          <w:sz w:val="20"/>
          <w:lang w:val="en-US" w:eastAsia="en-US" w:bidi="ar-SA"/>
        </w:rPr>
        <w:t>, supra</w:t>
      </w:r>
      <w:r>
        <w:rPr>
          <w:rFonts w:ascii="arial" w:eastAsia="arial" w:hAnsi="arial" w:cs="arial"/>
          <w:color w:val="000000"/>
          <w:sz w:val="20"/>
          <w:lang w:val="en-US" w:eastAsia="en-US" w:bidi="ar-SA"/>
        </w:rPr>
        <w:t>, Burnyeat J. had for consideration the language of clause 3.9.1 of the Consulting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Burnyeat J. found, at para. 38, that "The clear intent of paragraph 3.9.1 as originally drafted was to limit the liability of N.S.D.A. to the limits set out in their own professional liability insurance policy". He went on at paras. 46-48 to find: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46 In its February 13, 1991 letter to W.C.B., N.S.D.A. advised that their coverage in effect was $1,000,000 per claim and $1,000,000 aggregate per annum. Accordingly, I find that the limitation of liability which was to apply is what was available to N.S.D.A. pursuant to its Encon professional liability policy. However, that was merely to set the upper limit of liability. If no insurance or indemnity is now available to N.S.D.A. pursuant to that professional liability insurance policy, then the liability of N.S.D.A. is limited to what is available.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47 I find that this was what was intended by the parties as the last part of paragraph 3.9.1 refers first to the professional liability insurance "in effect at the date of execution of this agreement" and then to the fact that these limitations would apply: ". . . to the extent only that such insurance or indemnity is available to the Architect to satisfy such claims." By that part of paragraph 3.9.1, the parties recognized that, even though there was professional liability insurance in place, that insurance would always limit liability to a certain amount "per claim" (being $1,000,000) and to the "aggregate [claims] per annum" ($1,000,000).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48 If, through the passage of time, there is no insurance available to N.S.D.A. as a result of the $1,000,000 "aggregate per annum", then the liability of both N.S.D.A. and Stantec is zero.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Similar conclusions emerge from the decision of Preston J. in </w:t>
      </w:r>
      <w:r>
        <w:rPr>
          <w:rFonts w:ascii="arial" w:eastAsia="arial" w:hAnsi="arial" w:cs="arial"/>
          <w:b/>
          <w:i/>
          <w:color w:val="000000"/>
          <w:sz w:val="20"/>
          <w:lang w:val="en-US" w:eastAsia="en-US" w:bidi="ar-SA"/>
        </w:rPr>
        <w:t>British Columbia v. R.B.O. Architecture Inc.</w:t>
      </w:r>
      <w:r>
        <w:rPr>
          <w:rFonts w:ascii="arial" w:eastAsia="arial" w:hAnsi="arial" w:cs="arial"/>
          <w:color w:val="000000"/>
          <w:sz w:val="20"/>
          <w:lang w:val="en-US" w:eastAsia="en-US" w:bidi="ar-SA"/>
        </w:rPr>
        <w:t xml:space="preserve">, </w:t>
      </w:r>
      <w:hyperlink r:id="rId485" w:history="1">
        <w:r>
          <w:rPr>
            <w:rFonts w:ascii="arial" w:eastAsia="arial" w:hAnsi="arial" w:cs="arial"/>
            <w:i/>
            <w:color w:val="0077CC"/>
            <w:sz w:val="20"/>
            <w:u w:val="single"/>
            <w:shd w:val="clear" w:color="auto" w:fill="FFFFFF"/>
            <w:lang w:val="en-US" w:eastAsia="en-US" w:bidi="ar-SA"/>
          </w:rPr>
          <w:t>[1995] B.C.J. No. 587</w:t>
        </w:r>
      </w:hyperlink>
      <w:r>
        <w:rPr>
          <w:rFonts w:ascii="arial" w:eastAsia="arial" w:hAnsi="arial" w:cs="arial"/>
          <w:color w:val="000000"/>
          <w:sz w:val="20"/>
          <w:lang w:val="en-US" w:eastAsia="en-US" w:bidi="ar-SA"/>
        </w:rPr>
        <w:t>. After referring to both Clauses 3.9.1 and 3.9.6, the court concludes at paras. 96-97: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96 The scheme created by the provisions of the contract to which I have referred </w:t>
      </w:r>
      <w:r>
        <w:rPr>
          <w:rFonts w:ascii="arial" w:eastAsia="arial" w:hAnsi="arial" w:cs="arial"/>
          <w:color w:val="000000"/>
          <w:sz w:val="20"/>
          <w:u w:val="single"/>
          <w:lang w:val="en-US" w:eastAsia="en-US" w:bidi="ar-SA"/>
        </w:rPr>
        <w:t>is obviously designed to limit the liability of the architect to the amounts for which he is insured and to limit the period for which he has to continue to insure</w:t>
      </w:r>
      <w:r>
        <w:rPr>
          <w:rFonts w:ascii="arial" w:eastAsia="arial" w:hAnsi="arial" w:cs="arial"/>
          <w:color w:val="000000"/>
          <w:sz w:val="20"/>
          <w:lang w:val="en-US" w:eastAsia="en-US" w:bidi="ar-SA"/>
        </w:rPr>
        <w:t xml:space="preserve">. The client (in this case the Co-operative) </w:t>
      </w:r>
      <w:r>
        <w:rPr>
          <w:rFonts w:ascii="arial" w:eastAsia="arial" w:hAnsi="arial" w:cs="arial"/>
          <w:color w:val="000000"/>
          <w:sz w:val="20"/>
          <w:u w:val="single"/>
          <w:lang w:val="en-US" w:eastAsia="en-US" w:bidi="ar-SA"/>
        </w:rPr>
        <w:t>is required promptly to notify the architect of the existence of matters which could give rise to claims under the policy. Although the provisions do not occur in a policy of insurance, they do occur in the context of an agreement relating to insurance. The interpretation of the terms used in the agreement must recognize that the word "claim" in the agreement should parallel the concept of "claim" as it is used in the law relating to insurance. Another interpretation would not accord with the commercial purpose of the agreement</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97 The interpretation of clause 3.9.1 must recognize as well the </w:t>
      </w:r>
      <w:r>
        <w:rPr>
          <w:rFonts w:ascii="arial" w:eastAsia="arial" w:hAnsi="arial" w:cs="arial"/>
          <w:color w:val="000000"/>
          <w:sz w:val="20"/>
          <w:u w:val="single"/>
          <w:lang w:val="en-US" w:eastAsia="en-US" w:bidi="ar-SA"/>
        </w:rPr>
        <w:t>practical considerations that arise from the duty cast on the Co-operative to notify promptly the architect of matters which could give rise to a claim by him on his insurance. The existence of that duty leads, as a practical matter, to broad rather than narrow expressions of "claims". That is reflected in the manner in which the claims are advanced in the statement of claim in this case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7946"/>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778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24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application of the principles established in these authorities leads inexorably to one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It is of little moment that the Architects' services continued after the date of substantial performance for that was clearly contemplated within the Consulting Contract. The determining factor is the fact that those services were delivered under the terms of that agreement, for there was no 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College is not an unsophisticated litigant who was caught up in a form of contract they had no option to sign and no experience in the form of agreement. The Architects and the College had a lengthy business relationship dating back nearly two decades during which the two were involved in some 30 separate construction projects, more than 20 of which used a similar form of standard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To allow the College to point to the form and genesis of this contract as a basis for relieving them of the contractual bargain they made is to reverse the submission they make and to allow the College to escape the terms of the very bargain they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It also completely ignores the fact that from 1997 on there were leaks in the atrium roof; that by the spring of 2003 it knew of its potential claim against the Architects and had decided to pursue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By August 13, 2003 the College was not only aware of the potential claim and resolved to pursue it, it had retained counsel and commenced action with respect to their losses, but not against the Architects.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This is the context in which they allowed August 15, 2003, the sixth anniversary of the Certificate of Substantial Performance, to pass.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In my view the College's claims against the Architects in this action arise out of or are related to the Architects' duties and responsibilities pursuant to the Consulting Contract. Pursuant to clause 3.9.6 and the Architects' Certificate of Substantial Performance of August 15, 1997, the Architects' liability for such claims ceased to exist before this lawsuit was commenced.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In addition, any recovery possible would be limited, in any event, under the terms of clause 3.9.1 to the professional liability insurance in effect, which, in this case, as a result of the College's delay, is zero.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FUNDAMENTAL BREACH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College asserts in opposition to the present application that there was here a fundamental breach.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This submission is made in the absence of any pleading advancing such a claim and in the absence of circumstances which could support such a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A fundamental breach occurs: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 . where the event resulting from the failure by one party to perform a primary obligation has the effect of depriving the other party of </w:t>
      </w:r>
      <w:r>
        <w:rPr>
          <w:rFonts w:ascii="arial" w:eastAsia="arial" w:hAnsi="arial" w:cs="arial"/>
          <w:color w:val="000000"/>
          <w:sz w:val="20"/>
          <w:u w:val="single"/>
          <w:lang w:val="en-US" w:eastAsia="en-US" w:bidi="ar-SA"/>
        </w:rPr>
        <w:t>substantially the whole benefit</w:t>
      </w:r>
      <w:r>
        <w:rPr>
          <w:rFonts w:ascii="arial" w:eastAsia="arial" w:hAnsi="arial" w:cs="arial"/>
          <w:color w:val="000000"/>
          <w:sz w:val="20"/>
          <w:lang w:val="en-US" w:eastAsia="en-US" w:bidi="ar-SA"/>
        </w:rPr>
        <w:t xml:space="preserve"> which it was the intention of the parties he should obtain from the contract".</w:t>
      </w:r>
      <w:bookmarkStart w:id="116" w:name="Backward_fnref_fnr-1"/>
      <w:hyperlink w:anchor="Forward_fnref_fnr-1" w:history="1">
        <w:r>
          <w:rPr>
            <w:rFonts w:ascii="arial" w:eastAsia="arial" w:hAnsi="arial" w:cs="arial"/>
            <w:b/>
            <w:color w:val="BE161D"/>
            <w:sz w:val="20"/>
            <w:shd w:val="clear" w:color="auto" w:fill="FFFFFF"/>
            <w:vertAlign w:val="superscript"/>
            <w:lang w:val="en-US" w:eastAsia="en-US" w:bidi="ar-SA"/>
          </w:rPr>
          <w:t>1</w:t>
        </w:r>
      </w:hyperlink>
      <w:bookmarkEnd w:id="116"/>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7946"/>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778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24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Even within the bounds of this formulation of the concept of fundamental breach, the facts here fall substantially short of establishing such a breach.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College was not deprived of substantially the whole benefit of the project and have, in fact, occupied and used the area for some 10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In my respectful view, the doctrine of fundamental breach has no application to the present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THIRD PARTY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Keith Panel effectively conceded in its submissions that if the applicant succeeded in establishing that the Architects had no liability to the College it was not entitled to maintain its third party proceedings against the Architects.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Keith Panel submits that any agreement between the Architects and the College to limit the Architects' exposure to claims by the College cannot extinguish the statutory right of contribution and indemnity under the </w:t>
      </w:r>
      <w:r>
        <w:rPr>
          <w:rFonts w:ascii="arial" w:eastAsia="arial" w:hAnsi="arial" w:cs="arial"/>
          <w:b/>
          <w:i/>
          <w:color w:val="000000"/>
          <w:sz w:val="20"/>
          <w:u w:val="single"/>
          <w:lang w:val="en-US" w:eastAsia="en-US" w:bidi="ar-SA"/>
        </w:rPr>
        <w:t>Negligence</w:t>
      </w:r>
      <w:r>
        <w:rPr>
          <w:rFonts w:ascii="arial" w:eastAsia="arial" w:hAnsi="arial" w:cs="arial"/>
          <w:b/>
          <w:i/>
          <w:color w:val="000000"/>
          <w:sz w:val="20"/>
          <w:lang w:val="en-US" w:eastAsia="en-US" w:bidi="ar-SA"/>
        </w:rPr>
        <w:t xml:space="preserve"> Act</w:t>
      </w:r>
      <w:r>
        <w:rPr>
          <w:rFonts w:ascii="arial" w:eastAsia="arial" w:hAnsi="arial" w:cs="arial"/>
          <w:color w:val="000000"/>
          <w:sz w:val="20"/>
          <w:lang w:val="en-US" w:eastAsia="en-US" w:bidi="ar-SA"/>
        </w:rPr>
        <w:t xml:space="preserve">. In support of this proposition, Keith Panel relies upon the decision of Chamberlist J. in </w:t>
      </w:r>
      <w:r>
        <w:rPr>
          <w:rFonts w:ascii="arial" w:eastAsia="arial" w:hAnsi="arial" w:cs="arial"/>
          <w:b/>
          <w:i/>
          <w:color w:val="000000"/>
          <w:sz w:val="20"/>
          <w:lang w:val="en-US" w:eastAsia="en-US" w:bidi="ar-SA"/>
        </w:rPr>
        <w:t>Prairie Hydraulics Equipment Ltd. v. Lakes District Maintenance Ltd.</w:t>
      </w:r>
      <w:r>
        <w:rPr>
          <w:rFonts w:ascii="arial" w:eastAsia="arial" w:hAnsi="arial" w:cs="arial"/>
          <w:color w:val="000000"/>
          <w:sz w:val="20"/>
          <w:lang w:val="en-US" w:eastAsia="en-US" w:bidi="ar-SA"/>
        </w:rPr>
        <w:t xml:space="preserve">, </w:t>
      </w:r>
      <w:hyperlink r:id="rId486" w:history="1">
        <w:r>
          <w:rPr>
            <w:rFonts w:ascii="arial" w:eastAsia="arial" w:hAnsi="arial" w:cs="arial"/>
            <w:i/>
            <w:color w:val="0077CC"/>
            <w:sz w:val="20"/>
            <w:u w:val="single"/>
            <w:shd w:val="clear" w:color="auto" w:fill="FFFFFF"/>
            <w:lang w:val="en-US" w:eastAsia="en-US" w:bidi="ar-SA"/>
          </w:rPr>
          <w:t>[2001] B.C.J. No. 1194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The decision in </w:t>
      </w:r>
      <w:r>
        <w:rPr>
          <w:rFonts w:ascii="arial" w:eastAsia="arial" w:hAnsi="arial" w:cs="arial"/>
          <w:b/>
          <w:i/>
          <w:color w:val="000000"/>
          <w:sz w:val="20"/>
          <w:lang w:val="en-US" w:eastAsia="en-US" w:bidi="ar-SA"/>
        </w:rPr>
        <w:t>Prairie Hydraulic</w:t>
      </w:r>
      <w:r>
        <w:rPr>
          <w:rFonts w:ascii="arial" w:eastAsia="arial" w:hAnsi="arial" w:cs="arial"/>
          <w:color w:val="000000"/>
          <w:sz w:val="20"/>
          <w:lang w:val="en-US" w:eastAsia="en-US" w:bidi="ar-SA"/>
        </w:rPr>
        <w:t xml:space="preserve"> considered a situation in which the plaintiff had settled a claim with the third party and it did not consider the Supreme Court of Canada's decision in </w:t>
      </w:r>
      <w:r>
        <w:rPr>
          <w:rFonts w:ascii="arial" w:eastAsia="arial" w:hAnsi="arial" w:cs="arial"/>
          <w:b/>
          <w:i/>
          <w:color w:val="000000"/>
          <w:sz w:val="20"/>
          <w:lang w:val="en-US" w:eastAsia="en-US" w:bidi="ar-SA"/>
        </w:rPr>
        <w:t>Giffels Associates Ltd. v. Eastern Construction Company</w:t>
      </w:r>
      <w:r>
        <w:rPr>
          <w:rFonts w:ascii="arial" w:eastAsia="arial" w:hAnsi="arial" w:cs="arial"/>
          <w:color w:val="000000"/>
          <w:sz w:val="20"/>
          <w:lang w:val="en-US" w:eastAsia="en-US" w:bidi="ar-SA"/>
        </w:rPr>
        <w:t xml:space="preserve">, </w:t>
      </w:r>
      <w:hyperlink r:id="rId487" w:history="1">
        <w:r>
          <w:rPr>
            <w:rFonts w:ascii="arial" w:eastAsia="arial" w:hAnsi="arial" w:cs="arial"/>
            <w:i/>
            <w:color w:val="0077CC"/>
            <w:sz w:val="20"/>
            <w:u w:val="single"/>
            <w:shd w:val="clear" w:color="auto" w:fill="FFFFFF"/>
            <w:lang w:val="en-US" w:eastAsia="en-US" w:bidi="ar-SA"/>
          </w:rPr>
          <w:t>[1978] 2 S.C.R. 1346</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Bow Valley Husky v. Saint John Shipbuilding</w:t>
      </w:r>
      <w:r>
        <w:rPr>
          <w:rFonts w:ascii="arial" w:eastAsia="arial" w:hAnsi="arial" w:cs="arial"/>
          <w:color w:val="000000"/>
          <w:sz w:val="20"/>
          <w:lang w:val="en-US" w:eastAsia="en-US" w:bidi="ar-SA"/>
        </w:rPr>
        <w:t xml:space="preserve">, </w:t>
      </w:r>
      <w:hyperlink r:id="rId488" w:history="1">
        <w:r>
          <w:rPr>
            <w:rFonts w:ascii="arial" w:eastAsia="arial" w:hAnsi="arial" w:cs="arial"/>
            <w:i/>
            <w:color w:val="0077CC"/>
            <w:sz w:val="20"/>
            <w:u w:val="single"/>
            <w:shd w:val="clear" w:color="auto" w:fill="FFFFFF"/>
            <w:lang w:val="en-US" w:eastAsia="en-US" w:bidi="ar-SA"/>
          </w:rPr>
          <w:t>[1997] 3 S.C.R. 1210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The significant difference between the issue in </w:t>
      </w:r>
      <w:r>
        <w:rPr>
          <w:rFonts w:ascii="arial" w:eastAsia="arial" w:hAnsi="arial" w:cs="arial"/>
          <w:b/>
          <w:i/>
          <w:color w:val="000000"/>
          <w:sz w:val="20"/>
          <w:lang w:val="en-US" w:eastAsia="en-US" w:bidi="ar-SA"/>
        </w:rPr>
        <w:t>Prairie Hydraulic</w:t>
      </w:r>
      <w:r>
        <w:rPr>
          <w:rFonts w:ascii="arial" w:eastAsia="arial" w:hAnsi="arial" w:cs="arial"/>
          <w:color w:val="000000"/>
          <w:sz w:val="20"/>
          <w:lang w:val="en-US" w:eastAsia="en-US" w:bidi="ar-SA"/>
        </w:rPr>
        <w:t xml:space="preserve"> and that in </w:t>
      </w:r>
      <w:r>
        <w:rPr>
          <w:rFonts w:ascii="arial" w:eastAsia="arial" w:hAnsi="arial" w:cs="arial"/>
          <w:b/>
          <w:i/>
          <w:color w:val="000000"/>
          <w:sz w:val="20"/>
          <w:lang w:val="en-US" w:eastAsia="en-US" w:bidi="ar-SA"/>
        </w:rPr>
        <w:t>Giffels</w:t>
      </w:r>
      <w:r>
        <w:rPr>
          <w:rFonts w:ascii="arial" w:eastAsia="arial" w:hAnsi="arial" w:cs="arial"/>
          <w:color w:val="000000"/>
          <w:sz w:val="20"/>
          <w:lang w:val="en-US" w:eastAsia="en-US" w:bidi="ar-SA"/>
        </w:rPr>
        <w:t xml:space="preserve"> can be found in the following passage from the decision of Chief Justice Laskin at p. 1355: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What we have here is a case where the immunity of Eastern from liability did not arise from some independent transaction or settlement made after an actionable breach of contract or duty, but rather it arose under the very instrument by which Eastern's relationship with the plaintiff was established. Giffels had no cross-contractual relationship with Eastern upon which to base a claim for contribution; and once it was clear, as it was here, that Eastern could not be held accountable to the plaintiff for the latter's loss, any ground upon which Giffels could seek to burden Eastern with a share of that loss disappeared.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Keith Panel also relies upon the Court of Appeal decision in </w:t>
      </w:r>
      <w:r>
        <w:rPr>
          <w:rFonts w:ascii="arial" w:eastAsia="arial" w:hAnsi="arial" w:cs="arial"/>
          <w:b/>
          <w:i/>
          <w:color w:val="000000"/>
          <w:sz w:val="20"/>
          <w:lang w:val="en-US" w:eastAsia="en-US" w:bidi="ar-SA"/>
        </w:rPr>
        <w:t>British Columbia Ferry Corp. v. T&amp;N plc</w:t>
      </w:r>
      <w:r>
        <w:rPr>
          <w:rFonts w:ascii="arial" w:eastAsia="arial" w:hAnsi="arial" w:cs="arial"/>
          <w:color w:val="000000"/>
          <w:sz w:val="20"/>
          <w:lang w:val="en-US" w:eastAsia="en-US" w:bidi="ar-SA"/>
        </w:rPr>
        <w:t xml:space="preserve">, </w:t>
      </w:r>
      <w:hyperlink r:id="rId489" w:history="1">
        <w:r>
          <w:rPr>
            <w:rFonts w:ascii="arial" w:eastAsia="arial" w:hAnsi="arial" w:cs="arial"/>
            <w:i/>
            <w:color w:val="0077CC"/>
            <w:sz w:val="20"/>
            <w:u w:val="single"/>
            <w:shd w:val="clear" w:color="auto" w:fill="FFFFFF"/>
            <w:lang w:val="en-US" w:eastAsia="en-US" w:bidi="ar-SA"/>
          </w:rPr>
          <w:t>[1995] B.C.J. No. 2116</w:t>
        </w:r>
      </w:hyperlink>
      <w:r>
        <w:rPr>
          <w:rFonts w:ascii="arial" w:eastAsia="arial" w:hAnsi="arial" w:cs="arial"/>
          <w:color w:val="000000"/>
          <w:sz w:val="20"/>
          <w:lang w:val="en-US" w:eastAsia="en-US" w:bidi="ar-SA"/>
        </w:rPr>
        <w:t>. In this appeal a series of third party notices which had been struck out were ordered reinstated essentially for procedural purposes.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original application followed a settlement between the plaintiff and the third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In my view neither this decision nor that in </w:t>
      </w:r>
      <w:r>
        <w:rPr>
          <w:rFonts w:ascii="arial" w:eastAsia="arial" w:hAnsi="arial" w:cs="arial"/>
          <w:b/>
          <w:i/>
          <w:color w:val="000000"/>
          <w:sz w:val="20"/>
          <w:lang w:val="en-US" w:eastAsia="en-US" w:bidi="ar-SA"/>
        </w:rPr>
        <w:t>Rurka v. JLG Industries Inc</w:t>
      </w:r>
      <w:r>
        <w:rPr>
          <w:rFonts w:ascii="arial" w:eastAsia="arial" w:hAnsi="arial" w:cs="arial"/>
          <w:color w:val="000000"/>
          <w:sz w:val="20"/>
          <w:lang w:val="en-US" w:eastAsia="en-US" w:bidi="ar-SA"/>
        </w:rPr>
        <w:t xml:space="preserve">, </w:t>
      </w:r>
      <w:hyperlink r:id="rId490" w:history="1">
        <w:r>
          <w:rPr>
            <w:rFonts w:ascii="arial" w:eastAsia="arial" w:hAnsi="arial" w:cs="arial"/>
            <w:i/>
            <w:color w:val="0077CC"/>
            <w:sz w:val="20"/>
            <w:u w:val="single"/>
            <w:shd w:val="clear" w:color="auto" w:fill="FFFFFF"/>
            <w:lang w:val="en-US" w:eastAsia="en-US" w:bidi="ar-SA"/>
          </w:rPr>
          <w:t>[1999] B.C.J. No. 658</w:t>
        </w:r>
      </w:hyperlink>
      <w:r>
        <w:rPr>
          <w:rFonts w:ascii="arial" w:eastAsia="arial" w:hAnsi="arial" w:cs="arial"/>
          <w:color w:val="000000"/>
          <w:sz w:val="20"/>
          <w:lang w:val="en-US" w:eastAsia="en-US" w:bidi="ar-SA"/>
        </w:rPr>
        <w:t>, supports the proposition that Keith Panel may continue to seek declaratory relief where no liability or claim exists between the plaintiff and the Architects.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Keith Panel also asserts an independent claim, independent of the </w:t>
      </w:r>
      <w:r>
        <w:rPr>
          <w:rFonts w:ascii="arial" w:eastAsia="arial" w:hAnsi="arial" w:cs="arial"/>
          <w:b/>
          <w:i/>
          <w:color w:val="000000"/>
          <w:sz w:val="20"/>
          <w:u w:val="single"/>
          <w:lang w:val="en-US" w:eastAsia="en-US" w:bidi="ar-SA"/>
        </w:rPr>
        <w:t>Negligence</w:t>
      </w:r>
      <w:r>
        <w:rPr>
          <w:rFonts w:ascii="arial" w:eastAsia="arial" w:hAnsi="arial" w:cs="arial"/>
          <w:b/>
          <w:i/>
          <w:color w:val="000000"/>
          <w:sz w:val="20"/>
          <w:lang w:val="en-US" w:eastAsia="en-US" w:bidi="ar-SA"/>
        </w:rPr>
        <w:t xml:space="preserve"> Act</w:t>
      </w:r>
      <w:r>
        <w:rPr>
          <w:rFonts w:ascii="arial" w:eastAsia="arial" w:hAnsi="arial" w:cs="arial"/>
          <w:color w:val="000000"/>
          <w:sz w:val="20"/>
          <w:lang w:val="en-US" w:eastAsia="en-US" w:bidi="ar-SA"/>
        </w:rPr>
        <w:t xml:space="preserve"> based on actions of the Architects in making changes to the approved drawings.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With respect, there is no contractual relationship between the Architects and Keith Panel and no indemnity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Assuming such acts are proven at trial they will be, presumably, the acts of the agent of the plaintiff. In my view there is no independent claim established and no prejudice flowing from the absence of the Architects as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KRAFT CONSTRUCTION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defendant Kraft Construction submits that the expiration of the limitation period applicable to claims by a plaintiff against an immune concurrent tortfeasor will not release the immune tortfeasor of liability for contribution and indemnity to other concurrent tortfeasors.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In advancing this proposition Kraft submits that two lines of reasoning, as emerging from the Court of Appeal's decision in </w:t>
      </w:r>
      <w:r>
        <w:rPr>
          <w:rFonts w:ascii="arial" w:eastAsia="arial" w:hAnsi="arial" w:cs="arial"/>
          <w:b/>
          <w:i/>
          <w:color w:val="000000"/>
          <w:sz w:val="20"/>
          <w:lang w:val="en-US" w:eastAsia="en-US" w:bidi="ar-SA"/>
        </w:rPr>
        <w:t>Tucker (Guardian ad Litem of) v. Asleson et al</w:t>
      </w:r>
      <w:r>
        <w:rPr>
          <w:rFonts w:ascii="arial" w:eastAsia="arial" w:hAnsi="arial" w:cs="arial"/>
          <w:color w:val="000000"/>
          <w:sz w:val="20"/>
          <w:lang w:val="en-US" w:eastAsia="en-US" w:bidi="ar-SA"/>
        </w:rPr>
        <w:t xml:space="preserve"> </w:t>
      </w:r>
      <w:hyperlink r:id="rId491" w:history="1">
        <w:r>
          <w:rPr>
            <w:rFonts w:ascii="arial" w:eastAsia="arial" w:hAnsi="arial" w:cs="arial"/>
            <w:i/>
            <w:color w:val="0077CC"/>
            <w:sz w:val="20"/>
            <w:u w:val="single"/>
            <w:shd w:val="clear" w:color="auto" w:fill="FFFFFF"/>
            <w:lang w:val="en-US" w:eastAsia="en-US" w:bidi="ar-SA"/>
          </w:rPr>
          <w:t>(1993), 78 B.C.L.R. (2d) 173</w:t>
        </w:r>
      </w:hyperlink>
      <w:r>
        <w:rPr>
          <w:rFonts w:ascii="arial" w:eastAsia="arial" w:hAnsi="arial" w:cs="arial"/>
          <w:color w:val="000000"/>
          <w:sz w:val="20"/>
          <w:lang w:val="en-US" w:eastAsia="en-US" w:bidi="ar-SA"/>
        </w:rPr>
        <w:t xml:space="preserve"> on the one hand and that in </w:t>
      </w:r>
      <w:r>
        <w:rPr>
          <w:rFonts w:ascii="arial" w:eastAsia="arial" w:hAnsi="arial" w:cs="arial"/>
          <w:b/>
          <w:i/>
          <w:color w:val="000000"/>
          <w:sz w:val="20"/>
          <w:lang w:val="en-US" w:eastAsia="en-US" w:bidi="ar-SA"/>
        </w:rPr>
        <w:t>Giffels Associates Ltd. v. Eastern Construction Co. Ltd.</w:t>
      </w:r>
      <w:r>
        <w:rPr>
          <w:rFonts w:ascii="arial" w:eastAsia="arial" w:hAnsi="arial" w:cs="arial"/>
          <w:color w:val="000000"/>
          <w:sz w:val="20"/>
          <w:lang w:val="en-US" w:eastAsia="en-US" w:bidi="ar-SA"/>
        </w:rPr>
        <w:t xml:space="preserve">, </w:t>
      </w:r>
      <w:hyperlink r:id="rId487" w:history="1">
        <w:r>
          <w:rPr>
            <w:rFonts w:ascii="arial" w:eastAsia="arial" w:hAnsi="arial" w:cs="arial"/>
            <w:i/>
            <w:color w:val="0077CC"/>
            <w:sz w:val="20"/>
            <w:u w:val="single"/>
            <w:shd w:val="clear" w:color="auto" w:fill="FFFFFF"/>
            <w:lang w:val="en-US" w:eastAsia="en-US" w:bidi="ar-SA"/>
          </w:rPr>
          <w:t>[1978] 2 S.C.R. 1346</w:t>
        </w:r>
      </w:hyperlink>
      <w:r>
        <w:rPr>
          <w:rFonts w:ascii="arial" w:eastAsia="arial" w:hAnsi="arial" w:cs="arial"/>
          <w:color w:val="000000"/>
          <w:sz w:val="20"/>
          <w:lang w:val="en-US" w:eastAsia="en-US" w:bidi="ar-SA"/>
        </w:rPr>
        <w:t xml:space="preserve">, </w:t>
      </w:r>
      <w:hyperlink r:id="rId487" w:history="1">
        <w:r>
          <w:rPr>
            <w:rFonts w:ascii="arial" w:eastAsia="arial" w:hAnsi="arial" w:cs="arial"/>
            <w:i/>
            <w:color w:val="0077CC"/>
            <w:sz w:val="20"/>
            <w:u w:val="single"/>
            <w:shd w:val="clear" w:color="auto" w:fill="FFFFFF"/>
            <w:lang w:val="en-US" w:eastAsia="en-US" w:bidi="ar-SA"/>
          </w:rPr>
          <w:t>(1978) 84 D.L.R. (3d) 344</w:t>
        </w:r>
      </w:hyperlink>
      <w:r>
        <w:rPr>
          <w:rFonts w:ascii="arial" w:eastAsia="arial" w:hAnsi="arial" w:cs="arial"/>
          <w:color w:val="000000"/>
          <w:sz w:val="20"/>
          <w:lang w:val="en-US" w:eastAsia="en-US" w:bidi="ar-SA"/>
        </w:rPr>
        <w:t>, have been "somewhat reconciled".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The submission of Kraft seeks to advance the reasoning in </w:t>
      </w:r>
      <w:r>
        <w:rPr>
          <w:rFonts w:ascii="arial" w:eastAsia="arial" w:hAnsi="arial" w:cs="arial"/>
          <w:b/>
          <w:i/>
          <w:color w:val="000000"/>
          <w:sz w:val="20"/>
          <w:lang w:val="en-US" w:eastAsia="en-US" w:bidi="ar-SA"/>
        </w:rPr>
        <w:t>Tucker</w:t>
      </w:r>
      <w:r>
        <w:rPr>
          <w:rFonts w:ascii="arial" w:eastAsia="arial" w:hAnsi="arial" w:cs="arial"/>
          <w:color w:val="000000"/>
          <w:sz w:val="20"/>
          <w:lang w:val="en-US" w:eastAsia="en-US" w:bidi="ar-SA"/>
        </w:rPr>
        <w:t xml:space="preserve"> which concerned a motor vehicle accident and the application of s. 4 of the </w:t>
      </w:r>
      <w:r>
        <w:rPr>
          <w:rFonts w:ascii="arial" w:eastAsia="arial" w:hAnsi="arial" w:cs="arial"/>
          <w:b/>
          <w:i/>
          <w:color w:val="000000"/>
          <w:sz w:val="20"/>
          <w:u w:val="single"/>
          <w:lang w:val="en-US" w:eastAsia="en-US" w:bidi="ar-SA"/>
        </w:rPr>
        <w:t>Negligence</w:t>
      </w:r>
      <w:r>
        <w:rPr>
          <w:rFonts w:ascii="arial" w:eastAsia="arial" w:hAnsi="arial" w:cs="arial"/>
          <w:b/>
          <w:i/>
          <w:color w:val="000000"/>
          <w:sz w:val="20"/>
          <w:lang w:val="en-US" w:eastAsia="en-US" w:bidi="ar-SA"/>
        </w:rPr>
        <w:t xml:space="preserve"> Act</w:t>
      </w:r>
      <w:r>
        <w:rPr>
          <w:rFonts w:ascii="arial" w:eastAsia="arial" w:hAnsi="arial" w:cs="arial"/>
          <w:color w:val="000000"/>
          <w:sz w:val="20"/>
          <w:lang w:val="en-US" w:eastAsia="en-US" w:bidi="ar-SA"/>
        </w:rPr>
        <w:t xml:space="preserve"> and extend its application to other cases of joint tortfeasors.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Kraft goes on to submit that the reasoning in </w:t>
      </w:r>
      <w:r>
        <w:rPr>
          <w:rFonts w:ascii="arial" w:eastAsia="arial" w:hAnsi="arial" w:cs="arial"/>
          <w:b/>
          <w:i/>
          <w:color w:val="000000"/>
          <w:sz w:val="20"/>
          <w:lang w:val="en-US" w:eastAsia="en-US" w:bidi="ar-SA"/>
        </w:rPr>
        <w:t>Tucker</w:t>
      </w:r>
      <w:r>
        <w:rPr>
          <w:rFonts w:ascii="arial" w:eastAsia="arial" w:hAnsi="arial" w:cs="arial"/>
          <w:color w:val="000000"/>
          <w:sz w:val="20"/>
          <w:lang w:val="en-US" w:eastAsia="en-US" w:bidi="ar-SA"/>
        </w:rPr>
        <w:t xml:space="preserve"> ". . . is consistent with </w:t>
      </w:r>
      <w:r>
        <w:rPr>
          <w:rFonts w:ascii="arial" w:eastAsia="arial" w:hAnsi="arial" w:cs="arial"/>
          <w:b/>
          <w:i/>
          <w:color w:val="000000"/>
          <w:sz w:val="20"/>
          <w:lang w:val="en-US" w:eastAsia="en-US" w:bidi="ar-SA"/>
        </w:rPr>
        <w:t>Giffels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With respect, it is difficult to see how that consistency emerges when one considers the reasoning of Laskin C.J.C., particularly at p. 349, where he concludes: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my opinion, it is not necessary in this case to come to a final determination on whether s. 2(1)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is broad enough to embrace contractual liability when other provisions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like ss. 3 and 9, clearly do not. I incline, however, to the view advanced by counsel for the respondent in this respect. I think it difficult to see how a contract basis for contribution can be read into one provision of a statute which has interrelated provisions dominated by a reference to tortfeasors. </w:t>
      </w:r>
      <w:r>
        <w:rPr>
          <w:rFonts w:ascii="arial" w:eastAsia="arial" w:hAnsi="arial" w:cs="arial"/>
          <w:color w:val="000000"/>
          <w:sz w:val="20"/>
          <w:u w:val="single"/>
          <w:lang w:val="en-US" w:eastAsia="en-US" w:bidi="ar-SA"/>
        </w:rPr>
        <w:t>Similarly, I am of the view that it is a precondition of the right to resort to contribution that there be liability to the plaintiff. I am unable to appreciate how a claim for contribution can be made under s. 2(1) by one person against another in respect of loss resulting to a third person unless each of the former two came under a liability to the third person to answer for his loss</w:t>
      </w:r>
      <w:r>
        <w:rPr>
          <w:rFonts w:ascii="arial" w:eastAsia="arial" w:hAnsi="arial" w:cs="arial"/>
          <w:color w:val="000000"/>
          <w:sz w:val="20"/>
          <w:lang w:val="en-US" w:eastAsia="en-US" w:bidi="ar-SA"/>
        </w:rPr>
        <w:t xml:space="preserve">. Hence, even assuming that a tort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open to the plaintiff against Giffels and Eastern in the present case - and I need not come to a determination on this issue here - </w:t>
      </w:r>
      <w:r>
        <w:rPr>
          <w:rFonts w:ascii="arial" w:eastAsia="arial" w:hAnsi="arial" w:cs="arial"/>
          <w:color w:val="000000"/>
          <w:sz w:val="20"/>
          <w:u w:val="single"/>
          <w:lang w:val="en-US" w:eastAsia="en-US" w:bidi="ar-SA"/>
        </w:rPr>
        <w:t>there are two considerations which are preclusive against Giffels' right to contribution under s. 2(1). They are, first, the giving of the final certificate under art. 28 of Eastern's contract and, second, the finding by the trial Judge that the guarantee period fixed by art. 17 of that contract has run in Eastern's favour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7946"/>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778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24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In my respectful view this reasoning is clear but if there is any ambiguity it is laid to rest by the following passage on p. 350: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Moreover, whether Giffels bases its claim for contribution on s. 2(1) or outside of that provision, the same result adverse to Giffels must follow. I am prepared to assume, for the purposes of this case, that where there are two contractors, each of which has a separate contract with a plaintiff who suffers the same damage from concurrent breaches of those contracts, it would be inequitable that one of the contractors bear the entire brunt of the plaintiff's loss, even where the plaintiff chooses to sue only that one and not both as in this case. </w:t>
      </w:r>
      <w:r>
        <w:rPr>
          <w:rFonts w:ascii="arial" w:eastAsia="arial" w:hAnsi="arial" w:cs="arial"/>
          <w:color w:val="000000"/>
          <w:sz w:val="20"/>
          <w:u w:val="single"/>
          <w:lang w:val="en-US" w:eastAsia="en-US" w:bidi="ar-SA"/>
        </w:rPr>
        <w:t xml:space="preserve">It is, however, open to any contractor (unless precluded by law) to protect itself from liability under its contract by a term thereof, and it does not then lie in the mouth of the other to claim contribution in such a case. The contractor which has so protected itself cannot be said to have contributed to any actionable loss by the plaintiff. This result must follow whether the claim for contribution is based on a liability to the plaintiff in tort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u w:val="single"/>
          <w:lang w:val="en-US" w:eastAsia="en-US" w:bidi="ar-SA"/>
        </w:rPr>
        <w:t xml:space="preserve"> or on contractual liability. In either case there is a contractual shield which forecloses the plaintiff against the protected contractor, and the other contractor cannot assert a right to go behind it to compel the former to share the burden of compensating the plaintiff for its loss</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What we have here is a case where the immunity of Eastern from liability did not arise from some independent transaction or settlement made after an actionable breach of contract or duty, but rather it arose under the very instrument by which Eastern's relationship with the plaintiff was established</w:t>
      </w:r>
      <w:r>
        <w:rPr>
          <w:rFonts w:ascii="arial" w:eastAsia="arial" w:hAnsi="arial" w:cs="arial"/>
          <w:color w:val="000000"/>
          <w:sz w:val="20"/>
          <w:lang w:val="en-US" w:eastAsia="en-US" w:bidi="ar-SA"/>
        </w:rPr>
        <w:t>. Giffels had no cross-contractual relationship with Eastern upon which to base a claim for contribution; and once it was clear, as it was here, that Eastern could not be held accountable to the plaintiff for the latter's loss, any ground upon which Giffels could seek to burden Eastern with a share of that loss disappeared.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7946"/>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778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24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What Kraft seeks to do here is to ignore the reasoning in </w:t>
      </w:r>
      <w:r>
        <w:rPr>
          <w:rFonts w:ascii="arial" w:eastAsia="arial" w:hAnsi="arial" w:cs="arial"/>
          <w:b/>
          <w:i/>
          <w:color w:val="000000"/>
          <w:sz w:val="20"/>
          <w:lang w:val="en-US" w:eastAsia="en-US" w:bidi="ar-SA"/>
        </w:rPr>
        <w:t>Giffels</w:t>
      </w:r>
      <w:r>
        <w:rPr>
          <w:rFonts w:ascii="arial" w:eastAsia="arial" w:hAnsi="arial" w:cs="arial"/>
          <w:color w:val="000000"/>
          <w:sz w:val="20"/>
          <w:lang w:val="en-US" w:eastAsia="en-US" w:bidi="ar-SA"/>
        </w:rPr>
        <w:t xml:space="preserve"> by asserting as a distinction the fact that the expiration of the limitation period occurred after the cause of action arose. Even if this distinction has any substance, this interpretation amounts to a rewriting of the contract between the parties destroying the very substance of both clause 3.9.6 and 3.9.1 and eliminating the very limitations and protections bargained for by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Allowing a claim for purely declaratory relief to proceed is discretionary relief which must be exercised with the utmost caution. This is not a case where, in my view, that extraordinary remedy should be granted.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Finally, it is inappropriate, in my view, to advance as a claim for contribution and indemnity in third party proceedings in circumstances where the substance of the third party claim can be raised as a direct defence to the claim advanced by the plaintiff</w:t>
      </w:r>
      <w:bookmarkStart w:id="117" w:name="Backward_fnref_fnr-2"/>
      <w:hyperlink w:anchor="Forward_fnref_fnr-2" w:history="1">
        <w:r>
          <w:rPr>
            <w:rFonts w:ascii="arial" w:eastAsia="arial" w:hAnsi="arial" w:cs="arial"/>
            <w:b/>
            <w:color w:val="BE161D"/>
            <w:sz w:val="20"/>
            <w:shd w:val="clear" w:color="auto" w:fill="FFFFFF"/>
            <w:vertAlign w:val="superscript"/>
            <w:lang w:val="en-US" w:eastAsia="en-US" w:bidi="ar-SA"/>
          </w:rPr>
          <w:t>2</w:t>
        </w:r>
      </w:hyperlink>
      <w:bookmarkEnd w:id="117"/>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Yemen Salt</w:t>
      </w:r>
      <w:r>
        <w:rPr>
          <w:rFonts w:ascii="arial" w:eastAsia="arial" w:hAnsi="arial" w:cs="arial"/>
          <w:color w:val="000000"/>
          <w:sz w:val="20"/>
          <w:lang w:val="en-US" w:eastAsia="en-US" w:bidi="ar-SA"/>
        </w:rPr>
        <w:t>, Ruttan J. found that the allegation of negligent inspection could not give rise to a right of contribution because there was no relationship between the two. He went on to note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 . On the contrary, Swan Wooster was the agent for the plaintiff, and if negligent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imputed to the plaintiff and buttresses the defence of Stanton.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Similar conclusions were reached in </w:t>
      </w:r>
      <w:r>
        <w:rPr>
          <w:rFonts w:ascii="arial" w:eastAsia="arial" w:hAnsi="arial" w:cs="arial"/>
          <w:b/>
          <w:i/>
          <w:color w:val="000000"/>
          <w:sz w:val="20"/>
          <w:lang w:val="en-US" w:eastAsia="en-US" w:bidi="ar-SA"/>
        </w:rPr>
        <w:t>Adams v. Thompson, Berwick, Pratt &amp; Partners</w:t>
      </w:r>
      <w:r>
        <w:rPr>
          <w:rFonts w:ascii="arial" w:eastAsia="arial" w:hAnsi="arial" w:cs="arial"/>
          <w:color w:val="000000"/>
          <w:sz w:val="20"/>
          <w:lang w:val="en-US" w:eastAsia="en-US" w:bidi="ar-SA"/>
        </w:rPr>
        <w:t xml:space="preserve"> </w:t>
      </w:r>
      <w:hyperlink r:id="rId492" w:history="1">
        <w:r>
          <w:rPr>
            <w:rFonts w:ascii="arial" w:eastAsia="arial" w:hAnsi="arial" w:cs="arial"/>
            <w:i/>
            <w:color w:val="0077CC"/>
            <w:sz w:val="20"/>
            <w:u w:val="single"/>
            <w:shd w:val="clear" w:color="auto" w:fill="FFFFFF"/>
            <w:lang w:val="en-US" w:eastAsia="en-US" w:bidi="ar-SA"/>
          </w:rPr>
          <w:t>(1987), 15 B.C.L.R. (2d) 51</w:t>
        </w:r>
      </w:hyperlink>
      <w:r>
        <w:rPr>
          <w:rFonts w:ascii="arial" w:eastAsia="arial" w:hAnsi="arial" w:cs="arial"/>
          <w:color w:val="000000"/>
          <w:sz w:val="20"/>
          <w:lang w:val="en-US" w:eastAsia="en-US" w:bidi="ar-SA"/>
        </w:rPr>
        <w:t xml:space="preserve"> at p. 55-56, and </w:t>
      </w:r>
      <w:r>
        <w:rPr>
          <w:rFonts w:ascii="arial" w:eastAsia="arial" w:hAnsi="arial" w:cs="arial"/>
          <w:b/>
          <w:i/>
          <w:color w:val="000000"/>
          <w:sz w:val="20"/>
          <w:lang w:val="en-US" w:eastAsia="en-US" w:bidi="ar-SA"/>
        </w:rPr>
        <w:t>Westcoast Transmission Company Limited v. Interprovincial Steel and Pipe Corporation Ltd. et al</w:t>
      </w:r>
      <w:r>
        <w:rPr>
          <w:rFonts w:ascii="arial" w:eastAsia="arial" w:hAnsi="arial" w:cs="arial"/>
          <w:color w:val="000000"/>
          <w:sz w:val="20"/>
          <w:lang w:val="en-US" w:eastAsia="en-US" w:bidi="ar-SA"/>
        </w:rPr>
        <w:t xml:space="preserve"> </w:t>
      </w:r>
      <w:hyperlink r:id="rId493" w:history="1">
        <w:r>
          <w:rPr>
            <w:rFonts w:ascii="arial" w:eastAsia="arial" w:hAnsi="arial" w:cs="arial"/>
            <w:i/>
            <w:color w:val="0077CC"/>
            <w:sz w:val="20"/>
            <w:u w:val="single"/>
            <w:shd w:val="clear" w:color="auto" w:fill="FFFFFF"/>
            <w:lang w:val="en-US" w:eastAsia="en-US" w:bidi="ar-SA"/>
          </w:rPr>
          <w:t>(1985), 60 B.C.L.R. 368</w:t>
        </w:r>
      </w:hyperlink>
      <w:r>
        <w:rPr>
          <w:rFonts w:ascii="arial" w:eastAsia="arial" w:hAnsi="arial" w:cs="arial"/>
          <w:color w:val="000000"/>
          <w:sz w:val="20"/>
          <w:lang w:val="en-US" w:eastAsia="en-US" w:bidi="ar-SA"/>
        </w:rPr>
        <w:t xml:space="preserve"> at p. 373-74.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w:t>
      </w:r>
      <w:r>
        <w:rPr>
          <w:rFonts w:ascii="arial" w:eastAsia="arial" w:hAnsi="arial" w:cs="arial"/>
          <w:b/>
          <w:i/>
          <w:color w:val="000000"/>
          <w:sz w:val="20"/>
          <w:lang w:val="en-US" w:eastAsia="en-US" w:bidi="ar-SA"/>
        </w:rPr>
        <w:t>Adams</w:t>
      </w:r>
      <w:r>
        <w:rPr>
          <w:rFonts w:ascii="arial" w:eastAsia="arial" w:hAnsi="arial" w:cs="arial"/>
          <w:color w:val="000000"/>
          <w:sz w:val="20"/>
          <w:lang w:val="en-US" w:eastAsia="en-US" w:bidi="ar-SA"/>
        </w:rPr>
        <w:t xml:space="preserve"> is, in my view, of particular note for in giving the decision of our Court of Appeal, McLachlin J.A. (as she then was) wrote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authorities establish that where a plaintiff contracts with two separate parties, such as a contractor and an engineer, and later sues one of them, the one sued cannot claim contribution or indemnity from the other on the ground that the other failed to properly execute his duties, where the substance of the third party claim can be raised against the plaintiff by way of defence.</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thus may be stated with confidence, in my view, that a third party claim will not lie against another person with respect to an obligation belonging to the plaintiff by way of defence. Where the only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alleged against the third party is attributable to the plaintiff, there is no need for third party proceedings since the defendant has full remedy against the plaintiff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Generally speaking, all acts falling within the scope of an agency between the proposed third party and the plaintiff fall into the category of acts for which the plaintiff is responsible and hence are not the proper subject to third party claims . .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For the reasons given, the applicants are entitled to the relief sought. The plaintiff's action and the third party claims against them are dismissed. Costs will follow the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PARRETT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Released: September 24, 2007.</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Corrigendum to the Reasons for Judgment issued advising that Mr. Lesiuk's name was omitted as co-counsel. That omission is noted and applied.</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r>
        <w:pict>
          <v:line id="_x0000_s1109" style="position:absolute;z-index:251828224" from="0,15pt" to="180pt,15pt" strokecolor="#bcbeb0" strokeweight="0.5pt">
            <v:stroke linestyle="single"/>
          </v:line>
        </w:pict>
      </w:r>
    </w:p>
    <w:p>
      <w:pPr>
        <w:rPr>
          <w:rFonts w:ascii="arial" w:eastAsia="arial" w:hAnsi="arial" w:cs="arial"/>
          <w:sz w:val="20"/>
          <w:lang w:val="en-US" w:eastAsia="en-US" w:bidi="ar-SA"/>
        </w:rPr>
      </w:pPr>
    </w:p>
    <w:p>
      <w:pPr>
        <w:spacing w:before="120" w:after="20" w:line="240" w:lineRule="atLeast"/>
        <w:ind w:left="720" w:hanging="360"/>
        <w:jc w:val="both"/>
        <w:rPr>
          <w:rFonts w:ascii="arial" w:eastAsia="arial" w:hAnsi="arial" w:cs="arial"/>
          <w:sz w:val="20"/>
          <w:lang w:val="en-US" w:eastAsia="en-US" w:bidi="ar-SA"/>
        </w:rPr>
      </w:pPr>
      <w:bookmarkStart w:id="118" w:name="Forward_fnref_fnr-1"/>
      <w:hyperlink w:anchor="Backward_fnref_fnr-1" w:history="1">
        <w:r>
          <w:rPr>
            <w:rFonts w:ascii="arial" w:eastAsia="arial" w:hAnsi="arial" w:cs="arial"/>
            <w:b/>
            <w:color w:val="BE161D"/>
            <w:sz w:val="18"/>
            <w:shd w:val="clear" w:color="auto" w:fill="FFFFFF"/>
            <w:lang w:val="en-US" w:eastAsia="en-US" w:bidi="ar-SA"/>
          </w:rPr>
          <w:t>1</w:t>
        </w:r>
      </w:hyperlink>
      <w:bookmarkEnd w:id="118"/>
      <w:r>
        <w:rPr>
          <w:rFonts w:ascii="arial" w:eastAsia="arial" w:hAnsi="arial" w:cs="arial"/>
          <w:sz w:val="20"/>
          <w:lang w:val="en-US" w:eastAsia="en-US" w:bidi="ar-SA"/>
        </w:rPr>
        <w:tab/>
      </w:r>
      <w:r>
        <w:rPr>
          <w:rFonts w:ascii="arial" w:eastAsia="arial" w:hAnsi="arial" w:cs="arial"/>
          <w:b/>
          <w:i/>
          <w:color w:val="6D6E71"/>
          <w:sz w:val="18"/>
          <w:lang w:val="en-US" w:eastAsia="en-US" w:bidi="ar-SA"/>
        </w:rPr>
        <w:t>Hunter Engineering Company Inc. v. Syncrude Canada Ltd.</w:t>
      </w:r>
      <w:r>
        <w:rPr>
          <w:rFonts w:ascii="arial" w:eastAsia="arial" w:hAnsi="arial" w:cs="arial"/>
          <w:color w:val="6D6E71"/>
          <w:sz w:val="18"/>
          <w:lang w:val="en-US" w:eastAsia="en-US" w:bidi="ar-SA"/>
        </w:rPr>
        <w:t xml:space="preserve">, </w:t>
      </w:r>
      <w:hyperlink r:id="rId494" w:history="1">
        <w:r>
          <w:rPr>
            <w:rFonts w:ascii="arial" w:eastAsia="arial" w:hAnsi="arial" w:cs="arial"/>
            <w:i/>
            <w:color w:val="0077CC"/>
            <w:sz w:val="18"/>
            <w:u w:val="single"/>
            <w:shd w:val="clear" w:color="auto" w:fill="FFFFFF"/>
            <w:lang w:val="en-US" w:eastAsia="en-US" w:bidi="ar-SA"/>
          </w:rPr>
          <w:t>[1989] 1 S.C.R. 426</w:t>
        </w:r>
      </w:hyperlink>
      <w:r>
        <w:rPr>
          <w:rFonts w:ascii="arial" w:eastAsia="arial" w:hAnsi="arial" w:cs="arial"/>
          <w:color w:val="6D6E71"/>
          <w:sz w:val="18"/>
          <w:lang w:val="en-US" w:eastAsia="en-US" w:bidi="ar-SA"/>
        </w:rPr>
        <w:t xml:space="preserve"> at p. 499</w:t>
      </w:r>
    </w:p>
    <w:p>
      <w:pPr>
        <w:spacing w:before="120" w:after="20" w:line="240" w:lineRule="atLeast"/>
        <w:ind w:left="720" w:hanging="360"/>
        <w:jc w:val="both"/>
        <w:rPr>
          <w:rFonts w:ascii="arial" w:eastAsia="arial" w:hAnsi="arial" w:cs="arial"/>
          <w:sz w:val="20"/>
          <w:lang w:val="en-US" w:eastAsia="en-US" w:bidi="ar-SA"/>
        </w:rPr>
      </w:pPr>
      <w:bookmarkStart w:id="119" w:name="Forward_fnref_fnr-2"/>
      <w:hyperlink w:anchor="Backward_fnref_fnr-2" w:history="1">
        <w:r>
          <w:rPr>
            <w:rFonts w:ascii="arial" w:eastAsia="arial" w:hAnsi="arial" w:cs="arial"/>
            <w:b/>
            <w:color w:val="BE161D"/>
            <w:sz w:val="18"/>
            <w:shd w:val="clear" w:color="auto" w:fill="FFFFFF"/>
            <w:lang w:val="en-US" w:eastAsia="en-US" w:bidi="ar-SA"/>
          </w:rPr>
          <w:t>2</w:t>
        </w:r>
      </w:hyperlink>
      <w:bookmarkEnd w:id="119"/>
      <w:r>
        <w:rPr>
          <w:rFonts w:ascii="arial" w:eastAsia="arial" w:hAnsi="arial" w:cs="arial"/>
          <w:sz w:val="20"/>
          <w:lang w:val="en-US" w:eastAsia="en-US" w:bidi="ar-SA"/>
        </w:rPr>
        <w:tab/>
      </w:r>
      <w:r>
        <w:rPr>
          <w:rFonts w:ascii="arial" w:eastAsia="arial" w:hAnsi="arial" w:cs="arial"/>
          <w:b/>
          <w:i/>
          <w:color w:val="6D6E71"/>
          <w:sz w:val="18"/>
          <w:lang w:val="en-US" w:eastAsia="en-US" w:bidi="ar-SA"/>
        </w:rPr>
        <w:t>Yemen Salt Mining Corp. v. Rhodes-Vaughn Steel Ltd.</w:t>
      </w:r>
      <w:r>
        <w:rPr>
          <w:rFonts w:ascii="arial" w:eastAsia="arial" w:hAnsi="arial" w:cs="arial"/>
          <w:color w:val="6D6E71"/>
          <w:sz w:val="18"/>
          <w:lang w:val="en-US" w:eastAsia="en-US" w:bidi="ar-SA"/>
        </w:rPr>
        <w:t xml:space="preserve">, </w:t>
      </w:r>
      <w:hyperlink r:id="rId495" w:history="1">
        <w:r>
          <w:rPr>
            <w:rFonts w:ascii="arial" w:eastAsia="arial" w:hAnsi="arial" w:cs="arial"/>
            <w:i/>
            <w:color w:val="0077CC"/>
            <w:sz w:val="18"/>
            <w:u w:val="single"/>
            <w:shd w:val="clear" w:color="auto" w:fill="FFFFFF"/>
            <w:lang w:val="en-US" w:eastAsia="en-US" w:bidi="ar-SA"/>
          </w:rPr>
          <w:t>[1976] B.C.J. No. 260</w:t>
        </w:r>
      </w:hyperlink>
      <w:r>
        <w:rPr>
          <w:rFonts w:ascii="arial" w:eastAsia="arial" w:hAnsi="arial" w:cs="arial"/>
          <w:color w:val="6D6E71"/>
          <w:sz w:val="18"/>
          <w:lang w:val="en-US" w:eastAsia="en-US" w:bidi="ar-SA"/>
        </w:rPr>
        <w:t xml:space="preserve"> at paras. 6-11</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10" style="position:absolute;z-index:25187123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96"/>
          <w:headerReference w:type="default" r:id="rId497"/>
          <w:footerReference w:type="even" r:id="rId498"/>
          <w:footerReference w:type="default" r:id="rId499"/>
          <w:headerReference w:type="first" r:id="rId500"/>
          <w:footerReference w:type="first" r:id="rId50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02" w:history="1">
        <w:r>
          <w:rPr>
            <w:rFonts w:ascii="arial" w:eastAsia="arial" w:hAnsi="arial" w:cs="arial"/>
            <w:b/>
            <w:bCs/>
            <w:i/>
            <w:color w:val="0077CC"/>
            <w:kern w:val="32"/>
            <w:sz w:val="28"/>
            <w:szCs w:val="32"/>
            <w:u w:val="single"/>
            <w:shd w:val="clear" w:color="auto" w:fill="FFFFFF"/>
            <w:lang w:val="en-US" w:eastAsia="en-US" w:bidi="ar-SA"/>
          </w:rPr>
          <w:t>Cryderman v. Giesbrecht, [2006] B.C.J. No. 1148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Kamloops,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Powers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24 - 28,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19,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Kamloops Registry No. 35243</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[2006] B.C.J. No. 1148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2006 BCSC 798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150 A.C.W.S. (3d) 1051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Tara Jill Cryderman, plaintiff, and John Albert Giesbrecht and Katrina May Giesbrecht,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11" style="position:absolute;z-index:2516766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20" w:name="Keywords_17"/>
      <w:bookmarkEnd w:id="120"/>
      <w:r>
        <w:rPr>
          <w:rFonts w:ascii="arial" w:eastAsia="arial" w:hAnsi="arial" w:cs="arial"/>
          <w:b/>
          <w:color w:val="000000"/>
          <w:sz w:val="20"/>
          <w:lang w:val="en-US" w:eastAsia="en-US" w:bidi="ar-SA"/>
        </w:rPr>
        <w:t>Damages — General damages — For personal injuries — Cost of future care — Loss of earning capacity — Loss of housekeeping ability — Non-pecuniary damages, including pain and suffering — Special damages — The 24 year-old plaintiff suffered soft tissue injuries to her neck, lower back, interscapular area, and left wrist and thumb as a result of an automobile accident — Total damages of $67,221 awarded, which included $35,000 in non-pecuniary damages, $20,000 for loss of earning capacity, $5,000 for loss of housekeeping capacity, and $4,000 for future cost of care, as well as $3,227 in special damages.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Physical injuries — Arm injuries — Hand — Wrist — Body injuries — Neck — The 24 year-old plaintiff suffered soft tissue injuries to her neck, lower back, interscapular area, and left wrist and thumb as a result of an automobile accident — Total damages of $67,221 awarded, which included $35,000 in non-pecuniary damages, $20,000 for loss of earning capacity, $5,000 for loss of housekeeping capacity, and $4,000 for future cost of care, as well as $3,227 in special damages.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Proof of — Action for damages as a result of an automobile accident where the plaintiff suffered multiple soft tissue injuries to her back, neck and arm — The defendant admitted liability for the accident, but contended that the plaintiff was contributorily negligent because her head rest was not properly adjusted - Damages of $67,221 awarded — It was not proved that the headrest was broken or improperly adjusted — There was also no evidence to suggest how or to what extent the injuries to the plaintiff would have been different, either greater or less, if in fact the headrest was not properly adjusted — Accordingly, the trial judge found that the plaintiff was not contributorily negligent.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21" w:name="Case Summary_17"/>
            <w:bookmarkEnd w:id="12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for damages as a result of an automobile accident where the defendant, Giesbrecht, admitted liability -- Cryderman was twenty-four years of age at the time of the accident -- She sustained soft tissue injuries to her neck, lower back, interscapular area (between the shoulder blades), and her left wrist and thumb -- She also suffered headaches caused by the neck and interscapular area injuries -- Giesbrecht contended that Cryderman was contributorily negligent for her injuries as a result of her failure to have a properly adjusted headrest -- She argued that the court should take judicial notice that a properly adjusted headrest may reduce whiplash or soft tissue injuries to the neck and shoulders in a rear-end motor vehicle collision -- Cryderman testified at trial is that the headrest was properly adjusted towards the top of her head and that it was functioning -- She was referred to some clinical notes from the University of Victoria's Health Services dated November 1, 2001 that noted the headrest was improperly adjusted, and a note dated February 1, 2002 from the Village Medical Clinic in Abbotsford indicated that there was a headrest, but that it was too low -- Cryderman's evidence was that the headrest was properly adjusted and in working order, and she did not remember saying anything to the contrary -- She sought non-pecuniary damages of $55,000, $90,000 for loss of future earning capacity, $10,000 for loss of future house and yard keeping services, $10,000 for cost of future care, and special damages of $3,227 -- HELD: Total damages of $67,221 awarded -- It was not proved that Cryderman told anyone that the headrest was broken or improperly adjusted -- There was no other evidence other than reference to the clinical notes to suggest that the headrest was broken or improperly adjusted -- There was also no evidence to suggest how or to what extent the injuries to the plaintiff would have been different, either greater or less, if in fact the headrest was not properly adjusted -- Accordingly, the trial judge found that on the balance of probabilities the headrest was properly adjusted and functioning, and that the plaintiff was not contributorily negligent -- As to the damage award, the trial judge found that the impact of the injuries upon Cryderman would continue to affect her into the foreseeable future -- He awarded non-pecuniary damages of $35,000.00, damages for loss of earning of $20,000.00, damages for future house and yard keeping services of $5,000, damages for future cost of care of $4,000, special damages of $3,227, and past income loss of $44.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22" w:name="Counsel_17"/>
      <w:bookmarkEnd w:id="12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12" style="position:absolute;z-index:2517278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M.L. Sadden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E.A. Harris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23" w:name="Judgment_17"/>
      <w:bookmarkEnd w:id="123"/>
      <w:r>
        <w:pict>
          <v:line id="_x0000_s1113" style="position:absolute;z-index:25177907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24" w:name="POWERS J."/>
            <w:bookmarkEnd w:id="124"/>
            <w:r>
              <w:rPr>
                <w:rFonts w:ascii="arial" w:eastAsia="arial" w:hAnsi="arial" w:cs="arial"/>
                <w:b/>
                <w:color w:val="000000"/>
                <w:sz w:val="30"/>
                <w:lang w:val="en-US" w:eastAsia="en-US" w:bidi="ar-SA"/>
              </w:rPr>
              <w:t>POWERS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action is a claim for damages arising from a motor vehicle accident. Liability is not in dispute.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accident occurred November 1, 2001 in Victoria, British Columbia. The plaintiff was stopped at a pedestrian crossing. The vehicle driven by the defendant, Katrina May Giesbrecht, failed to notice that the plaintiff's vehicle had come to a stop until just before the collision. Despite applying the brakes, the defendants' vehicle struck the rear of the plaintiff's vehicle pushing it into the intersection. The defendant driver, at her examination for discovery, believed she was travelling approximately 55 k.p.m., and thought she had managed to reduce her speed to approximately one-half of that before the collision, but was not sure. The plaintiff's vehicle suffered damage estimated at approximately $4,500.00, and the defendants' vehicle sustained damage of approximately $3,000.00.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Ms. Cryderman was approximately 24 years of age at the time of the accident. She was a university student studying secondary education. She was in her last semester of university which was to be followed by a practicum from January to the end of April/May 1,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Ms. Cryderman sustained soft tissue injuries to her:</w:t>
      </w:r>
      <w:r>
        <w:rPr>
          <w:rFonts w:ascii="arial" w:eastAsia="arial" w:hAnsi="arial" w:cs="arial"/>
          <w:sz w:val="20"/>
          <w:lang w:val="en-US" w:eastAsia="en-US" w:bidi="ar-SA"/>
        </w:rPr>
        <w:cr/>
      </w:r>
    </w:p>
    <w:p>
      <w:pPr>
        <w:numPr>
          <w:numId w:val="1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neck;</w:t>
      </w:r>
    </w:p>
    <w:p>
      <w:pPr>
        <w:numPr>
          <w:numId w:val="1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low back;</w:t>
      </w:r>
    </w:p>
    <w:p>
      <w:pPr>
        <w:numPr>
          <w:numId w:val="1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interscapular area (between shoulder blades);</w:t>
      </w:r>
    </w:p>
    <w:p>
      <w:pPr>
        <w:numPr>
          <w:numId w:val="1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left wrist/thumb.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She also experiences headaches caused by the neck and interscapular area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defendant argues that the plaintiff should be found contributorily negligent regarding her injuries for failing to have a properly adjusted headrest. The defendant argues that the court can take judicial notice that a properly adjusted headrest may reduce whiplash or soft tissue injuries to the neck and shoulders in a rear-end motor vehicle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plaintiff's evidence at trial is that the headrest was properly adjusted towards the top of her head and that it was functioning. She was referred to some clinical notes from the University of Victoria's Health Services dated November 1, 2001 that noted the headrest was improperly adjusted, and a note dated February 1, 2002 from the Village Medical Clinic in Abbotsford that indicates there was a headrest, but that it was too low (broken). Ms. Cryderman's evidence is that the headrest was properly adjusted and in working order, and she does not remember saying anything to the contrary. The defendant argues that I should be suspicious of her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Whether I am suspicious of her evidence or not, it has not been proven that she in fact told anyone that the headrest was broken or improperly adjusted. There is no other evidence other than reference to the clinical notes to suggest that the headrest was broken or improperly adjusted. There is also no evidence to suggest how or to what extent the injuries to the plaintiff would have been different, either greater or less, if in fact the headrest was not properly adjusted. I find on the balance of probabilities, that the headrest was properly adjusted and functioning. The plaintiff has not been contributorily negligent regarding the use of the headrest.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Ms. Cryderman was originally shaken up by the impact. When the fire truck arrived at the scene, she began to feel pain in her neck, the area between her shoulder blades and her lower back. She attended at the University of Victoria Health Services that day. She recalls pain on both sides of her neck between her shoulder blades, but more on the right side. She had an ache in her neck, but the pain in her right shoulder was more pronounced between the shoulder blades, and an ache on the lower right side of what she described as her pelvis area, and I take that to be her lower back. It became progressively worse throughout the day and she had difficulty sleeping that night. She used some ice packs and some pills to help make herself comfortable and took some anti-inflammatories. The next day she had difficulty getting out of bed, and described her neck as quite sore and continued to have burning pain between her shoulder blades and an ache in her lower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She continued to attend classes, but was not able to sit through an entire class, having to stand up to stretch. She was studying physical education and became an observer rather than a participant in the peer teaching exercises. She experienced difficulty driving to and from school. She had pain from holding her arms up on the wheel and difficulty doing shoulder checks.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She attended approximately ten physiotherapy treatments and four massage therapy treatments until mid-December while she was in Victoria. She was also prescribed Naprosyn and obtained some relief with Ibuprofen. She also had some searing pain in her left thumb and wrist. Occasionally her thumb would lock up in a painful fashion requiring her to physically manipulate it with her other hand to free it. This was ultimately resolved by a cortisone injection in June of 2002. Her recollection was that the first two weeks were the worse; that she improved afterwards, but did continue to suffer pain. The massage therapy relieved the pain for one or two hours, and she took the Ibuprofen approximately every second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Ms. Cryderman returned to Kamloops for Christmas until early January 2002. She did see a physiotherapist in Kamloops for some treatments. She was cross-examined about questionnaires that appear to have been completed at the physiotherapists on January 2, 2002. She said she did not have any recollection of filling these forms out. She said that she had learned at Christmas of 2001 that her mother had been diagnosed with pancreatic cancer and that created a good deal of stress in her life. She said to a large extent that period from late December 2001 to June of 2002 was a bit of a fog. It was interesting to note, however, in the disability questionnaire that the form indicates that she had no pain at the moment and could lift heavy weights with extra pain. She was able to look after herself without extra pain, and could read as much as she liked but with a slight pain in her neck. The form indicated that she had moderate headaches which came infrequently and she could concentrate fully, but with slight difficulty. The form also indicated that she could do her usual work but no more, that she could drive, but with moderate pain in her neck. The form does indicate that her sleep was disturbed and she could engage in most, but not all, of her usual recreational activities. The questionnaire relating to her back indicated that she changed positions frequently to try and get her back comfortable, and could only stand for short periods of time because of her back. She also indicated she sits down for most of the day because of her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During the Christmas period, Ms. Cryderman did work as a deli clerk at a local supermarket. She had worked at that position in the past. Her evidence is that she had to make some adjustments to the work that she did, and accommodations were made by her employer so that she could work. Rather than working strictly as a deli clerk she spent part of that time doing demonstrations, but had difficulty with her back due to the long periods of standing that were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Ms. Cryderman moved to Abbotsford in January of 2002 to complete her practicum as part of her training as a secondary education teacher. This involved observing classes and then teaching classes under the supervision of an instructor. She taught sciences and physical education. She did not become as involved in the sporting activities during the physical education classes as she would have liked. She could demonstrate most things, but it occasionally would cause her arm to flare up; for instance, overhead activities would cause problems with her shoulders. She continued to have difficulties with her lower back if she were on her feet for extended periods of time. The pain between her shoulder blades was aggravated by activity and this would cause headaches. Her neck gave her difficulty when turning her head and her thumb bothered her. She said she always had some level of pain. She did attend at a medical clinic in Abbotsford and attended for physiotherapy treatments. She had approximately eight physiotherapy treatments during the four months in Abbotsford.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Ms. Cryderman returned to Kamloops at the end of May 2002, and saw her family physician in June of 2002. She received approximately ten physiotherapy sessions between August and December of 2002. She also attended for chiropractic treatments every four to six weeks, and rolfing sessions less frequently. She had attended approximately forty chiropractic treatments by the time of the trial, and about twelve rolfing sessions.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physiotherapist gave her a series of exercises to perform at home and she continues to work on those. She also works out with an exercise ball performing exercises recommended by the physiotherapist. She has not been receiving further physiotherapy treatments, but continues to perform the exercises recommended. She does not appear to be a person who seeks out medical attention frequently.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Her family physician gave evidence and was referred to a medical report form completed at the request of the Insurance Corporation of British Columbia ("I.C.B.C."). This was a CL19 form dated July 15, 2002. Her family doctor admitted to being poor at completing forms. The form indicated that there was some palpatory tenderness on the left side, but did not go on to indicate where that tenderness was. The diagnosis indicated that with regard to the neck and upper back it was noted as "Grade 1 neck symptoms, no signs". It is not clear to me what that means because the doctor did provide a medical/legal report indicating that on June 28, 2002 she saw Ms. Cryderman for a flexion extension mechanism injury and that Ms. Cryderman reported significant neck, back, shoulder and left wrist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Ms. Cryderman graduated with her degree in secondary education and sought employment as a teacher in the Kamloops area. She did not begin working as a teacher-on-call until January of 2005. When she returned to Kamloops she went back to work as a deli clerk in the supermarket. She was able to perform all of her duties at work, but only by making accommodations herself and by accommodations made by her employer. She continued to experience pain in her neck, shoulders and lower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She was evaluated by Dr. Hirsch, a doctor of physical medicine and rehabilitation in Vancouver, British Columbia. She reported to Dr. Hirsch that with regard to her neck and back that on good days she felt that she was 80% towards full recovery, on a bad day 60%, and on an average day somewhere in between. She complained of daily tightness, stiffness and aching pain in the neck, and that two or three times a week this resulted in headaches. She also complained of intermittent burning pain between the shoulder blades on the right side. She had lower back pain which was aggravated by periods of standing or jarring, bending and stooping, that her wrist had greatly improved and no longer locks. Dr. Hirsch did note some trigger points for tenderness in the neck and shoulder girdle. He said these trigger points were like a knot in the muscles similar to a knot in a rope. In other words, when he palpated the area he could feel the knotted area. His conclusion was that she had probably suffered some micro tears of the soft tissue structures such as muscles, tendons and ligaments attaching to the spine, but there was no evidence of structural damage. Dr. Hirsch's recommendation was that she consider trigger point injections to relieve the symptoms relating to her neck and upper back. He felt she had a good chance to make some further symptomatic gains, but the prognosis was guarded given the length of time she had experienced pain. He felt that her symptoms may persist for another one to two years, or they could be permanent. He concluded that the chronic, constant or intermittent neck and back pain may preclude her from working in a job that is of moderate or heavy physical demands.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Ms. Cryderman did see a doctor of physical medicine and rehabilitation, a Dr. McCann, in 2005. He noted some restriction in neck flexion and significant trigger point areas in the right interscapular area, and area of the rhomboids, as well as the middle trapezius and the right levator scapulae. The muscles in this area were quite tender to touch. He recommended and performed trigger point injections. Ms. Cryderman had significant relief and was able to return to many of her activities without significant aggravation. However, in further examination in June, she still had some trigger point tenderness, and again he performed some injections. These were followed again in July 2004. Dr. McCann noted that the areas were much less sensitive than they had been. The last set of injections were performed in September of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Ms. Cryderman said that before these treatments her neck would be stiff in the morning and the stiffness would go away during the day. She would have some pain or discomfort when turning her head. She had a burning sensation between her shoulders each day, but it was of variable intensity and the pain increased with activity. She would experience flare-ups about three times a week and used Ibuprofen to treat these with. The flare-ups were caused by activity that required using her arms or holding them up for long periods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low back pain was more intermittent, although she had to be careful how she moved and what sort of activity she participated in. She said she would begin to have problems with her lower back every four to six weeks and seek out chiropractic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She reported that after the trigger point injections until approximately one or one and a half months she had significant improvement. Since then she again seems to have pain every day with flare-ups about three times a week. She finds this frustrating and she is scheduled to have further injections.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She continues to see her doctor on an infrequent basis, but performs her home exercises regularly.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Ms. Cryderman's evidence is that she has to be careful with activities that may aggravate her low back. She had problems bathing her dog and two cats. When she works in the yard she often has to sit and be careful how she bends. Her brother and her boyfriend both assist her with the heavier yard work and some heavy work in the house. Until she began working as a teacher-on-call she continued to work almost full-time at the supermarket. She now works part-time at the supermarket and whatever work is available to her as a teacher-on-call. The work at the deli does involve a lot of movement of the arms and shoulders, lifting loaves of meat and containers of salads, and filling the display rack. She is able to perform these functions, but with some pain and only by making some adjustments that her employer allows her to make. This includes using an automatic slicer instead of the manual slicer which is quicker when serving customers.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her work as a teacher-on-call one of her specialities is physical education. She has some limitations as to the way in which she can participate, although she is able to teach physical education. She is not able to demonstrate some activities requiring overhead extension of her arms as often as she might prefer to, nor is she able to participate to the same extent in the activities with the students.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She has been an avid soccer player most of her life. She has played recreational soccer in a women's league in Kamloops, as well as playing on a university team in Kamloops and the University of Victoria. She was unable to complete the season in Victoria after the accident. She did not participate in soccer during her practicum, but did assist as a coach. When she returned to Kamloops in 2002, she again began playing in the recreational league. Her evidence, and that of others who have seen her play soccer before and after the accident, is that despite her efforts she was not able to play at the same level she did before the accident. Her brother and her boyfriend, who were both soccer enthusiasts and participants, described her as being less aggressive and perhaps more fragile than she had been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During the 2005 season, she was able to play with the Pacific Coast Soccer League ("PCSL") women's team. This was the highest level of women's soccer in Kamloops at the time, and the highest level of soccer that Ms. Cryderman had played. She believed that she was in the best cardiovascular shape she had been for years, but was not able to play to the standard she felt she should be able to. She qualified for the team, but the coach said it was because she had some good skills. He was concerned about her overall physical condition. The coach related one incident when in the middle of a game she suddenly had to stop and fell to the ground on all fours because her back had locked and seized up on her. She came off the field and was unable to play the rest of the game. She tried stretching and loosening her back, but continued to be in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PCSL closed at the end of the 2005 season. Ms. Cryderman has continued to play in the women's league and play in an indoor soccer facility. Soccer is obviously an important recreational activity for her. While the PCSL team was active she would play in the women's league twice a week as well as attend practises and games for the PCSL. Her fitness coach for the PCSL indicated she would come to all of the training sessions, but was not able to perform all of the exercises. Her back would bother her trying to perform some of the exercises and modifications would be made to those.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Ms. Cryderman did not complain to her soccer coach that she had a motor vehicle accident, but did tell him when she was experiencing pain in her back that affected her play. I am satisfied that Ms. Cryderman was motivated to try and improve her condition, to play soccer, and that she did the best she could. I am also satisfied that the injuries she sustained in the motor vehicle accident continued to cause her pain, discomfort and interfere with her ability to play soccer.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Ms. Cryderman is scheduled for more trigger point injections in May of 2006. Hopefully she will obtain relief similar to that which she had in the past. It is expected that she will, but it is uncertain how long it may last or what her prognosis will 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Ms. Cryderman is frustrated by her failure to recover completely from her injuries. It frustrates her at her work at the deli, and affects the way in which she would like to participate as a physical education instructor. When her neck and shoulder pain flare-up, or interfere with her ability to perform her household chores or activities, she becomes frustrated. She says that it affects the way she interacts with her boyfriend and her brother.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plaintiff argues that the appropriate amount under this heading is $55,000.00. The defendant argues that the appropriate range is $20,000.00 to $25,000.00. The plaintiff referred to the following decisions: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Letourneau v. Min</w:t>
      </w:r>
      <w:r>
        <w:rPr>
          <w:rFonts w:ascii="arial" w:eastAsia="arial" w:hAnsi="arial" w:cs="arial"/>
          <w:color w:val="000000"/>
          <w:sz w:val="20"/>
          <w:lang w:val="en-US" w:eastAsia="en-US" w:bidi="ar-SA"/>
        </w:rPr>
        <w:t xml:space="preserve">, </w:t>
      </w:r>
      <w:hyperlink r:id="rId503" w:history="1">
        <w:r>
          <w:rPr>
            <w:rFonts w:ascii="arial" w:eastAsia="arial" w:hAnsi="arial" w:cs="arial"/>
            <w:i/>
            <w:color w:val="0077CC"/>
            <w:sz w:val="20"/>
            <w:u w:val="single"/>
            <w:shd w:val="clear" w:color="auto" w:fill="FFFFFF"/>
            <w:lang w:val="en-US" w:eastAsia="en-US" w:bidi="ar-SA"/>
          </w:rPr>
          <w:t>[2003] B.C.J. No. 274</w:t>
        </w:r>
      </w:hyperlink>
      <w:r>
        <w:rPr>
          <w:rFonts w:ascii="arial" w:eastAsia="arial" w:hAnsi="arial" w:cs="arial"/>
          <w:color w:val="000000"/>
          <w:sz w:val="20"/>
          <w:lang w:val="en-US" w:eastAsia="en-US" w:bidi="ar-SA"/>
        </w:rPr>
        <w:t xml:space="preserve"> (C.A.).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 referred me to the Court of Appeal decision. The trial court had awarded $40,000.00 for a non-pecuniary loss. The Court of Appeal's decision was limited to an appeal from the award for future loss of earning capacity. However, the decision does note that the plaintiff was a 33 year old male who was physically active prior to the accident. He suffered a soft tissue injury to the cervical spine, right shoulder, scapula area and upper thoracic spine. He continued to experience intermittent neck pain and persistent shoulder and back pain. The accident was in November of 1995 and the decision in 2001.</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Tardiff v. Toews</w:t>
      </w:r>
      <w:r>
        <w:rPr>
          <w:rFonts w:ascii="arial" w:eastAsia="arial" w:hAnsi="arial" w:cs="arial"/>
          <w:color w:val="000000"/>
          <w:sz w:val="20"/>
          <w:lang w:val="en-US" w:eastAsia="en-US" w:bidi="ar-SA"/>
        </w:rPr>
        <w:t xml:space="preserve">, </w:t>
      </w:r>
      <w:hyperlink r:id="rId504" w:history="1">
        <w:r>
          <w:rPr>
            <w:rFonts w:ascii="arial" w:eastAsia="arial" w:hAnsi="arial" w:cs="arial"/>
            <w:i/>
            <w:color w:val="0077CC"/>
            <w:sz w:val="20"/>
            <w:u w:val="single"/>
            <w:shd w:val="clear" w:color="auto" w:fill="FFFFFF"/>
            <w:lang w:val="en-US" w:eastAsia="en-US" w:bidi="ar-SA"/>
          </w:rPr>
          <w:t>[2004] B.C.J. No. 1601</w:t>
        </w:r>
      </w:hyperlink>
      <w:r>
        <w:rPr>
          <w:rFonts w:ascii="arial" w:eastAsia="arial" w:hAnsi="arial" w:cs="arial"/>
          <w:color w:val="000000"/>
          <w:sz w:val="20"/>
          <w:lang w:val="en-US" w:eastAsia="en-US" w:bidi="ar-SA"/>
        </w:rPr>
        <w:t xml:space="preserve">, </w:t>
      </w:r>
      <w:hyperlink r:id="rId504" w:history="1">
        <w:r>
          <w:rPr>
            <w:rFonts w:ascii="arial" w:eastAsia="arial" w:hAnsi="arial" w:cs="arial"/>
            <w:i/>
            <w:color w:val="0077CC"/>
            <w:sz w:val="20"/>
            <w:u w:val="single"/>
            <w:shd w:val="clear" w:color="auto" w:fill="FFFFFF"/>
            <w:lang w:val="en-US" w:eastAsia="en-US" w:bidi="ar-SA"/>
          </w:rPr>
          <w:t>2004 BCSC 1009</w:t>
        </w:r>
      </w:hyperlink>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 was a 33 year old female who suffered soft tissue injuries. She was described as an exceptionally competent and hard-working mother of four children. She was active in outdoor activities, including hunting and fishing. She had training in office administration and had been working prior to the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was unable to care for herself or her family for the first few weeks after the accident, and required assistance to go to the washroom or to bed. She experienced intense physical pain and high levels of emotional upset at the time. She was motivated and returned to work earlier than her doctors would have recommended, but accommodations had to be made for her at work. She required a good deal of assistance from her mother and sister in order to manage household duties after the accident, and that her back pain increased while performing daily activities, including walking and driving. The accident occurred in 2001 and the decision was in 2004. She continued to be in pain every day and had to limit her activity to reduce her pain. She continued with exercises at home for forty to sixty minutes each day. She had difficulty dressing and had to limit the amount of housework or gardening she could do.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did continue to play tennis, hunt, fish, snow shoe, play pool and take fitness classes, including belly dancing and occasionally boxing. The court found that, based on the medical evidence, her symptoms seemed to have plateaued, but significantly affected her quality of life. There was also a possibility that she would develop more severe pain requiring some form of injection or surgery. The court found that the appropriate amount for general damages was $50,000.00.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in the </w:t>
      </w:r>
      <w:r>
        <w:rPr>
          <w:rFonts w:ascii="arial" w:eastAsia="arial" w:hAnsi="arial" w:cs="arial"/>
          <w:b/>
          <w:i/>
          <w:color w:val="000000"/>
          <w:sz w:val="20"/>
          <w:lang w:val="en-US" w:eastAsia="en-US" w:bidi="ar-SA"/>
        </w:rPr>
        <w:t>Tardiff</w:t>
      </w:r>
      <w:r>
        <w:rPr>
          <w:rFonts w:ascii="arial" w:eastAsia="arial" w:hAnsi="arial" w:cs="arial"/>
          <w:color w:val="000000"/>
          <w:sz w:val="20"/>
          <w:lang w:val="en-US" w:eastAsia="en-US" w:bidi="ar-SA"/>
        </w:rPr>
        <w:t xml:space="preserve"> case was much more severely injured than Ms. Cryderman.</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Kahle v. Ritter</w:t>
      </w:r>
      <w:r>
        <w:rPr>
          <w:rFonts w:ascii="arial" w:eastAsia="arial" w:hAnsi="arial" w:cs="arial"/>
          <w:color w:val="000000"/>
          <w:sz w:val="20"/>
          <w:lang w:val="en-US" w:eastAsia="en-US" w:bidi="ar-SA"/>
        </w:rPr>
        <w:t xml:space="preserve">, </w:t>
      </w:r>
      <w:hyperlink r:id="rId505" w:history="1">
        <w:r>
          <w:rPr>
            <w:rFonts w:ascii="arial" w:eastAsia="arial" w:hAnsi="arial" w:cs="arial"/>
            <w:i/>
            <w:color w:val="0077CC"/>
            <w:sz w:val="20"/>
            <w:u w:val="single"/>
            <w:shd w:val="clear" w:color="auto" w:fill="FFFFFF"/>
            <w:lang w:val="en-US" w:eastAsia="en-US" w:bidi="ar-SA"/>
          </w:rPr>
          <w:t>[2002] B.C.J. No. 285</w:t>
        </w:r>
      </w:hyperlink>
      <w:r>
        <w:rPr>
          <w:rFonts w:ascii="arial" w:eastAsia="arial" w:hAnsi="arial" w:cs="arial"/>
          <w:color w:val="000000"/>
          <w:sz w:val="20"/>
          <w:lang w:val="en-US" w:eastAsia="en-US" w:bidi="ar-SA"/>
        </w:rPr>
        <w:t xml:space="preserve">, </w:t>
      </w:r>
      <w:hyperlink r:id="rId505" w:history="1">
        <w:r>
          <w:rPr>
            <w:rFonts w:ascii="arial" w:eastAsia="arial" w:hAnsi="arial" w:cs="arial"/>
            <w:i/>
            <w:color w:val="0077CC"/>
            <w:sz w:val="20"/>
            <w:u w:val="single"/>
            <w:shd w:val="clear" w:color="auto" w:fill="FFFFFF"/>
            <w:lang w:val="en-US" w:eastAsia="en-US" w:bidi="ar-SA"/>
          </w:rPr>
          <w:t>2002 BCSC 199</w:t>
        </w:r>
      </w:hyperlink>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 was a 30 year old man injured in a three-car motor vehicle accident. He suffered soft tissue injuries to the neck and lower back. The accident occurred September of 1996 and the trial was February of 2001. Mr. Kahle continued to suffer chronic occasional pain the neck and chronic ongoing pain in the lower back. He was active in outdoor activities, and enjoyed woodworking as a hobby. He did some home renovations and had hoped to develop a business doing home renovations. He had worked for a friend as a carpenter in Calgary, but was unable to continue that work due to his injuries. He continued to suffer back and neck pain at work and from prolonged periods of sitting. He could not lift larger equipment at his employment. He participated in a six-week active treatment program at a back clinic but continued to suffer pain on a regular basis. The court concluded that an appropriate award of damages was $50,000.00.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support of the defendant's estimate of damages of $20,000.00 to $25,000.00, the defendant referred to the following cases: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Edstrom v. Polson</w:t>
      </w:r>
      <w:r>
        <w:rPr>
          <w:rFonts w:ascii="arial" w:eastAsia="arial" w:hAnsi="arial" w:cs="arial"/>
          <w:color w:val="000000"/>
          <w:sz w:val="20"/>
          <w:lang w:val="en-US" w:eastAsia="en-US" w:bidi="ar-SA"/>
        </w:rPr>
        <w:t xml:space="preserve">, </w:t>
      </w:r>
      <w:hyperlink r:id="rId506" w:history="1">
        <w:r>
          <w:rPr>
            <w:rFonts w:ascii="arial" w:eastAsia="arial" w:hAnsi="arial" w:cs="arial"/>
            <w:i/>
            <w:color w:val="0077CC"/>
            <w:sz w:val="20"/>
            <w:u w:val="single"/>
            <w:shd w:val="clear" w:color="auto" w:fill="FFFFFF"/>
            <w:lang w:val="en-US" w:eastAsia="en-US" w:bidi="ar-SA"/>
          </w:rPr>
          <w:t>[2006] B.C.J. No. 853</w:t>
        </w:r>
      </w:hyperlink>
      <w:r>
        <w:rPr>
          <w:rFonts w:ascii="arial" w:eastAsia="arial" w:hAnsi="arial" w:cs="arial"/>
          <w:color w:val="000000"/>
          <w:sz w:val="20"/>
          <w:lang w:val="en-US" w:eastAsia="en-US" w:bidi="ar-SA"/>
        </w:rPr>
        <w:t xml:space="preserve">, </w:t>
      </w:r>
      <w:hyperlink r:id="rId506" w:history="1">
        <w:r>
          <w:rPr>
            <w:rFonts w:ascii="arial" w:eastAsia="arial" w:hAnsi="arial" w:cs="arial"/>
            <w:i/>
            <w:color w:val="0077CC"/>
            <w:sz w:val="20"/>
            <w:u w:val="single"/>
            <w:shd w:val="clear" w:color="auto" w:fill="FFFFFF"/>
            <w:lang w:val="en-US" w:eastAsia="en-US" w:bidi="ar-SA"/>
          </w:rPr>
          <w:t>2006 BCSC 614</w:t>
        </w:r>
      </w:hyperlink>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accident was in 2003 and the trial in 2006. The plaintiff was a 29 year old mother with two children. She had a teaching degree and was teaching half-time at an elementary school at the time of the accident. She sustained headaches and pain in her neck following the accident. The headaches ended soon after the collision, but she continued to see her doctor about problems with her neck. She received massage therapy and physiotherapy. She received some relief from some acupuncture treatments and neck manipulation provided by a physiotherapist. She could perform her teaching duties normally, but continued to experience neck pain. She said that performing household duties and yard duties aggravated her neck. She was an active runner and continued with that activity, including running four and twelve kilometre marathons. The physiotherapist said there was no reason she should not be able to run. One of her treating doctors believed that there was a strong possibility her condition had plateaued and that her complaints would be permanent. Other doctors who examined her were not convinced that the complaints would be permanent. The court concluded that she would recover within six to twelve months from an examination conducted in November of 2005. General damages were fixed at $22,000.00.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Her symptoms were much less pronounced than Ms. Cryderman's, and it was clear the court felt that they would clear up shortly.</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Linekar v. Andreiko</w:t>
      </w:r>
      <w:r>
        <w:rPr>
          <w:rFonts w:ascii="arial" w:eastAsia="arial" w:hAnsi="arial" w:cs="arial"/>
          <w:color w:val="000000"/>
          <w:sz w:val="20"/>
          <w:lang w:val="en-US" w:eastAsia="en-US" w:bidi="ar-SA"/>
        </w:rPr>
        <w:t xml:space="preserve">, </w:t>
      </w:r>
      <w:hyperlink r:id="rId507" w:history="1">
        <w:r>
          <w:rPr>
            <w:rFonts w:ascii="arial" w:eastAsia="arial" w:hAnsi="arial" w:cs="arial"/>
            <w:i/>
            <w:color w:val="0077CC"/>
            <w:sz w:val="20"/>
            <w:u w:val="single"/>
            <w:shd w:val="clear" w:color="auto" w:fill="FFFFFF"/>
            <w:lang w:val="en-US" w:eastAsia="en-US" w:bidi="ar-SA"/>
          </w:rPr>
          <w:t>[2004] B.C.J. No. 740</w:t>
        </w:r>
      </w:hyperlink>
      <w:r>
        <w:rPr>
          <w:rFonts w:ascii="arial" w:eastAsia="arial" w:hAnsi="arial" w:cs="arial"/>
          <w:color w:val="000000"/>
          <w:sz w:val="20"/>
          <w:lang w:val="en-US" w:eastAsia="en-US" w:bidi="ar-SA"/>
        </w:rPr>
        <w:t xml:space="preserve">, </w:t>
      </w:r>
      <w:hyperlink r:id="rId507" w:history="1">
        <w:r>
          <w:rPr>
            <w:rFonts w:ascii="arial" w:eastAsia="arial" w:hAnsi="arial" w:cs="arial"/>
            <w:i/>
            <w:color w:val="0077CC"/>
            <w:sz w:val="20"/>
            <w:u w:val="single"/>
            <w:shd w:val="clear" w:color="auto" w:fill="FFFFFF"/>
            <w:lang w:val="en-US" w:eastAsia="en-US" w:bidi="ar-SA"/>
          </w:rPr>
          <w:t>2004 BCSC 494</w:t>
        </w:r>
      </w:hyperlink>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 was injured in a motor vehicle accident on August 21, 2001, but was able to play eighteen holes of golf that day, and did not see her doctor until August 24, 2001. She had some neck pain and mid-upper back pain. For the next three and a half years she was found to have tenderness in her shoulder ridge muscles and was prescribed massage therapy. In April of 2003, she complained of having headaches which were daily, but diminished to once a week. She complained of daily neck and shoulder pain, and left arm pain with numbness in her fingers. The court found that her symptoms had not completely resolved by the time of the trial, and her tolerance for work and other activities was reduced. The court found that she would likely continue to experience occasional pain, discomfort and headaches for an indefinite period. Damages were fixed at $22,000.00.</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Pierce v. Pandi</w:t>
      </w:r>
      <w:r>
        <w:rPr>
          <w:rFonts w:ascii="arial" w:eastAsia="arial" w:hAnsi="arial" w:cs="arial"/>
          <w:color w:val="000000"/>
          <w:sz w:val="20"/>
          <w:lang w:val="en-US" w:eastAsia="en-US" w:bidi="ar-SA"/>
        </w:rPr>
        <w:t xml:space="preserve">, </w:t>
      </w:r>
      <w:hyperlink r:id="rId508" w:history="1">
        <w:r>
          <w:rPr>
            <w:rFonts w:ascii="arial" w:eastAsia="arial" w:hAnsi="arial" w:cs="arial"/>
            <w:i/>
            <w:color w:val="0077CC"/>
            <w:sz w:val="20"/>
            <w:u w:val="single"/>
            <w:shd w:val="clear" w:color="auto" w:fill="FFFFFF"/>
            <w:lang w:val="en-US" w:eastAsia="en-US" w:bidi="ar-SA"/>
          </w:rPr>
          <w:t>[2002] B.C.J. No. 1261</w:t>
        </w:r>
      </w:hyperlink>
      <w:r>
        <w:rPr>
          <w:rFonts w:ascii="arial" w:eastAsia="arial" w:hAnsi="arial" w:cs="arial"/>
          <w:color w:val="000000"/>
          <w:sz w:val="20"/>
          <w:lang w:val="en-US" w:eastAsia="en-US" w:bidi="ar-SA"/>
        </w:rPr>
        <w:t xml:space="preserve">, </w:t>
      </w:r>
      <w:hyperlink r:id="rId508" w:history="1">
        <w:r>
          <w:rPr>
            <w:rFonts w:ascii="arial" w:eastAsia="arial" w:hAnsi="arial" w:cs="arial"/>
            <w:i/>
            <w:color w:val="0077CC"/>
            <w:sz w:val="20"/>
            <w:u w:val="single"/>
            <w:shd w:val="clear" w:color="auto" w:fill="FFFFFF"/>
            <w:lang w:val="en-US" w:eastAsia="en-US" w:bidi="ar-SA"/>
          </w:rPr>
          <w:t>2002 BCSC 791</w:t>
        </w:r>
      </w:hyperlink>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 was a 38 year old loans officer. She was bedridden for approximately one week after the accident but had gradual improvement, and after eighteen months had returned to most of her daily activities, but with reduced tolerance. This affected her ability to enjoy walking, jogging, house cleaning and gardening to the same extent as before the accident. She had muscle soreness and regular headaches. General damages were set at $20,000.00. The court concluded that she had recovered from most, but not all of her symptoms within two years of the accident and no reason to expect that her symptoms would worsen. The court concluded they may get somewhat better.</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Williamson v. Nakashimada</w:t>
      </w:r>
      <w:r>
        <w:rPr>
          <w:rFonts w:ascii="arial" w:eastAsia="arial" w:hAnsi="arial" w:cs="arial"/>
          <w:color w:val="000000"/>
          <w:sz w:val="20"/>
          <w:lang w:val="en-US" w:eastAsia="en-US" w:bidi="ar-SA"/>
        </w:rPr>
        <w:t xml:space="preserve">, </w:t>
      </w:r>
      <w:hyperlink r:id="rId509" w:history="1">
        <w:r>
          <w:rPr>
            <w:rFonts w:ascii="arial" w:eastAsia="arial" w:hAnsi="arial" w:cs="arial"/>
            <w:i/>
            <w:color w:val="0077CC"/>
            <w:sz w:val="20"/>
            <w:u w:val="single"/>
            <w:shd w:val="clear" w:color="auto" w:fill="FFFFFF"/>
            <w:lang w:val="en-US" w:eastAsia="en-US" w:bidi="ar-SA"/>
          </w:rPr>
          <w:t>[2004] B.C.J. No. 2187</w:t>
        </w:r>
      </w:hyperlink>
      <w:r>
        <w:rPr>
          <w:rFonts w:ascii="arial" w:eastAsia="arial" w:hAnsi="arial" w:cs="arial"/>
          <w:color w:val="000000"/>
          <w:sz w:val="20"/>
          <w:lang w:val="en-US" w:eastAsia="en-US" w:bidi="ar-SA"/>
        </w:rPr>
        <w:t xml:space="preserve">, </w:t>
      </w:r>
      <w:hyperlink r:id="rId509" w:history="1">
        <w:r>
          <w:rPr>
            <w:rFonts w:ascii="arial" w:eastAsia="arial" w:hAnsi="arial" w:cs="arial"/>
            <w:i/>
            <w:color w:val="0077CC"/>
            <w:sz w:val="20"/>
            <w:u w:val="single"/>
            <w:shd w:val="clear" w:color="auto" w:fill="FFFFFF"/>
            <w:lang w:val="en-US" w:eastAsia="en-US" w:bidi="ar-SA"/>
          </w:rPr>
          <w:t>2004 BCSC 1348</w:t>
        </w:r>
      </w:hyperlink>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damages were fixed at $20,000.00. The plaintiff was 37 years old at the time of the accident. He suffered neck and back pain, and for several months was unable to work full-time. The accident was October 26, 1999 and the trial was July 2004. The plaintiff received some massage and chiropractic treatments. He was somewhat improved by June of 2000. He still complained of having headaches. By November of 2000, he was improving and the pain was less intense and more manageable. It was recommended he have trigger point injections and these were performed on two separate occasions. He had received about seventy massage therapy treatments and twenty chiropractic treatments. The doctor who examined him on behalf of the defendant did not feel that these passive therapy treatments were benefiting him, and that he should pursue more active therapy. The evidence was that the plaintiff had a long history of headaches that may not have been related to the accident. He also had some pre-accident history of back problems. The court found that the complaints were of mild to moderate soft tissue injuries with somewhat protracted recovery due in part to a pre-existing susceptibility to headaches and a weak link in his back. The court did find, however, that he had some residual pain four and a half years after the accident. The court distinguished this case from cases ranging in $40,000.00 to $50,000.00 where there were specific findings of chronic pain syndrome. General damages were fixed at $20,000.00.</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Bedwell v. McGill et al</w:t>
      </w:r>
      <w:r>
        <w:rPr>
          <w:rFonts w:ascii="arial" w:eastAsia="arial" w:hAnsi="arial" w:cs="arial"/>
          <w:color w:val="000000"/>
          <w:sz w:val="20"/>
          <w:lang w:val="en-US" w:eastAsia="en-US" w:bidi="ar-SA"/>
        </w:rPr>
        <w:t xml:space="preserve">, </w:t>
      </w:r>
      <w:hyperlink r:id="rId510" w:history="1">
        <w:r>
          <w:rPr>
            <w:rFonts w:ascii="arial" w:eastAsia="arial" w:hAnsi="arial" w:cs="arial"/>
            <w:i/>
            <w:color w:val="0077CC"/>
            <w:sz w:val="20"/>
            <w:u w:val="single"/>
            <w:shd w:val="clear" w:color="auto" w:fill="FFFFFF"/>
            <w:lang w:val="en-US" w:eastAsia="en-US" w:bidi="ar-SA"/>
          </w:rPr>
          <w:t>[2006] B.C.J. No. 498</w:t>
        </w:r>
      </w:hyperlink>
      <w:r>
        <w:rPr>
          <w:rFonts w:ascii="arial" w:eastAsia="arial" w:hAnsi="arial" w:cs="arial"/>
          <w:color w:val="000000"/>
          <w:sz w:val="20"/>
          <w:lang w:val="en-US" w:eastAsia="en-US" w:bidi="ar-SA"/>
        </w:rPr>
        <w:t xml:space="preserve">, </w:t>
      </w:r>
      <w:hyperlink r:id="rId510" w:history="1">
        <w:r>
          <w:rPr>
            <w:rFonts w:ascii="arial" w:eastAsia="arial" w:hAnsi="arial" w:cs="arial"/>
            <w:i/>
            <w:color w:val="0077CC"/>
            <w:sz w:val="20"/>
            <w:u w:val="single"/>
            <w:shd w:val="clear" w:color="auto" w:fill="FFFFFF"/>
            <w:lang w:val="en-US" w:eastAsia="en-US" w:bidi="ar-SA"/>
          </w:rPr>
          <w:t>2006 BCSC 369</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issue of general damages in the </w:t>
      </w:r>
      <w:r>
        <w:rPr>
          <w:rFonts w:ascii="arial" w:eastAsia="arial" w:hAnsi="arial" w:cs="arial"/>
          <w:b/>
          <w:i/>
          <w:color w:val="000000"/>
          <w:sz w:val="20"/>
          <w:lang w:val="en-US" w:eastAsia="en-US" w:bidi="ar-SA"/>
        </w:rPr>
        <w:t>Bedwell</w:t>
      </w:r>
      <w:r>
        <w:rPr>
          <w:rFonts w:ascii="arial" w:eastAsia="arial" w:hAnsi="arial" w:cs="arial"/>
          <w:color w:val="000000"/>
          <w:sz w:val="20"/>
          <w:lang w:val="en-US" w:eastAsia="en-US" w:bidi="ar-SA"/>
        </w:rPr>
        <w:t xml:space="preserve"> case is not of assistance. The plaintiff there suffered some mild soft tissue injuries in a motor vehicle accident, but subsequently fell down a flight of stairs suffering significant injuries to her legs and ankle. General damages were fixed at $85,000.00.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Each case is unique and must be determined on its own facts. It is difficult sometimes to compare cases, but they are of assistance in providing the court with some guidance as to what other judges of the court may have found to be reasonable. In considering the plaintiff's particular circumstances in this case and the impact of the injuries upon her, and that she will continue to be affected by these injuries in the foreseeable future, I find the appropriate award for non-pecuniary damages is $35,000.00.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PAST LOSS OF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Ms. Cryderman has only lost one half days work at the deli as a result of her injuries. She is paid approximately $11.00 an hour and that amounts to $44.00. She says that she booked off work an average of one day of employment since being a teacher-on-call in January of 2005. This time related to the affects of her injuries. She claims that as a teacher-on-call she would earn $180.00 an hour, and calculates a total of nine days in 2005 and four days in 2006. The evidence is that certainly in 2005 she booked off a large number of days that were unrelated to the accident. There is no evidence that she would have been called to work on the days that she says she booked off. I find that she has not proven any past loss of income other than the $44.00 I have mentioned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Ms. Cryderman will be able to perform her duties as a physical education teacher and science teacher. She may not necessarily be able to perform them in the same fashion that she would without her injuries, but this will not affect her ability to work as a teacher. She has been able to continue her employment as a deli clerk at the supermarket. However, this has required some accommodation from her employer. Dr. Hirsch was of the opinion that her injuries would impact her ability to perform work that included moderate to heavy lifting. The defendant argues that in fact she has been doing that work at the deli. She has been doing it, but only with modification and with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plaintiff refers to the following authorities: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leading authority on the assessment of loss of future earning capacity is the decision of our Court of Appeal in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40" w:history="1">
        <w:r>
          <w:rPr>
            <w:rFonts w:ascii="arial" w:eastAsia="arial" w:hAnsi="arial" w:cs="arial"/>
            <w:i/>
            <w:color w:val="0077CC"/>
            <w:sz w:val="20"/>
            <w:u w:val="single"/>
            <w:shd w:val="clear" w:color="auto" w:fill="FFFFFF"/>
            <w:lang w:val="en-US" w:eastAsia="en-US" w:bidi="ar-SA"/>
          </w:rPr>
          <w:t>[2001] B.C.J. No. 4</w:t>
        </w:r>
      </w:hyperlink>
      <w:r>
        <w:rPr>
          <w:rFonts w:ascii="arial" w:eastAsia="arial" w:hAnsi="arial" w:cs="arial"/>
          <w:color w:val="000000"/>
          <w:sz w:val="20"/>
          <w:lang w:val="en-US" w:eastAsia="en-US" w:bidi="ar-SA"/>
        </w:rPr>
        <w:t xml:space="preserve">, </w:t>
      </w:r>
      <w:hyperlink r:id="rId40"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I have set out the relevant site from that authority at some length:</w:t>
      </w:r>
    </w:p>
    <w:p>
      <w:pPr>
        <w:spacing w:before="120" w:line="260" w:lineRule="atLeast"/>
        <w:ind w:left="1080"/>
        <w:rPr>
          <w:rFonts w:ascii="arial" w:eastAsia="arial" w:hAnsi="arial" w:cs="arial"/>
          <w:sz w:val="20"/>
          <w:lang w:val="en-US" w:eastAsia="en-US" w:bidi="ar-SA"/>
        </w:rPr>
      </w:pPr>
      <w:r>
        <w:rPr>
          <w:rFonts w:ascii="arial" w:eastAsia="arial" w:hAnsi="arial" w:cs="arial"/>
          <w:i/>
          <w:color w:val="000000"/>
          <w:sz w:val="20"/>
          <w:lang w:val="en-US" w:eastAsia="en-US" w:bidi="ar-SA"/>
        </w:rPr>
        <w:t>(8 ... where a Plaintiff's permanent injury limits him in his capacity to perform certain activities and consequently impairs his income earning capacity, he is entitled to compensation. What is being compensated is not lost projected future earnings but the loss of impairment or earning capacity as a capital asset. In some cases, projections from past earnings may be a useful factor to consider in valuing the loss but past earnings are not the only factor to consider.</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 xml:space="preserve">Because damage awards are made as lump sums, an award for loss of future earning capacity must deal to some extent with the unknowable. The standard of proof to be applied when evaluating hypothetical events that may affect an award is simple probability, not the balance of probabilities: Athey v. Leonatty, </w:t>
      </w:r>
      <w:hyperlink r:id="rId13"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i/>
          <w:color w:val="000000"/>
          <w:sz w:val="20"/>
          <w:lang w:val="en-US" w:eastAsia="en-US" w:bidi="ar-SA"/>
        </w:rPr>
        <w:t>. Possibilities and probabilities, chances, opportunities and risks must all be considered, so long as they are real and substantial possibility and not mere speculation. These possibilities are to be given weight according to the percentage chance they would have happened or will happen.</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 xml:space="preserve">The trial judge's task is to assess the loss on a judgmental basis, taking into consideration all of the relevant factors arising from the evidence: Mazzuca v. Alexakis, </w:t>
      </w:r>
      <w:hyperlink r:id="rId511" w:history="1">
        <w:r>
          <w:rPr>
            <w:rFonts w:ascii="arial" w:eastAsia="arial" w:hAnsi="arial" w:cs="arial"/>
            <w:i/>
            <w:color w:val="0077CC"/>
            <w:sz w:val="20"/>
            <w:u w:val="single"/>
            <w:shd w:val="clear" w:color="auto" w:fill="FFFFFF"/>
            <w:lang w:val="en-US" w:eastAsia="en-US" w:bidi="ar-SA"/>
          </w:rPr>
          <w:t>[1994] B.C.J. No. 2128</w:t>
        </w:r>
      </w:hyperlink>
      <w:r>
        <w:rPr>
          <w:rFonts w:ascii="arial" w:eastAsia="arial" w:hAnsi="arial" w:cs="arial"/>
          <w:i/>
          <w:color w:val="000000"/>
          <w:sz w:val="20"/>
          <w:lang w:val="en-US" w:eastAsia="en-US" w:bidi="ar-SA"/>
        </w:rPr>
        <w:t xml:space="preserve"> (S.C.) at para. 121, aff'd </w:t>
      </w:r>
      <w:hyperlink r:id="rId512" w:history="1">
        <w:r>
          <w:rPr>
            <w:rFonts w:ascii="arial" w:eastAsia="arial" w:hAnsi="arial" w:cs="arial"/>
            <w:i/>
            <w:color w:val="0077CC"/>
            <w:sz w:val="20"/>
            <w:u w:val="single"/>
            <w:shd w:val="clear" w:color="auto" w:fill="FFFFFF"/>
            <w:lang w:val="en-US" w:eastAsia="en-US" w:bidi="ar-SA"/>
          </w:rPr>
          <w:t>[1997] B.C.J. No. 2178</w:t>
        </w:r>
      </w:hyperlink>
      <w:r>
        <w:rPr>
          <w:rFonts w:ascii="arial" w:eastAsia="arial" w:hAnsi="arial" w:cs="arial"/>
          <w:i/>
          <w:color w:val="000000"/>
          <w:sz w:val="20"/>
          <w:lang w:val="en-US" w:eastAsia="en-US" w:bidi="ar-SA"/>
        </w:rPr>
        <w:t xml:space="preserve"> [C.A.]. Guidance as to what factors may be relevant can be found in ... Brown v. Golaiy </w:t>
      </w:r>
      <w:hyperlink r:id="rId41"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i/>
          <w:color w:val="000000"/>
          <w:sz w:val="20"/>
          <w:lang w:val="en-US" w:eastAsia="en-US" w:bidi="ar-SA"/>
        </w:rPr>
        <w:t xml:space="preserve"> (S.C.) per Finch J. they include:</w:t>
      </w:r>
    </w:p>
    <w:p>
      <w:pPr>
        <w:numPr>
          <w:numId w:val="4"/>
        </w:numPr>
        <w:tabs>
          <w:tab w:val="clear" w:pos="148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i/>
          <w:color w:val="000000"/>
          <w:sz w:val="20"/>
          <w:lang w:val="en-US" w:eastAsia="en-US" w:bidi="ar-SA"/>
        </w:rPr>
        <w:t>Whether the Plaintiff has been rendered less capable overall from earning income from all types of employment;</w:t>
      </w:r>
    </w:p>
    <w:p>
      <w:pPr>
        <w:numPr>
          <w:numId w:val="4"/>
        </w:numPr>
        <w:tabs>
          <w:tab w:val="clear" w:pos="148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i/>
          <w:color w:val="000000"/>
          <w:sz w:val="20"/>
          <w:lang w:val="en-US" w:eastAsia="en-US" w:bidi="ar-SA"/>
        </w:rPr>
        <w:t>Whether the Plaintiff is less marketable or attractive as an employee to potential employers;</w:t>
      </w:r>
    </w:p>
    <w:p>
      <w:pPr>
        <w:numPr>
          <w:numId w:val="4"/>
        </w:numPr>
        <w:tabs>
          <w:tab w:val="clear" w:pos="148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i/>
          <w:color w:val="000000"/>
          <w:sz w:val="20"/>
          <w:lang w:val="en-US" w:eastAsia="en-US" w:bidi="ar-SA"/>
        </w:rPr>
        <w:t>Whether the Plaintiff has lost the ability to take advantage of all job opportunities which might otherwise have been open to him, had he not been injured; and</w:t>
      </w:r>
    </w:p>
    <w:p>
      <w:pPr>
        <w:numPr>
          <w:numId w:val="4"/>
        </w:numPr>
        <w:tabs>
          <w:tab w:val="clear" w:pos="148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i/>
          <w:color w:val="000000"/>
          <w:sz w:val="20"/>
          <w:lang w:val="en-US" w:eastAsia="en-US" w:bidi="ar-SA"/>
        </w:rPr>
        <w:t>Whether the Plaintiff is less valuable to himself as a person capable of earning income in a competitive labour market.</w:t>
      </w:r>
    </w:p>
    <w:p>
      <w:pPr>
        <w:spacing w:before="120" w:line="260" w:lineRule="atLeast"/>
        <w:ind w:left="1080"/>
        <w:rPr>
          <w:rFonts w:ascii="arial" w:eastAsia="arial" w:hAnsi="arial" w:cs="arial"/>
          <w:sz w:val="20"/>
          <w:lang w:val="en-US" w:eastAsia="en-US" w:bidi="ar-SA"/>
        </w:rPr>
      </w:pPr>
      <w:r>
        <w:rPr>
          <w:rFonts w:ascii="arial" w:eastAsia="arial" w:hAnsi="arial" w:cs="arial"/>
          <w:i/>
          <w:color w:val="000000"/>
          <w:sz w:val="20"/>
          <w:lang w:val="en-US" w:eastAsia="en-US" w:bidi="ar-SA"/>
        </w:rPr>
        <w:t xml:space="preserve">(11) The task of the Court is to assess damages, not to calculate them according to some mathematical formula: Mulholland (Guardian Ad Litem of) v. Riley Estate </w:t>
      </w:r>
      <w:hyperlink r:id="rId179" w:history="1">
        <w:r>
          <w:rPr>
            <w:rFonts w:ascii="arial" w:eastAsia="arial" w:hAnsi="arial" w:cs="arial"/>
            <w:i/>
            <w:color w:val="0077CC"/>
            <w:sz w:val="20"/>
            <w:u w:val="single"/>
            <w:shd w:val="clear" w:color="auto" w:fill="FFFFFF"/>
            <w:lang w:val="en-US" w:eastAsia="en-US" w:bidi="ar-SA"/>
          </w:rPr>
          <w:t>(1995), 12 B.C.L.R. (3d) 248</w:t>
        </w:r>
      </w:hyperlink>
      <w:r>
        <w:rPr>
          <w:rFonts w:ascii="arial" w:eastAsia="arial" w:hAnsi="arial" w:cs="arial"/>
          <w:i/>
          <w:color w:val="000000"/>
          <w:sz w:val="20"/>
          <w:lang w:val="en-US" w:eastAsia="en-US" w:bidi="ar-SA"/>
        </w:rPr>
        <w:t xml:space="preserve"> (C.A.). Once impairment of a Plaintiff's earning capacity as a capital asset has been established, that impairment must be valued.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stated in </w:t>
      </w:r>
      <w:r>
        <w:rPr>
          <w:rFonts w:ascii="arial" w:eastAsia="arial" w:hAnsi="arial" w:cs="arial"/>
          <w:i/>
          <w:color w:val="000000"/>
          <w:sz w:val="20"/>
          <w:lang w:val="en-US" w:eastAsia="en-US" w:bidi="ar-SA"/>
        </w:rPr>
        <w:t>Palmer v. Goodall</w:t>
      </w:r>
      <w:r>
        <w:rPr>
          <w:rFonts w:ascii="arial" w:eastAsia="arial" w:hAnsi="arial" w:cs="arial"/>
          <w:color w:val="000000"/>
          <w:sz w:val="20"/>
          <w:lang w:val="en-US" w:eastAsia="en-US" w:bidi="ar-SA"/>
        </w:rPr>
        <w:t xml:space="preserve"> </w:t>
      </w:r>
      <w:hyperlink r:id="rId513" w:history="1">
        <w:r>
          <w:rPr>
            <w:rFonts w:ascii="arial" w:eastAsia="arial" w:hAnsi="arial" w:cs="arial"/>
            <w:i/>
            <w:color w:val="0077CC"/>
            <w:sz w:val="20"/>
            <w:u w:val="single"/>
            <w:shd w:val="clear" w:color="auto" w:fill="FFFFFF"/>
            <w:lang w:val="en-US" w:eastAsia="en-US" w:bidi="ar-SA"/>
          </w:rPr>
          <w:t>(1991), 53 B.C.L.R. (2d) 44</w:t>
        </w:r>
      </w:hyperlink>
      <w:r>
        <w:rPr>
          <w:rFonts w:ascii="arial" w:eastAsia="arial" w:hAnsi="arial" w:cs="arial"/>
          <w:color w:val="000000"/>
          <w:sz w:val="20"/>
          <w:lang w:val="en-US" w:eastAsia="en-US" w:bidi="ar-SA"/>
        </w:rPr>
        <w:t xml:space="preserve"> (C.A.):</w:t>
      </w:r>
    </w:p>
    <w:p>
      <w:pPr>
        <w:spacing w:before="120" w:line="260" w:lineRule="atLeast"/>
        <w:ind w:left="1080"/>
        <w:rPr>
          <w:rFonts w:ascii="arial" w:eastAsia="arial" w:hAnsi="arial" w:cs="arial"/>
          <w:sz w:val="20"/>
          <w:lang w:val="en-US" w:eastAsia="en-US" w:bidi="ar-SA"/>
        </w:rPr>
      </w:pPr>
      <w:r>
        <w:rPr>
          <w:rFonts w:ascii="arial" w:eastAsia="arial" w:hAnsi="arial" w:cs="arial"/>
          <w:i/>
          <w:color w:val="000000"/>
          <w:sz w:val="20"/>
          <w:lang w:val="en-US" w:eastAsia="en-US" w:bidi="ar-SA"/>
        </w:rPr>
        <w:t>... Because it is impairment that is being redressed, even a plaintiff who is apparently going to be able to earn as much as he could have earned if not injured or who, with retraining, on the balance of probabilities will be able to do so, is entitled to some compensation for the impairment. He is entitled to it because for the rest of his life some occupations will be closed to him and it is impossible to say that over his working life the impairment will not harm his income ability.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Palmer v. Goodall</w:t>
      </w:r>
      <w:r>
        <w:rPr>
          <w:rFonts w:ascii="arial" w:eastAsia="arial" w:hAnsi="arial" w:cs="arial"/>
          <w:color w:val="000000"/>
          <w:sz w:val="20"/>
          <w:lang w:val="en-US" w:eastAsia="en-US" w:bidi="ar-SA"/>
        </w:rPr>
        <w:t xml:space="preserve">, </w:t>
      </w:r>
      <w:hyperlink r:id="rId513" w:history="1">
        <w:r>
          <w:rPr>
            <w:rFonts w:ascii="arial" w:eastAsia="arial" w:hAnsi="arial" w:cs="arial"/>
            <w:i/>
            <w:color w:val="0077CC"/>
            <w:sz w:val="20"/>
            <w:u w:val="single"/>
            <w:shd w:val="clear" w:color="auto" w:fill="FFFFFF"/>
            <w:lang w:val="en-US" w:eastAsia="en-US" w:bidi="ar-SA"/>
          </w:rPr>
          <w:t>[1991] 53 B.C.L.R. (2d) 44</w:t>
        </w:r>
      </w:hyperlink>
      <w:r>
        <w:rPr>
          <w:rFonts w:ascii="arial" w:eastAsia="arial" w:hAnsi="arial" w:cs="arial"/>
          <w:color w:val="000000"/>
          <w:sz w:val="20"/>
          <w:lang w:val="en-US" w:eastAsia="en-US" w:bidi="ar-SA"/>
        </w:rPr>
        <w:t xml:space="preserve"> (C.A.), the Court of Appeal awarded $150,000.00 in loss of future earning capacity to a 31 year old male plaintiff who had the ability to be retained to earn an annual income after the accident consistent with his pre-accident earnings.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defendant argues that there is really no loss of earning capacity because Ms. Cryderman is capable of doing the type of employment for which she is suitable; that is working as a teacher or a deli clerk. The defendant's argument does not account for the principle that in this case it is a loss of capacity for which compensation is being sought. I am satisfied Ms. Cryderman will be able to continue to work as a teacher and will earn as much money as a teacher now as she could of before the accident. However, I am also satisfied that the evidence proves on the balance of probabilities that she is rendered less capable overall from earning income from all types of employment. She can do many activities, but those that affect her shoulders, neck and back will cause her pain and discomfort. This is a limitation which she did not have before the accident. This will interfere with her ability to work in any type of job that required moderate to heavy lifting.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defendant argues that she can continue to do work that requires moderate to heavy lifting as demonstrated by her work at the deli. She performs at work, but only with discomfort and as a result of accommodations made for her by her employer.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She is a valued employee at the supermarket and they are prepared to accommodate her. She is, based on the evidence, a good teacher and will be a valued employee as a teacher. However, if she were seeking new employment as a deli clerk, or in some form of employment that required that kind of work, she would be less marketable or attractive as an employee because of the necessary accommodations. Her present employer is prepared to make those accommodations because she has worked for them since approximately 1999, and they appreciate her work and her attitude towards her work. I am satisfied, however, without that history and personal knowledge, that she would be less attractive to them as an employee.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 am also satisfied that Ms. Cryderman has lost the ability to take advantage of all jobs that might have otherwise been available to her, and because her pain is aggravated by certain physical activities that she is less valuable to herself as a person capable of earning income in a competitive labour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difficulty in this case, as in all similar cases, is trying to determine what an appropriate amount is for this lost capacity. The plaintiff argues that the appropriate approach would be one to two year's salary; in this case $90,000.00.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The plaintiff referred to the </w:t>
      </w:r>
      <w:r>
        <w:rPr>
          <w:rFonts w:ascii="arial" w:eastAsia="arial" w:hAnsi="arial" w:cs="arial"/>
          <w:b/>
          <w:i/>
          <w:color w:val="000000"/>
          <w:sz w:val="20"/>
          <w:lang w:val="en-US" w:eastAsia="en-US" w:bidi="ar-SA"/>
        </w:rPr>
        <w:t>Letourneau</w:t>
      </w:r>
      <w:r>
        <w:rPr>
          <w:rFonts w:ascii="arial" w:eastAsia="arial" w:hAnsi="arial" w:cs="arial"/>
          <w:color w:val="000000"/>
          <w:sz w:val="20"/>
          <w:lang w:val="en-US" w:eastAsia="en-US" w:bidi="ar-SA"/>
        </w:rPr>
        <w:t xml:space="preserve"> case where the court fixed the loss of future earning capacity at $72,000.00, which was approximately one year's salary. The plaintiff continued to be employed, but his capacity to perform certain work related activities was limited by the injuries. The plaintiff was 33 years of age and argued that his injuries curtailed his energy level, his drive and interfered with his ability to establish his own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The plaintiff also referred to the </w:t>
      </w:r>
      <w:r>
        <w:rPr>
          <w:rFonts w:ascii="arial" w:eastAsia="arial" w:hAnsi="arial" w:cs="arial"/>
          <w:b/>
          <w:i/>
          <w:color w:val="000000"/>
          <w:sz w:val="20"/>
          <w:lang w:val="en-US" w:eastAsia="en-US" w:bidi="ar-SA"/>
        </w:rPr>
        <w:t>Kahle</w:t>
      </w:r>
      <w:r>
        <w:rPr>
          <w:rFonts w:ascii="arial" w:eastAsia="arial" w:hAnsi="arial" w:cs="arial"/>
          <w:color w:val="000000"/>
          <w:sz w:val="20"/>
          <w:lang w:val="en-US" w:eastAsia="en-US" w:bidi="ar-SA"/>
        </w:rPr>
        <w:t xml:space="preserve"> case in which the court awarded an amount equivalent to two year's of the plaintiff's annual income. However, the </w:t>
      </w:r>
      <w:r>
        <w:rPr>
          <w:rFonts w:ascii="arial" w:eastAsia="arial" w:hAnsi="arial" w:cs="arial"/>
          <w:b/>
          <w:i/>
          <w:color w:val="000000"/>
          <w:sz w:val="20"/>
          <w:lang w:val="en-US" w:eastAsia="en-US" w:bidi="ar-SA"/>
        </w:rPr>
        <w:t>Kahle</w:t>
      </w:r>
      <w:r>
        <w:rPr>
          <w:rFonts w:ascii="arial" w:eastAsia="arial" w:hAnsi="arial" w:cs="arial"/>
          <w:color w:val="000000"/>
          <w:sz w:val="20"/>
          <w:lang w:val="en-US" w:eastAsia="en-US" w:bidi="ar-SA"/>
        </w:rPr>
        <w:t xml:space="preserve"> case involved a situation where the plaintiff had lost an opportunity to pursue the development of a home renovation business with a friend. He had retrained for other work and was pursuing that work, but his injuries as well affected his ability to perform that work. He had used a number of allowable sick days for medical treatment or time off work because of back or neck pain. He may be required to take more time off in the future and would lose wages for missed work. The court reviewed the method of assessing the loss in earning capacity at length, and that it was an assessment of a loss of earning capacity, not a calculation of loss. The estimate of the loss included the loss of opportunity to pursue the dream of a home renovation business with his friend.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The plaintiff also referred to the decision </w:t>
      </w:r>
      <w:r>
        <w:rPr>
          <w:rFonts w:ascii="arial" w:eastAsia="arial" w:hAnsi="arial" w:cs="arial"/>
          <w:b/>
          <w:i/>
          <w:color w:val="000000"/>
          <w:sz w:val="20"/>
          <w:lang w:val="en-US" w:eastAsia="en-US" w:bidi="ar-SA"/>
        </w:rPr>
        <w:t>Barkman v. Roy</w:t>
      </w:r>
      <w:r>
        <w:rPr>
          <w:rFonts w:ascii="arial" w:eastAsia="arial" w:hAnsi="arial" w:cs="arial"/>
          <w:color w:val="000000"/>
          <w:sz w:val="20"/>
          <w:lang w:val="en-US" w:eastAsia="en-US" w:bidi="ar-SA"/>
        </w:rPr>
        <w:t xml:space="preserve">, </w:t>
      </w:r>
      <w:hyperlink r:id="rId514" w:history="1">
        <w:r>
          <w:rPr>
            <w:rFonts w:ascii="arial" w:eastAsia="arial" w:hAnsi="arial" w:cs="arial"/>
            <w:i/>
            <w:color w:val="0077CC"/>
            <w:sz w:val="20"/>
            <w:u w:val="single"/>
            <w:shd w:val="clear" w:color="auto" w:fill="FFFFFF"/>
            <w:lang w:val="en-US" w:eastAsia="en-US" w:bidi="ar-SA"/>
          </w:rPr>
          <w:t>[2005] B.C.J. No. 1326</w:t>
        </w:r>
      </w:hyperlink>
      <w:r>
        <w:rPr>
          <w:rFonts w:ascii="arial" w:eastAsia="arial" w:hAnsi="arial" w:cs="arial"/>
          <w:color w:val="000000"/>
          <w:sz w:val="20"/>
          <w:lang w:val="en-US" w:eastAsia="en-US" w:bidi="ar-SA"/>
        </w:rPr>
        <w:t xml:space="preserve">, </w:t>
      </w:r>
      <w:hyperlink r:id="rId514" w:history="1">
        <w:r>
          <w:rPr>
            <w:rFonts w:ascii="arial" w:eastAsia="arial" w:hAnsi="arial" w:cs="arial"/>
            <w:i/>
            <w:color w:val="0077CC"/>
            <w:sz w:val="20"/>
            <w:u w:val="single"/>
            <w:shd w:val="clear" w:color="auto" w:fill="FFFFFF"/>
            <w:lang w:val="en-US" w:eastAsia="en-US" w:bidi="ar-SA"/>
          </w:rPr>
          <w:t>2005 BCSC 837</w:t>
        </w:r>
      </w:hyperlink>
      <w:r>
        <w:rPr>
          <w:rFonts w:ascii="arial" w:eastAsia="arial" w:hAnsi="arial" w:cs="arial"/>
          <w:color w:val="000000"/>
          <w:sz w:val="20"/>
          <w:lang w:val="en-US" w:eastAsia="en-US" w:bidi="ar-SA"/>
        </w:rPr>
        <w:t>. The plaintiff was 47 years old at the time of the accident. He left employment due to his injuries but eventually found employment that paid more. He was unable to work for a small construction company that he had operated and continued to suffer headaches and pain in his shoulder and back. The amount of loss for future earning capacity was $100,000.00. The plaintiff had been a school teacher who enjoyed teaching physical education. His injuries were significantly greater than the plaintiff's in the present case. The extent of his disability and period of recovery was also greater.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The plaintiff in the </w:t>
      </w:r>
      <w:r>
        <w:rPr>
          <w:rFonts w:ascii="arial" w:eastAsia="arial" w:hAnsi="arial" w:cs="arial"/>
          <w:b/>
          <w:i/>
          <w:color w:val="000000"/>
          <w:sz w:val="20"/>
          <w:lang w:val="en-US" w:eastAsia="en-US" w:bidi="ar-SA"/>
        </w:rPr>
        <w:t>Barkman</w:t>
      </w:r>
      <w:r>
        <w:rPr>
          <w:rFonts w:ascii="arial" w:eastAsia="arial" w:hAnsi="arial" w:cs="arial"/>
          <w:color w:val="000000"/>
          <w:sz w:val="20"/>
          <w:lang w:val="en-US" w:eastAsia="en-US" w:bidi="ar-SA"/>
        </w:rPr>
        <w:t xml:space="preserve"> case was seeking $200,000.00 for loss of future earning capacity. Two year's income at his present income would have been $130,000.00. He also lost the business opportunities that he had pursued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court in that case also concluded that he probably would have continued to work at least part-time past his 65th birthday, noting that his father had worked until he was approximately 80. The court was satisfied he would have pursued some form of physical work if he were not teaching and could no longer do that, and fixed the loss of earning capacity at $100,000.00.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the present case there is some uncertainty as to how long the plaintiff's symptoms will continue, but it is reasonable to conclude that she will continue to be bothered by her injuries indefinitely. The extent of that impairment is difficult to know exactly. However, she has clearly lost some future earning capacity in the sense described in the cases I have referred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defendants argue that really there should be no award for loss of earning capacity, and point to the following decisions: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Caleta v. Honaizer</w:t>
      </w:r>
      <w:r>
        <w:rPr>
          <w:rFonts w:ascii="arial" w:eastAsia="arial" w:hAnsi="arial" w:cs="arial"/>
          <w:color w:val="000000"/>
          <w:sz w:val="20"/>
          <w:lang w:val="en-US" w:eastAsia="en-US" w:bidi="ar-SA"/>
        </w:rPr>
        <w:t xml:space="preserve">, </w:t>
      </w:r>
      <w:hyperlink r:id="rId515" w:history="1">
        <w:r>
          <w:rPr>
            <w:rFonts w:ascii="arial" w:eastAsia="arial" w:hAnsi="arial" w:cs="arial"/>
            <w:i/>
            <w:color w:val="0077CC"/>
            <w:sz w:val="20"/>
            <w:u w:val="single"/>
            <w:shd w:val="clear" w:color="auto" w:fill="FFFFFF"/>
            <w:lang w:val="en-US" w:eastAsia="en-US" w:bidi="ar-SA"/>
          </w:rPr>
          <w:t>[2001] B.C.J. No. 2712</w:t>
        </w:r>
      </w:hyperlink>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was a summary trial proceeding. Non-pecuniary damages were assessed at $17,500.00. The court found that the plaintiff had substantially recovered from his injuries, and that there was no loss of future earning capacity. There was no real possibility of a future loss of earning capacity. That certainly follows from the court's findings that there had been substantial recovery from the injuries.</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Campbell v. Makela</w:t>
      </w:r>
      <w:r>
        <w:rPr>
          <w:rFonts w:ascii="arial" w:eastAsia="arial" w:hAnsi="arial" w:cs="arial"/>
          <w:color w:val="000000"/>
          <w:sz w:val="20"/>
          <w:lang w:val="en-US" w:eastAsia="en-US" w:bidi="ar-SA"/>
        </w:rPr>
        <w:t xml:space="preserve">, </w:t>
      </w:r>
      <w:hyperlink r:id="rId516" w:history="1">
        <w:r>
          <w:rPr>
            <w:rFonts w:ascii="arial" w:eastAsia="arial" w:hAnsi="arial" w:cs="arial"/>
            <w:i/>
            <w:color w:val="0077CC"/>
            <w:sz w:val="20"/>
            <w:u w:val="single"/>
            <w:shd w:val="clear" w:color="auto" w:fill="FFFFFF"/>
            <w:lang w:val="en-US" w:eastAsia="en-US" w:bidi="ar-SA"/>
          </w:rPr>
          <w:t>[2003] B.C.J. No. 943</w:t>
        </w:r>
      </w:hyperlink>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 there continued to have neck and shoulder pain aggravated by physical activity and sitting. The only evidence of loss of earning capacity was the plaintiff's assertion that he would not be able to do any jobs involving heavy or medium physical work. The court found that the plaintiff's own assertions were insufficient to prove that he had lost any earning capacity.</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Marcelino v. Francescutti</w:t>
      </w:r>
      <w:r>
        <w:rPr>
          <w:rFonts w:ascii="arial" w:eastAsia="arial" w:hAnsi="arial" w:cs="arial"/>
          <w:color w:val="000000"/>
          <w:sz w:val="20"/>
          <w:lang w:val="en-US" w:eastAsia="en-US" w:bidi="ar-SA"/>
        </w:rPr>
        <w:t xml:space="preserve">, </w:t>
      </w:r>
      <w:hyperlink r:id="rId517" w:history="1">
        <w:r>
          <w:rPr>
            <w:rFonts w:ascii="arial" w:eastAsia="arial" w:hAnsi="arial" w:cs="arial"/>
            <w:i/>
            <w:color w:val="0077CC"/>
            <w:sz w:val="20"/>
            <w:u w:val="single"/>
            <w:shd w:val="clear" w:color="auto" w:fill="FFFFFF"/>
            <w:lang w:val="en-US" w:eastAsia="en-US" w:bidi="ar-SA"/>
          </w:rPr>
          <w:t>[2002] B.C.J. No. 2810</w:t>
        </w:r>
      </w:hyperlink>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 suffered a moderate whiplash injury and left chest wall contusion. She was off work for approximately six weeks. Most of her soft tissue injuries had resolved within eighteen months, but she had some ongoing shoulder pain. The court found that there was no cogent evidence to suggest that there had been any real loss of earning capacity. No award was made.</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Linekar v. Andreiko</w:t>
      </w:r>
      <w:r>
        <w:rPr>
          <w:rFonts w:ascii="arial" w:eastAsia="arial" w:hAnsi="arial" w:cs="arial"/>
          <w:color w:val="000000"/>
          <w:sz w:val="20"/>
          <w:lang w:val="en-US" w:eastAsia="en-US" w:bidi="ar-SA"/>
        </w:rPr>
        <w:t xml:space="preserve">, </w:t>
      </w:r>
      <w:hyperlink r:id="rId507" w:history="1">
        <w:r>
          <w:rPr>
            <w:rFonts w:ascii="arial" w:eastAsia="arial" w:hAnsi="arial" w:cs="arial"/>
            <w:i/>
            <w:color w:val="0077CC"/>
            <w:sz w:val="20"/>
            <w:u w:val="single"/>
            <w:shd w:val="clear" w:color="auto" w:fill="FFFFFF"/>
            <w:lang w:val="en-US" w:eastAsia="en-US" w:bidi="ar-SA"/>
          </w:rPr>
          <w:t>[2004] B.C.J. No. 740</w:t>
        </w:r>
      </w:hyperlink>
      <w:r>
        <w:rPr>
          <w:rFonts w:ascii="arial" w:eastAsia="arial" w:hAnsi="arial" w:cs="arial"/>
          <w:color w:val="000000"/>
          <w:sz w:val="20"/>
          <w:lang w:val="en-US" w:eastAsia="en-US" w:bidi="ar-SA"/>
        </w:rPr>
        <w:t xml:space="preserve">, </w:t>
      </w:r>
      <w:hyperlink r:id="rId507" w:history="1">
        <w:r>
          <w:rPr>
            <w:rFonts w:ascii="arial" w:eastAsia="arial" w:hAnsi="arial" w:cs="arial"/>
            <w:i/>
            <w:color w:val="0077CC"/>
            <w:sz w:val="20"/>
            <w:u w:val="single"/>
            <w:shd w:val="clear" w:color="auto" w:fill="FFFFFF"/>
            <w:lang w:val="en-US" w:eastAsia="en-US" w:bidi="ar-SA"/>
          </w:rPr>
          <w:t>2004 BCSC 494</w:t>
        </w:r>
      </w:hyperlink>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found on the evidence in that case the plaintiff had not suffered any loss of earning capacity. There appeared to be no impact on her abilities to carry out her job, and no objective evidence to substantiate the plaintiff's belief that she was somehow less valuable or less productive.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Those cases are not consistent with my findings in this case. Another case in the defendant's materials </w:t>
      </w:r>
      <w:r>
        <w:rPr>
          <w:rFonts w:ascii="arial" w:eastAsia="arial" w:hAnsi="arial" w:cs="arial"/>
          <w:b/>
          <w:i/>
          <w:color w:val="000000"/>
          <w:sz w:val="20"/>
          <w:lang w:val="en-US" w:eastAsia="en-US" w:bidi="ar-SA"/>
        </w:rPr>
        <w:t>Krogh v. Swann</w:t>
      </w:r>
      <w:r>
        <w:rPr>
          <w:rFonts w:ascii="arial" w:eastAsia="arial" w:hAnsi="arial" w:cs="arial"/>
          <w:color w:val="000000"/>
          <w:sz w:val="20"/>
          <w:lang w:val="en-US" w:eastAsia="en-US" w:bidi="ar-SA"/>
        </w:rPr>
        <w:t xml:space="preserve">, </w:t>
      </w:r>
      <w:hyperlink r:id="rId518" w:history="1">
        <w:r>
          <w:rPr>
            <w:rFonts w:ascii="arial" w:eastAsia="arial" w:hAnsi="arial" w:cs="arial"/>
            <w:i/>
            <w:color w:val="0077CC"/>
            <w:sz w:val="20"/>
            <w:u w:val="single"/>
            <w:shd w:val="clear" w:color="auto" w:fill="FFFFFF"/>
            <w:lang w:val="en-US" w:eastAsia="en-US" w:bidi="ar-SA"/>
          </w:rPr>
          <w:t>[2005] B.C.J. No. 1184</w:t>
        </w:r>
      </w:hyperlink>
      <w:r>
        <w:rPr>
          <w:rFonts w:ascii="arial" w:eastAsia="arial" w:hAnsi="arial" w:cs="arial"/>
          <w:color w:val="000000"/>
          <w:sz w:val="20"/>
          <w:lang w:val="en-US" w:eastAsia="en-US" w:bidi="ar-SA"/>
        </w:rPr>
        <w:t xml:space="preserve"> was not argued by the plaintiff on the issue of loss of earning capacity, but does deal with a situation where the plaintiff was claiming they could not pursue employment they otherwise would have and claiming significant loss of earning capacity. The plaintiff would have some ongoing pain and discomfort in the future which may be aggravated by certain activities. In that case the court found that the loss of earning capacity was minimal and the amount was fixed at $10,000.00.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Ms. Cryderman's circumstances are worse than those in the </w:t>
      </w:r>
      <w:r>
        <w:rPr>
          <w:rFonts w:ascii="arial" w:eastAsia="arial" w:hAnsi="arial" w:cs="arial"/>
          <w:b/>
          <w:i/>
          <w:color w:val="000000"/>
          <w:sz w:val="20"/>
          <w:lang w:val="en-US" w:eastAsia="en-US" w:bidi="ar-SA"/>
        </w:rPr>
        <w:t>Krogh</w:t>
      </w:r>
      <w:r>
        <w:rPr>
          <w:rFonts w:ascii="arial" w:eastAsia="arial" w:hAnsi="arial" w:cs="arial"/>
          <w:color w:val="000000"/>
          <w:sz w:val="20"/>
          <w:lang w:val="en-US" w:eastAsia="en-US" w:bidi="ar-SA"/>
        </w:rPr>
        <w:t xml:space="preserve"> decision. However, she is not in the same situation as </w:t>
      </w:r>
      <w:r>
        <w:rPr>
          <w:rFonts w:ascii="arial" w:eastAsia="arial" w:hAnsi="arial" w:cs="arial"/>
          <w:b/>
          <w:i/>
          <w:color w:val="000000"/>
          <w:sz w:val="20"/>
          <w:lang w:val="en-US" w:eastAsia="en-US" w:bidi="ar-SA"/>
        </w:rPr>
        <w:t>Barkman</w:t>
      </w:r>
      <w:r>
        <w:rPr>
          <w:rFonts w:ascii="arial" w:eastAsia="arial" w:hAnsi="arial" w:cs="arial"/>
          <w:color w:val="000000"/>
          <w:sz w:val="20"/>
          <w:lang w:val="en-US" w:eastAsia="en-US" w:bidi="ar-SA"/>
        </w:rPr>
        <w:t xml:space="preserve"> or the other cases cited by the plaintiff, such as </w:t>
      </w:r>
      <w:r>
        <w:rPr>
          <w:rFonts w:ascii="arial" w:eastAsia="arial" w:hAnsi="arial" w:cs="arial"/>
          <w:b/>
          <w:i/>
          <w:color w:val="000000"/>
          <w:sz w:val="20"/>
          <w:lang w:val="en-US" w:eastAsia="en-US" w:bidi="ar-SA"/>
        </w:rPr>
        <w:t>Letourneau</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Kahle</w:t>
      </w:r>
      <w:r>
        <w:rPr>
          <w:rFonts w:ascii="arial" w:eastAsia="arial" w:hAnsi="arial" w:cs="arial"/>
          <w:color w:val="000000"/>
          <w:sz w:val="20"/>
          <w:lang w:val="en-US" w:eastAsia="en-US" w:bidi="ar-SA"/>
        </w:rPr>
        <w:t>. I am satisfied that a reasonable amount for loss of earning capacity in this case is $20,000.00.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LOSS OF FUTURE HOUSE AND YARD KEEPING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The plaintiff's ability to perform some of the housekeeping and yard work services in her home has been affected. It takes her longer to perform the same jobs, and some of the heavier jobs require assistance from others. These are things that she could have done prior to that. The plaintiff has not attempted to provide any evidence to prove the quantum of that loss, and has just suggested a $10,000.00 figure. The plaintiff refers to the </w:t>
      </w:r>
      <w:r>
        <w:rPr>
          <w:rFonts w:ascii="arial" w:eastAsia="arial" w:hAnsi="arial" w:cs="arial"/>
          <w:b/>
          <w:i/>
          <w:color w:val="000000"/>
          <w:sz w:val="20"/>
          <w:lang w:val="en-US" w:eastAsia="en-US" w:bidi="ar-SA"/>
        </w:rPr>
        <w:t>Tardiff</w:t>
      </w:r>
      <w:r>
        <w:rPr>
          <w:rFonts w:ascii="arial" w:eastAsia="arial" w:hAnsi="arial" w:cs="arial"/>
          <w:color w:val="000000"/>
          <w:sz w:val="20"/>
          <w:lang w:val="en-US" w:eastAsia="en-US" w:bidi="ar-SA"/>
        </w:rPr>
        <w:t xml:space="preserve"> decision in support of that, but in the </w:t>
      </w:r>
      <w:r>
        <w:rPr>
          <w:rFonts w:ascii="arial" w:eastAsia="arial" w:hAnsi="arial" w:cs="arial"/>
          <w:b/>
          <w:i/>
          <w:color w:val="000000"/>
          <w:sz w:val="20"/>
          <w:lang w:val="en-US" w:eastAsia="en-US" w:bidi="ar-SA"/>
        </w:rPr>
        <w:t>Tardiff</w:t>
      </w:r>
      <w:r>
        <w:rPr>
          <w:rFonts w:ascii="arial" w:eastAsia="arial" w:hAnsi="arial" w:cs="arial"/>
          <w:color w:val="000000"/>
          <w:sz w:val="20"/>
          <w:lang w:val="en-US" w:eastAsia="en-US" w:bidi="ar-SA"/>
        </w:rPr>
        <w:t xml:space="preserve"> decision there is no explanation as to the basis on which that amount was fixed. The evidence is the plaintiff was unable to do some heavy yard work, including digging and has cut the lawn, but does that only with difficulty. When she attempted to landscape her property, a friend of hers assisted her doing most of the heavy work. She continues to do her household chores, but it takes considerably longer for her to do them. If there is any heavy moving or lifting involved she must have help. It is certainly reasonable to assume that without the voluntary help of others, she would have to retain somebody to do some of these heavier jobs. The amount is hard to fix, but I find that $5,000.00 is appropriate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FUTURE COST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plaintiff will require further trigger point injections. The cost of travelling to and from Kelowna for those is approximately $160.00. This required four trips the last time and it is reasonable to assume it would be the same this time for a total of $640.00. The plaintiff has tried to calculate the cost of future care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6065"/>
        <w:gridCol w:w="2718"/>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93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Chiropractic - $30 x 8 treatments:</w:t>
            </w:r>
          </w:p>
        </w:tc>
        <w:tc>
          <w:tcPr>
            <w:tcW w:w="266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$240.00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751"/>
        <w:gridCol w:w="303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63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Rolfing - $70 x 2 treatments:</w:t>
            </w:r>
          </w:p>
        </w:tc>
        <w:tc>
          <w:tcPr>
            <w:tcW w:w="297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$140.00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Ibuprofen - $10 x 4: $40.00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7529"/>
        <w:gridCol w:w="125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37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Mileage to attend for trigger point injections $160 x 4:</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$640.00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before="120" w:line="260" w:lineRule="atLeast"/>
        <w:ind w:firstLine="240"/>
        <w:rPr>
          <w:rFonts w:ascii="arial" w:eastAsia="arial" w:hAnsi="arial" w:cs="arial"/>
          <w:sz w:val="20"/>
          <w:lang w:val="en-US" w:eastAsia="en-US" w:bidi="ar-SA"/>
        </w:rPr>
      </w:pPr>
      <w:r>
        <w:rPr>
          <w:rFonts w:ascii="arial" w:eastAsia="arial" w:hAnsi="arial" w:cs="arial"/>
          <w:b/>
          <w:color w:val="000000"/>
          <w:sz w:val="20"/>
          <w:lang w:val="en-US" w:eastAsia="en-US" w:bidi="ar-SA"/>
        </w:rPr>
        <w:t>Total:</w:t>
      </w:r>
    </w:p>
    <w:p>
      <w:pPr>
        <w:spacing w:before="120" w:line="260" w:lineRule="atLeast"/>
        <w:ind w:firstLine="24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w:t>
      </w:r>
      <w:r>
        <w:rPr>
          <w:rFonts w:ascii="arial" w:eastAsia="arial" w:hAnsi="arial" w:cs="arial"/>
          <w:b/>
          <w:color w:val="000000"/>
          <w:sz w:val="20"/>
          <w:u w:val="single"/>
          <w:lang w:val="en-US" w:eastAsia="en-US" w:bidi="ar-SA"/>
        </w:rPr>
        <w:t>$1,060.00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plaintiff says this is an annual figure, and that given her age, $10,000.00 in total would not be unreasonable. I note that the largest figure of $640.00 is for trigger point injections, and it is not certain whether those would need to be repeated or not. The balance is $420.00. The rolfing treatments have not been prescribed by her doctors, but she says she receives some relief from them. They are a form of deep muscle massage. The amount does not appear to be excessive. The chiropractic treatments have not been recommended by her doctors, but Dr. Hirsch said he was not adverse to those treatments. Her treating physician, Dr. Farren, says that she receives relief from them and does not say it should not be continued. Again, this requires a fairly rough assessment. She will require some future treatment and there will be some expenses. I find that a reasonable amount to allow is $4,000.00.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Special damages have been set out at $3,227.09. The parties believe that they will be able to agree on those amounts. They wish to review the benefits plan available to the plaintiff through her employment to determine what amount she may be able to recover through that plan. They have liberty to apply regarding that issue if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 allow the plaintiff's claim for damages in the following amounts: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705"/>
        <w:gridCol w:w="4078"/>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60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Non-pecuniary damages:</w:t>
            </w:r>
          </w:p>
        </w:tc>
        <w:tc>
          <w:tcPr>
            <w:tcW w:w="399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$35,000.00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4392"/>
        <w:gridCol w:w="2301"/>
        <w:gridCol w:w="1150"/>
        <w:gridCol w:w="19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30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Past Income Loss:</w:t>
            </w:r>
          </w:p>
        </w:tc>
        <w:tc>
          <w:tcPr>
            <w:tcW w:w="225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44.00</w:t>
            </w:r>
          </w:p>
        </w:tc>
        <w:tc>
          <w:tcPr>
            <w:tcW w:w="194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4915"/>
        <w:gridCol w:w="38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81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Loss of Earning Capacity:</w:t>
            </w:r>
          </w:p>
        </w:tc>
        <w:tc>
          <w:tcPr>
            <w:tcW w:w="378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$20,000.00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751"/>
        <w:gridCol w:w="303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63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Future House and Yard Keeping Services:</w:t>
            </w:r>
          </w:p>
        </w:tc>
        <w:tc>
          <w:tcPr>
            <w:tcW w:w="297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$ 5,000.00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601"/>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50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Future Cost of Care:</w:t>
            </w:r>
          </w:p>
        </w:tc>
        <w:tc>
          <w:tcPr>
            <w:tcW w:w="409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$ 4,000.00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6169"/>
        <w:gridCol w:w="261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Special Damages:</w:t>
            </w:r>
          </w:p>
        </w:tc>
        <w:tc>
          <w:tcPr>
            <w:tcW w:w="256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(subject to further submissions from counsel)</w:t>
            </w:r>
          </w:p>
        </w:tc>
        <w:tc>
          <w:tcPr>
            <w:tcW w:w="256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$ 3,227.09</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660"/>
        <w:gridCol w:w="5228"/>
        <w:gridCol w:w="94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Total:</w:t>
            </w:r>
          </w:p>
        </w:tc>
        <w:tc>
          <w:tcPr>
            <w:tcW w:w="512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u w:val="single"/>
                <w:lang w:val="en-US" w:eastAsia="en-US" w:bidi="ar-SA"/>
              </w:rPr>
              <w:t>$67,271.09</w:t>
            </w:r>
          </w:p>
        </w:tc>
        <w:tc>
          <w:tcPr>
            <w:tcW w:w="92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Subject to some matters of which I may not be aware, the plaintiff is entitled to her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POWERS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14" style="position:absolute;z-index:25182924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19"/>
          <w:headerReference w:type="default" r:id="rId520"/>
          <w:footerReference w:type="even" r:id="rId521"/>
          <w:footerReference w:type="default" r:id="rId522"/>
          <w:headerReference w:type="first" r:id="rId523"/>
          <w:footerReference w:type="first" r:id="rId52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25" w:history="1">
        <w:r>
          <w:rPr>
            <w:rFonts w:ascii="arial" w:eastAsia="arial" w:hAnsi="arial" w:cs="arial"/>
            <w:b/>
            <w:bCs/>
            <w:i/>
            <w:color w:val="0077CC"/>
            <w:kern w:val="32"/>
            <w:sz w:val="28"/>
            <w:szCs w:val="32"/>
            <w:u w:val="single"/>
            <w:shd w:val="clear" w:color="auto" w:fill="FFFFFF"/>
            <w:lang w:val="en-US" w:eastAsia="en-US" w:bidi="ar-SA"/>
          </w:rPr>
          <w:t>Dimen v. Binning, [2007] B.C.J. No. 2732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L.P. Williamson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December 11-13,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21,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M101247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[2007] B.C.J. No. 2732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526" w:history="1">
        <w:r>
          <w:rPr>
            <w:rFonts w:ascii="arial" w:eastAsia="arial" w:hAnsi="arial" w:cs="arial"/>
            <w:i/>
            <w:color w:val="0077CC"/>
            <w:sz w:val="20"/>
            <w:u w:val="single"/>
            <w:shd w:val="clear" w:color="auto" w:fill="FFFFFF"/>
            <w:lang w:val="en-US" w:eastAsia="en-US" w:bidi="ar-SA"/>
          </w:rPr>
          <w:t>2007 BCSC 1853</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526" w:history="1">
        <w:r>
          <w:rPr>
            <w:rFonts w:ascii="arial" w:eastAsia="arial" w:hAnsi="arial" w:cs="arial"/>
            <w:i/>
            <w:color w:val="0077CC"/>
            <w:sz w:val="20"/>
            <w:u w:val="single"/>
            <w:shd w:val="clear" w:color="auto" w:fill="FFFFFF"/>
            <w:lang w:val="en-US" w:eastAsia="en-US" w:bidi="ar-SA"/>
          </w:rPr>
          <w:t>61 M.V.R. (5th) 203</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526" w:history="1">
        <w:r>
          <w:rPr>
            <w:rFonts w:ascii="arial" w:eastAsia="arial" w:hAnsi="arial" w:cs="arial"/>
            <w:i/>
            <w:color w:val="0077CC"/>
            <w:sz w:val="20"/>
            <w:u w:val="single"/>
            <w:shd w:val="clear" w:color="auto" w:fill="FFFFFF"/>
            <w:lang w:val="en-US" w:eastAsia="en-US" w:bidi="ar-SA"/>
          </w:rPr>
          <w:t>2007 CarswellBC 3094</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526" w:history="1">
        <w:r>
          <w:rPr>
            <w:rFonts w:ascii="arial" w:eastAsia="arial" w:hAnsi="arial" w:cs="arial"/>
            <w:i/>
            <w:color w:val="0077CC"/>
            <w:sz w:val="20"/>
            <w:u w:val="single"/>
            <w:shd w:val="clear" w:color="auto" w:fill="FFFFFF"/>
            <w:lang w:val="en-US" w:eastAsia="en-US" w:bidi="ar-SA"/>
          </w:rPr>
          <w:t>163 A.C.W.S. (3d) 579</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David Alexander Dimen, Plaintiff, and Satpal Singh Binning,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15" style="position:absolute;z-index:2516776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25" w:name="Keywords_18"/>
      <w:bookmarkEnd w:id="125"/>
      <w:r>
        <w:rPr>
          <w:rFonts w:ascii="arial" w:eastAsia="arial" w:hAnsi="arial" w:cs="arial"/>
          <w:b/>
          <w:color w:val="000000"/>
          <w:sz w:val="20"/>
          <w:lang w:val="en-US" w:eastAsia="en-US" w:bidi="ar-SA"/>
        </w:rPr>
        <w:t>Damages — General damages — For personal injuries — Loss of earning capacity — The parties were found to be equally liable for the accident, and thus the defendant would pay one-half of the plaintiff's $35,762 in damages — These were composed of $12,000 in non-pecuniary damages, $3,622 in past income loss, $10,000 for lost real estate income (as the plaintiff was about to change careers right before the accident and become a real estate salesman), $8,721 to repair the truck, and special damages of $1,418.</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Physical injuries — Leg injuries — Ankle — Non-pecuniary award — $5,001 to $20,000 — The parties were found to be equally liable for the accident, and thus the defendant would pay one-half of the plaintiff's $35,762 in damages — These were composed of $12,000 in non-pecuniary damages, $3,622 in past income loss, $10,000 for lost real estate income (as the plaintiff was about to change careers right before the accident and become a real estate salesman), $8,721 to repair the truck, and special damages of $1,418.</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Apportionment of liability — Motor vehicles — Liability of driver — The parties were found to be equally liable for the accident, and thus the defendant would pay one-half of the plaintiff's $35,762 in damages — There was a very heavy onus on the plaintiff, the driver of a left-turning vehicle — However, it was undisputed that the plaintiff had stopped before he reached the dividing line between the two lanes; if the semi had not moved to the left, it could have continued northbound in the curb lane and there may have been no accident.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26" w:name="Case Summary_18"/>
            <w:bookmarkEnd w:id="12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sought damages for injuries sustained in a motor vehicle accident -- The plaintiff's pickup truck collided with the defendant's semi-trailer truck while the plaintiff was attempting to make a left-hand turn -- The main issue as to liability was whether the defendant semi had been travelling northbound in the curb lane, and had turned into the centre lane where the plaintiff had been stopped, precipitating the accident -- HELD: The court was unable to apportion liability precisely on the evidence, and thus the parties were found equally liable; the defendant was responsible for 50 per cent of the plaintiff's damages, assessed to be $35,762 -- Based on the evidence of the plaintiff and the two supporting independent witnesses, the court found the semi-trailer truck was not in the centre northbound lane as the defendant testified -- Otherwise it would not have ended up straddling the line between the two lanes after the accident -- There was a very heavy onus on the plaintiff, the driver of a left-turning vehicle -- However, it was undisputed that the plaintiff had stopped before he reached the dividing line between the two lanes; if the semi had not moved to the left, it could have continued northbound in the curb lane and there may have been no accident -- As to damages, although the plaintiff had suffered soft tissue injuries to his ankle, his neck, and had some psychological symptoms, the court found he was 90 per cent recovered -- He was awarded $12,000 in non-pecuniary damages, $3,622 in past income loss, $10,000 for lost real estate income as the plaintiff was about to change careers right before the accident and become a real estate salesman, $8,721 to repair the truck, and special damages of $1,418, which included claims for physiotherapy, massage therapy and psychological counselling.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27" w:name="Legislation Cited_9"/>
      <w:bookmarkEnd w:id="12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16" style="position:absolute;z-index:2517288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Motor Vehicle Act, </w:t>
      </w:r>
      <w:hyperlink r:id="rId527" w:history="1">
        <w:r>
          <w:rPr>
            <w:rFonts w:ascii="arial" w:eastAsia="arial" w:hAnsi="arial" w:cs="arial"/>
            <w:i/>
            <w:color w:val="0077CC"/>
            <w:sz w:val="20"/>
            <w:u w:val="single"/>
            <w:shd w:val="clear" w:color="auto" w:fill="FFFFFF"/>
            <w:lang w:val="en-US" w:eastAsia="en-US" w:bidi="ar-SA"/>
          </w:rPr>
          <w:t>R.S.B.C. 1996, c. 318, s. 166</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hyperlink r:id="rId528" w:history="1">
        <w:r>
          <w:rPr>
            <w:rFonts w:ascii="arial" w:eastAsia="arial" w:hAnsi="arial" w:cs="arial"/>
            <w:i/>
            <w:color w:val="0077CC"/>
            <w:sz w:val="20"/>
            <w:u w:val="single"/>
            <w:shd w:val="clear" w:color="auto" w:fill="FFFFFF"/>
            <w:lang w:val="en-US" w:eastAsia="en-US" w:bidi="ar-SA"/>
          </w:rPr>
          <w:t>R.S.B.C. 1996, c. 333, s. 1</w:t>
        </w:r>
      </w:hyperlink>
      <w:r>
        <w:rPr>
          <w:rFonts w:ascii="arial" w:eastAsia="arial" w:hAnsi="arial" w:cs="arial"/>
          <w:color w:val="000000"/>
          <w:sz w:val="20"/>
          <w:lang w:val="en-US" w:eastAsia="en-US" w:bidi="ar-SA"/>
        </w:rPr>
        <w:t>(2)</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28" w:name="Counsel_18"/>
      <w:bookmarkEnd w:id="12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17" style="position:absolute;z-index:2517800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Stanley T. Cope.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Madeline Hall.</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29" w:name="Judgment_18"/>
      <w:bookmarkEnd w:id="129"/>
      <w:r>
        <w:pict>
          <v:line id="_x0000_s1118" style="position:absolute;z-index:25183027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1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30" w:name="L.P. WILLIAMSON J."/>
            <w:bookmarkEnd w:id="130"/>
            <w:r>
              <w:rPr>
                <w:rFonts w:ascii="arial" w:eastAsia="arial" w:hAnsi="arial" w:cs="arial"/>
                <w:b/>
                <w:color w:val="000000"/>
                <w:sz w:val="30"/>
                <w:lang w:val="en-US" w:eastAsia="en-US" w:bidi="ar-SA"/>
              </w:rPr>
              <w:t>L.P. WILLIAMSON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February 2, 2006, the plaintiff David Alexander Dimen was southbound in his pickup truck on Mt. Lehman Road near Abbotsford. Just north of the intersection with Old Yale Road, there was to his left an entrance to a shopping mall. To facilitate entering the mall, there is a dedicated left turn lane. The plaintiff took his truck into that lane, stopped, and then commenced a left turn crossing the northbound lanes on Mt. Lehman Road. As he entered the western or centre of those two northbound lanes, he observed a large semi-trailer truck moving, as he put it, at a pretty good clip, northbound in the curb lane. He stopped. He said that the semi-trailer suddenly turned into the centre lane and collided with his pickup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semi-trailer truck was driven by the defendant Satpal Singh Binning. He testified that indeed he was northbound on Mt. Lehman Road. He testified that at all times he was in the centre lane. He said that when the plaintiff's pickup truck drove into the centre lane and stopped, he was so close that although he tried to avoid the collision by turning to the left and applying his brakes, there was nothing he could do to avoid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Liability is an issue. The defendant points to s. 166 of the </w:t>
      </w:r>
      <w:r>
        <w:rPr>
          <w:rFonts w:ascii="arial" w:eastAsia="arial" w:hAnsi="arial" w:cs="arial"/>
          <w:b/>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which states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driver of a vehicle must not turn the vehicle to the left from a highway at a place other than an intersection unless (c) the driver has ascertained that the movement can be made in safety, having regard to the nature, condition and use of the highway and the traffic that actually is at the time or might reasonably be expected to be on the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Both the plaintiff and the defendant testified. The plaintiff, as noted above, said that he waited for a satisfactory break in traffic before he began to cross the northbound lanes of Mt. Lehman Road. He said that when he saw the semi-trailer coming towards him, he immediately stopped. The defendant testified, adamantly, that at all times he was in the centre lane and never changed lanes.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There is other evidence on this point. Ryan Anderson, who coincidentally has training as a first responder, was also southbound in his vehicle on Mt. Lehman Road that morning. He testified that when he looked down Mt. Lehman Road towards the intersection at Old Yale Road, he observed the defendant's semi-trailer truck in the dedicated right-hand turn lane as if it were going to turn right to proceed west on Old Yale Road. However, he said that the semi-trailer crossed Old Yale Road from the dedicated right turn lane, despite being in an area that was not in fact a traffic lane. He said the semi headed north in the curb lane, moving "pretty good".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 second independent witness with critical evidence in this area was Dan Sloan. He was in another vehicle travelling south on Mt. Lehman Road. He was approximately adjacent to the pickup truck at the time of the collision. He stopped. He observed the position of the two vehicles after the collision. He testified that the semi-trailer was straddling the dividing line between the two northbound lanes on Mt. Lehman Road. The position of the truck, over the dividing line, is significant given the evidence of the defendant that he had turned the truck to the left just immediately before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 police officer attended. Unfortunately he took no notes of the position of the vehicles, nor of any skid marks.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On this evidence, as the testimony of the plaintiff is supported by two independent witnesses, I find as a fact that the semi-trailer truck was not in the centre northbound lane as the defendant testified. If it had been, it would not have ended up straddling the line between the two lanes after the accident. As the defendant testified he turned left when he saw the plaintiff's vehicle, the fact that he ended up straddling the two northbound lanes is consistent with his initially being in the curb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I also find that each driver was in a position to see the other vehicle. The plaintiff testified that for a very short period of time his view of the semi-trailer was blocked by a northbound SUV. There is a heavy onus on the driver of a left turning vehicle, given the wording of s. 166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to make sure that the roadway is clear. Regardless of the lane in which the semi-trailer was travelling north, it was an impediment to the plaintiff crossing. On the other hand, it is not disputed that although the plaintiff ventured into the northbound lane, he stopped before he reached the dividing line between those two lanes. If the semi-trailer truck had not moved to the left, it could have continued northbound in the curb lane and there may have been no accident. In the circumstances, I find both drivers at fault. I am unable to apportion liability precisely on this evidence. Therefore, pursuant to s. 1(2) of the </w:t>
      </w:r>
      <w:r>
        <w:rPr>
          <w:rFonts w:ascii="arial" w:eastAsia="arial" w:hAnsi="arial" w:cs="arial"/>
          <w:b/>
          <w:i/>
          <w:color w:val="000000"/>
          <w:sz w:val="20"/>
          <w:u w:val="single"/>
          <w:lang w:val="en-US" w:eastAsia="en-US" w:bidi="ar-SA"/>
        </w:rPr>
        <w:t>Negligence</w:t>
      </w:r>
      <w:r>
        <w:rPr>
          <w:rFonts w:ascii="arial" w:eastAsia="arial" w:hAnsi="arial" w:cs="arial"/>
          <w:b/>
          <w:i/>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 I apportion liability equally.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medical evidence in this case is unhelpful. The doctor retained by the plaintiff to conduct an assessment was not a persuasive witness. When it was pointed out to him that some of the information he said he received from the plaintiff was inconsistent with what he read in the clinical records he reviewed, he was adamant, indeed defensive, that his opinion was based solely upon the history given and his own examination and not upon the clinical records of others. That being so, what was the point of reviewing the four sets of clinical records he purportedly reviewed? That there were such inconsistencies renders his conclusion suspect.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doctor who conducted an independent medical examination for the defendant had little valuable information and at times contradicted himself. Much of what he said was not supported by anything reliable. He laced his testimony with the expression "if 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For example, he said, "my feeling was, his physical injuries, if any ..." There is no doubt the plaintiff sustained injury. Again, he said "there was no significant period of unconsciousness, if any". There was evidence of unconsciousness. The plaintiff said he recalled nothing from the time of the collision until he was put into the ambulance. The doctor made no enquiry as to how long that period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An example of his contradicting himself is his evidence concerning an injury to the plaintiff's ankle before the accident with which we are concerned. On that topic, the doctor testified "I am not sure what he told me". He then went on to say his opinion about the ankle injury was based upon the history recounted by the plaintiff and his examination of the plaintiff. I find it difficult to understand how he can base his opinion upon the history recounted by the plaintiff if he is not sure what the plaintiff told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These two doctors came to almost opposite conclusions. The defendant's doctor said he does not "feel that there is anything that would suggest that the patient requires further investigation, nor did I feel that the patient had any limitations that he was under as far as his activities were concerned". The plaintiff's doctor says the plaintiff will "continue to be symptomatic and continue to be restricted in his activity tolerance for the indefinite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principle behind permitting opinion evidence from experts is to assist the trier of fact to understand matters that are so sophisticated or technical that the average trier of fact could not understand them. It is of little assistance to the trier of fact to have two experts give opposite opinions. It hardly seems logical that the trier of fact must resolve these differences given the concept that the two witnesses were called because the trier of fact may not understand the evidence. This is a less than useful exercise.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family doctor who actually treated the plaintiff was also called. He reports ongoing injuries, yet wrote to insurers as early as May of 2006 saying the plaintiff at that time had "no functional limitations whatsoever". I emphasize the "whatsoever". He attempted in his testimony to deal with this apparent contradiction by saying that letter meant that he should no longer receive insurance benefits, not that he was recovered.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Thus, for the most part, I am left to my own assessment. I find the plaintiff was injured. The collision was significant. His pickup truck was hit by a large tractor truck towing a semi-trailer. The plaintiff's pickup truck was lifted into the air from the force of the collision. I accept that the plaintiff was unconscious for a period of time. The family doctor's clinical records report multiple physical complaints concerning his neck, headaches, shoulder pains, mid and low back pain, difficulties with his knee and his abdomen, and upper chest pain. By April, he was reporting concerns with his ankle. There were no broken bones. The injuries may be described as soft tissue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 accept that most of these injuries were effectively recovered by late spring - a duration of four to six months. There is some minor residual pain when his neck is rotated far to the right. There may be residual injury to his right ankle.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There were some psychological problems. He saw a psychologist for two or three sessions concerned principally with nightmares about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There was much testimony about the plaintiff's ankle. He injured it by twisting it while running with his dog six months prior to the motor vehicle accident. He had physiotherapy and, I conclude, recovered. I accept, however, that the previous injury made his ankle more susceptible to injury from later trauma. His family doctor is arranging for a bone scan of the ankle. That has not yet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 conclude that the plaintiff was essentially recovered by May 4, 2006, the date of the family physician's letter to the insurer. I accept that he has some residual difficulties. I accept that on rotating his neck far to the right he experiences pain. I accept that there is still some problem with his ankle that, although it was of increased vulnerability because of an earlier injury, is related to the motor vehicle accident. But these two matters are relatively insignificant. I accept that the plaintiff is at least 90% recovered.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plaintiff has put a number of cases before the court supporting a non-pecuniary award in the approximate amount of $20,000. He relies upon </w:t>
      </w:r>
      <w:r>
        <w:rPr>
          <w:rFonts w:ascii="arial" w:eastAsia="arial" w:hAnsi="arial" w:cs="arial"/>
          <w:b/>
          <w:i/>
          <w:color w:val="000000"/>
          <w:sz w:val="20"/>
          <w:lang w:val="en-US" w:eastAsia="en-US" w:bidi="ar-SA"/>
        </w:rPr>
        <w:t>Holland v. Mrus</w:t>
      </w:r>
      <w:r>
        <w:rPr>
          <w:rFonts w:ascii="arial" w:eastAsia="arial" w:hAnsi="arial" w:cs="arial"/>
          <w:color w:val="000000"/>
          <w:sz w:val="20"/>
          <w:lang w:val="en-US" w:eastAsia="en-US" w:bidi="ar-SA"/>
        </w:rPr>
        <w:t xml:space="preserve">, </w:t>
      </w:r>
      <w:hyperlink r:id="rId529" w:history="1">
        <w:r>
          <w:rPr>
            <w:rFonts w:ascii="arial" w:eastAsia="arial" w:hAnsi="arial" w:cs="arial"/>
            <w:i/>
            <w:color w:val="0077CC"/>
            <w:sz w:val="20"/>
            <w:u w:val="single"/>
            <w:shd w:val="clear" w:color="auto" w:fill="FFFFFF"/>
            <w:lang w:val="en-US" w:eastAsia="en-US" w:bidi="ar-SA"/>
          </w:rPr>
          <w:t>2007 BCSC 222</w:t>
        </w:r>
      </w:hyperlink>
      <w:r>
        <w:rPr>
          <w:rFonts w:ascii="arial" w:eastAsia="arial" w:hAnsi="arial" w:cs="arial"/>
          <w:color w:val="000000"/>
          <w:sz w:val="20"/>
          <w:lang w:val="en-US" w:eastAsia="en-US" w:bidi="ar-SA"/>
        </w:rPr>
        <w:t xml:space="preserve">, in which the plaintiff sustained soft tissue injuries to her back and neck, and was disabled for a period of approximately six months. He also referred to </w:t>
      </w:r>
      <w:r>
        <w:rPr>
          <w:rFonts w:ascii="arial" w:eastAsia="arial" w:hAnsi="arial" w:cs="arial"/>
          <w:b/>
          <w:i/>
          <w:color w:val="000000"/>
          <w:sz w:val="20"/>
          <w:lang w:val="en-US" w:eastAsia="en-US" w:bidi="ar-SA"/>
        </w:rPr>
        <w:t>Gale v. Knapp</w:t>
      </w:r>
      <w:r>
        <w:rPr>
          <w:rFonts w:ascii="arial" w:eastAsia="arial" w:hAnsi="arial" w:cs="arial"/>
          <w:color w:val="000000"/>
          <w:sz w:val="20"/>
          <w:lang w:val="en-US" w:eastAsia="en-US" w:bidi="ar-SA"/>
        </w:rPr>
        <w:t xml:space="preserve">, </w:t>
      </w:r>
      <w:hyperlink r:id="rId530" w:history="1">
        <w:r>
          <w:rPr>
            <w:rFonts w:ascii="arial" w:eastAsia="arial" w:hAnsi="arial" w:cs="arial"/>
            <w:i/>
            <w:color w:val="0077CC"/>
            <w:sz w:val="20"/>
            <w:u w:val="single"/>
            <w:shd w:val="clear" w:color="auto" w:fill="FFFFFF"/>
            <w:lang w:val="en-US" w:eastAsia="en-US" w:bidi="ar-SA"/>
          </w:rPr>
          <w:t>2006 BCSC 1225</w:t>
        </w:r>
      </w:hyperlink>
      <w:r>
        <w:rPr>
          <w:rFonts w:ascii="arial" w:eastAsia="arial" w:hAnsi="arial" w:cs="arial"/>
          <w:color w:val="000000"/>
          <w:sz w:val="20"/>
          <w:lang w:val="en-US" w:eastAsia="en-US" w:bidi="ar-SA"/>
        </w:rPr>
        <w:t>, a whiplash case in which the plaintiff had mild to moderate soft tissue injury combined with sleep problems, and back and shoulder problems that resolved in about six months, with some residual discomfort.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 defendant also referred to a number of cases. They included </w:t>
      </w:r>
      <w:r>
        <w:rPr>
          <w:rFonts w:ascii="arial" w:eastAsia="arial" w:hAnsi="arial" w:cs="arial"/>
          <w:b/>
          <w:i/>
          <w:color w:val="000000"/>
          <w:sz w:val="20"/>
          <w:lang w:val="en-US" w:eastAsia="en-US" w:bidi="ar-SA"/>
        </w:rPr>
        <w:t>Mohammed v. Frey</w:t>
      </w:r>
      <w:r>
        <w:rPr>
          <w:rFonts w:ascii="arial" w:eastAsia="arial" w:hAnsi="arial" w:cs="arial"/>
          <w:color w:val="000000"/>
          <w:sz w:val="20"/>
          <w:lang w:val="en-US" w:eastAsia="en-US" w:bidi="ar-SA"/>
        </w:rPr>
        <w:t xml:space="preserve">, </w:t>
      </w:r>
      <w:hyperlink r:id="rId531" w:history="1">
        <w:r>
          <w:rPr>
            <w:rFonts w:ascii="arial" w:eastAsia="arial" w:hAnsi="arial" w:cs="arial"/>
            <w:i/>
            <w:color w:val="0077CC"/>
            <w:sz w:val="20"/>
            <w:u w:val="single"/>
            <w:shd w:val="clear" w:color="auto" w:fill="FFFFFF"/>
            <w:lang w:val="en-US" w:eastAsia="en-US" w:bidi="ar-SA"/>
          </w:rPr>
          <w:t>2006 BCSC 205</w:t>
        </w:r>
      </w:hyperlink>
      <w:r>
        <w:rPr>
          <w:rFonts w:ascii="arial" w:eastAsia="arial" w:hAnsi="arial" w:cs="arial"/>
          <w:color w:val="000000"/>
          <w:sz w:val="20"/>
          <w:lang w:val="en-US" w:eastAsia="en-US" w:bidi="ar-SA"/>
        </w:rPr>
        <w:t xml:space="preserve">, in which the plaintiff sustained injuries to his neck and back. These resolved quickly, but there was a four year period of recurrent intermittent neck pain. Damages were assessed at $7,000. In </w:t>
      </w:r>
      <w:r>
        <w:rPr>
          <w:rFonts w:ascii="arial" w:eastAsia="arial" w:hAnsi="arial" w:cs="arial"/>
          <w:b/>
          <w:i/>
          <w:color w:val="000000"/>
          <w:sz w:val="20"/>
          <w:lang w:val="en-US" w:eastAsia="en-US" w:bidi="ar-SA"/>
        </w:rPr>
        <w:t>Hall v. Day</w:t>
      </w:r>
      <w:r>
        <w:rPr>
          <w:rFonts w:ascii="arial" w:eastAsia="arial" w:hAnsi="arial" w:cs="arial"/>
          <w:color w:val="000000"/>
          <w:sz w:val="20"/>
          <w:lang w:val="en-US" w:eastAsia="en-US" w:bidi="ar-SA"/>
        </w:rPr>
        <w:t xml:space="preserve">, </w:t>
      </w:r>
      <w:hyperlink r:id="rId532" w:history="1">
        <w:r>
          <w:rPr>
            <w:rFonts w:ascii="arial" w:eastAsia="arial" w:hAnsi="arial" w:cs="arial"/>
            <w:i/>
            <w:color w:val="0077CC"/>
            <w:sz w:val="20"/>
            <w:u w:val="single"/>
            <w:shd w:val="clear" w:color="auto" w:fill="FFFFFF"/>
            <w:lang w:val="en-US" w:eastAsia="en-US" w:bidi="ar-SA"/>
          </w:rPr>
          <w:t>2006 BCSC 874</w:t>
        </w:r>
      </w:hyperlink>
      <w:r>
        <w:rPr>
          <w:rFonts w:ascii="arial" w:eastAsia="arial" w:hAnsi="arial" w:cs="arial"/>
          <w:color w:val="000000"/>
          <w:sz w:val="20"/>
          <w:lang w:val="en-US" w:eastAsia="en-US" w:bidi="ar-SA"/>
        </w:rPr>
        <w:t>, the plaintiff was awarded $10,000 as non-pecuniary damages. He had sustained a soft tissue strain in his low back. He was treated until May of 2004, about nine months after the accident. The court found that by that time his recovery was "virtually completed" subject to some lingering discomfort.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all of the circumstances here, I assess non-pecuniary damages at $12,000.</w:t>
      </w:r>
      <w:r>
        <w:rPr>
          <w:rFonts w:ascii="arial" w:eastAsia="arial" w:hAnsi="arial" w:cs="arial"/>
          <w:sz w:val="20"/>
          <w:lang w:val="en-US" w:eastAsia="en-US" w:bidi="ar-SA"/>
        </w:rPr>
        <w:cr/>
      </w:r>
    </w:p>
    <w:p>
      <w:pPr>
        <w:numPr>
          <w:numId w:val="113"/>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Past Loss of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At the time of the accident, the plaintiff was employed as an aircraft technician with a company called Cascade Aerospace. He claims, and files a document from the company supporting this figure, $3622.49. There is no evidence concerning the actual net. In the circumstances, I accept this figure.</w:t>
      </w:r>
      <w:r>
        <w:rPr>
          <w:rFonts w:ascii="arial" w:eastAsia="arial" w:hAnsi="arial" w:cs="arial"/>
          <w:sz w:val="20"/>
          <w:lang w:val="en-US" w:eastAsia="en-US" w:bidi="ar-SA"/>
        </w:rPr>
        <w:cr/>
      </w:r>
    </w:p>
    <w:p>
      <w:pPr>
        <w:numPr>
          <w:numId w:val="2"/>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lang w:val="en-US" w:eastAsia="en-US" w:bidi="ar-SA"/>
        </w:rPr>
        <w:t>Loss of Real Estate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This claim arises because, at the time of the accident, the plaintiff was about to change careers from aerospace technician to real estate salesman. He obtained his licence from the Real Estate Council of British Columbia March 21, 2006. On the same day, he entered into an "Independent Contractors's Agreement" with Landmark Realty Corporation. He claims that getting started in the real estate field requires much time and effort, and that as a result of medical appointments and the exercise regime necessitated by his injuries, for several months he was unable to pursue his new career with the vigor, and for the amount of time, that he would have otherwise achieved.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He called another new real estate agent who testified that in her first six months as a realtor in the same area as the plaintiff, she generated two deals per month. The plaintiff did not. Although by 2007, he was performing well. I note, however, that the witness had an advantage as her parents were realtors as well. Thus she had the benefit of a name well known in the industry, and the benefit of referrals from her parents.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Nevertheless, I accept there was some loss. The amount is difficult to assess. The plaintiff relies upon </w:t>
      </w:r>
      <w:r>
        <w:rPr>
          <w:rFonts w:ascii="arial" w:eastAsia="arial" w:hAnsi="arial" w:cs="arial"/>
          <w:b/>
          <w:i/>
          <w:color w:val="000000"/>
          <w:sz w:val="20"/>
          <w:lang w:val="en-US" w:eastAsia="en-US" w:bidi="ar-SA"/>
        </w:rPr>
        <w:t>Steward v. Berezan</w:t>
      </w:r>
      <w:r>
        <w:rPr>
          <w:rFonts w:ascii="arial" w:eastAsia="arial" w:hAnsi="arial" w:cs="arial"/>
          <w:color w:val="000000"/>
          <w:sz w:val="20"/>
          <w:lang w:val="en-US" w:eastAsia="en-US" w:bidi="ar-SA"/>
        </w:rPr>
        <w:t xml:space="preserve">, </w:t>
      </w:r>
      <w:hyperlink r:id="rId138" w:history="1">
        <w:r>
          <w:rPr>
            <w:rFonts w:ascii="arial" w:eastAsia="arial" w:hAnsi="arial" w:cs="arial"/>
            <w:i/>
            <w:color w:val="0077CC"/>
            <w:sz w:val="20"/>
            <w:u w:val="single"/>
            <w:shd w:val="clear" w:color="auto" w:fill="FFFFFF"/>
            <w:lang w:val="en-US" w:eastAsia="en-US" w:bidi="ar-SA"/>
          </w:rPr>
          <w:t>2007 BCCA 150</w:t>
        </w:r>
      </w:hyperlink>
      <w:r>
        <w:rPr>
          <w:rFonts w:ascii="arial" w:eastAsia="arial" w:hAnsi="arial" w:cs="arial"/>
          <w:color w:val="000000"/>
          <w:sz w:val="20"/>
          <w:lang w:val="en-US" w:eastAsia="en-US" w:bidi="ar-SA"/>
        </w:rPr>
        <w:t>, in which Donald J.A., speaking for the court, said at para. 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 is a realtor who suffered a serious injury disabling him from performing as well as his peers in the same office for about four years. The amounts awarded for each of the years in question are not linked to any particular lost opportunities or evaluated by reference to a defined formula but, as hypothetical past losses, they had to be estimated rather than calculated. Generally speaking, the plaintiff did not enjoy the same increase in his earnings in a rising market as the other realtors used for comparison. There was a sufficient basis in the record supporting the plaintiff's claim for past loss in the amount awarded.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Accepting this reasoning, and taking into account the advantages evident for the realtor used for comparison, I assess the loss under this category at $10,000. I do not accept any significant impairment of future capacity to earn.</w:t>
      </w:r>
      <w:r>
        <w:rPr>
          <w:rFonts w:ascii="arial" w:eastAsia="arial" w:hAnsi="arial" w:cs="arial"/>
          <w:sz w:val="20"/>
          <w:lang w:val="en-US" w:eastAsia="en-US" w:bidi="ar-SA"/>
        </w:rPr>
        <w:cr/>
      </w:r>
    </w:p>
    <w:p>
      <w:pPr>
        <w:numPr>
          <w:numId w:val="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lang w:val="en-US" w:eastAsia="en-US" w:bidi="ar-SA"/>
        </w:rPr>
        <w:t>Vehicle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cost of repairing the plaintiff's truck was found to be $10,221.06. Rather than repair it, he sold it for $1500 for salvage, and purchased a new vehicle. He claims the cost of the new vehicle. I agree with counsel for the defendant that the correct amount to put the plaintiff in the position he would have been but for the accident is the repair cost minus the amount he received when he sold the damaged truck. I award $8,721.06.</w:t>
      </w:r>
      <w:r>
        <w:rPr>
          <w:rFonts w:ascii="arial" w:eastAsia="arial" w:hAnsi="arial" w:cs="arial"/>
          <w:sz w:val="20"/>
          <w:lang w:val="en-US" w:eastAsia="en-US" w:bidi="ar-SA"/>
        </w:rPr>
        <w:cr/>
      </w:r>
    </w:p>
    <w:p>
      <w:pPr>
        <w:numPr>
          <w:numId w:val="4"/>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lang w:val="en-US" w:eastAsia="en-US" w:bidi="ar-SA"/>
        </w:rPr>
        <w:t>Other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plaintiff claims $1,088.65 for physiotherapy and registered massage therapy, $60.50 for taxi fares, and $96.97 for prescriptions. These figures are supported in the evidence and I accept them. He also claims $344.20 for psychological counselling. I am satisfied that some of this counselling was necessitated by the accident, but that there were other contributing factors. I therefore assess this claim at 50%, or $172.10.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 therefore award special damages, in addition to the replacement of the vehicle, of $1,418.22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 assess damages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660"/>
        <w:gridCol w:w="1568"/>
        <w:gridCol w:w="460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Non-Pecuniary Damages</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$12,000.00</w:t>
            </w:r>
          </w:p>
        </w:tc>
        <w:tc>
          <w:tcPr>
            <w:tcW w:w="450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Past Loss of Income</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$ 3,622.49</w:t>
            </w:r>
          </w:p>
        </w:tc>
        <w:tc>
          <w:tcPr>
            <w:tcW w:w="450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Loss of Real Estate Income</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$10,000.00</w:t>
            </w:r>
          </w:p>
        </w:tc>
        <w:tc>
          <w:tcPr>
            <w:tcW w:w="450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Vehicle Loss</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$ 8,721.06</w:t>
            </w:r>
          </w:p>
        </w:tc>
        <w:tc>
          <w:tcPr>
            <w:tcW w:w="450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Other Special Damages</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$ 1,418.22</w:t>
            </w:r>
          </w:p>
        </w:tc>
        <w:tc>
          <w:tcPr>
            <w:tcW w:w="450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450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Total:</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$35,761.77</w:t>
            </w:r>
          </w:p>
        </w:tc>
        <w:tc>
          <w:tcPr>
            <w:tcW w:w="4506"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find the defendant 50% liable for these losses. Unless there is something of which I am unaware, the plaintiff will have his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L.P. WILLIAMSON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19" style="position:absolute;z-index:25187225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33"/>
          <w:headerReference w:type="default" r:id="rId534"/>
          <w:footerReference w:type="even" r:id="rId535"/>
          <w:footerReference w:type="default" r:id="rId536"/>
          <w:headerReference w:type="first" r:id="rId537"/>
          <w:footerReference w:type="first" r:id="rId53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39" w:history="1">
        <w:r>
          <w:rPr>
            <w:rFonts w:ascii="arial" w:eastAsia="arial" w:hAnsi="arial" w:cs="arial"/>
            <w:b/>
            <w:bCs/>
            <w:i/>
            <w:color w:val="0077CC"/>
            <w:kern w:val="32"/>
            <w:sz w:val="28"/>
            <w:szCs w:val="32"/>
            <w:u w:val="single"/>
            <w:shd w:val="clear" w:color="auto" w:fill="FFFFFF"/>
            <w:lang w:val="en-US" w:eastAsia="en-US" w:bidi="ar-SA"/>
          </w:rPr>
          <w:t>Forest &amp; Marine Financial Limited Partnership v. Triple C Logging Co., [2002] B.C.J. No. 2202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Ralph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7 - 11, 14 - 18, 21 - 25, 28, 31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and February 1,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27,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C981539</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[2002] B.C.J. No. 2202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2002 BCSC 1362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116 A.C.W.S. (3d) 865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Forest &amp; Marine Financial Limited Partnership and Forest &amp; Marine Financial Corporation, plaintiffs, and Triple C Logging Co. Ltd., defendant, and Triple C Logging Co. Ltd., Darlene Allen and Les Arden Smith, plaintiffs by counterclaim, and Burridge &amp; Associates and Nigel Burridge, defendants by counterclaim</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(96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20" style="position:absolute;z-index:2516787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31" w:name="Keywords_19"/>
      <w:bookmarkEnd w:id="131"/>
      <w:r>
        <w:rPr>
          <w:rFonts w:ascii="arial" w:eastAsia="arial" w:hAnsi="arial" w:cs="arial"/>
          <w:b/>
          <w:color w:val="000000"/>
          <w:sz w:val="20"/>
          <w:lang w:val="en-US" w:eastAsia="en-US" w:bidi="ar-SA"/>
        </w:rPr>
        <w:t xml:space="preserve">Professional occupations — Accountants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of care — Standard of care — Advice — Duty to third parties.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32" w:name="Case Summary_19"/>
            <w:bookmarkEnd w:id="13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Forest &amp; Marine against Triple C and another logging company for money owing on loans, and counterclaim against Burridge by the companies and their principles. Burridge was an accountant and director of Forest. He also provided accounting services to Triple C and the other logging company. Forest made numerous loans to Triple C and the other logging company between 1988 and 1998. The two logging companies were controlled by Smith who died in 1994. Smith operated both companies with his son and a business partner, Bass. The companies were generally considered as one entity. Burridge was retained between 1989 and 1996 to assist in the running of the company's finances. After Smith's death, a meeting was held between Bass, Smith's son and Burridge to discuss disposition of the $1.5 million life insurance award that was paid to Triple C. It was decided that $1 million would be used to reduce Triple C's indebtedness to Forest, while the other $500,000 would be loaned to the other logging company for the same purpose. Despite that loan, the other logging company suffered financial difficulty in 1994 and another meeting was held between Bass, Smith's son, and Burridge to discuss what could be done. After learning that the others would not consider declaring the logging company bankrupt, Burridge suggested merging the companies. He explained the advantages and disadvantages of this proposal. The companies were merged in March 1995. Following a difficult economic period, and failed attempts to refinance Triple C's debt, Forest forced the sale of Triple C's equipment bringing an end to the business in 1998. Triple C acknowledged that it owed Forest the $372,761 still owing on the loans.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33" w:name="Holdings of Court_16"/>
            <w:bookmarkEnd w:id="133"/>
            <w:r>
              <w:rPr>
                <w:rFonts w:ascii="arial" w:eastAsia="arial" w:hAnsi="arial" w:cs="arial"/>
                <w:color w:val="000000"/>
                <w:sz w:val="20"/>
                <w:lang w:val="en-US" w:eastAsia="en-US" w:bidi="ar-SA"/>
              </w:rPr>
              <w:t>HELD: Action allowed, and counterclaim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Triple C was ordered to pay Forest $372,761 plus interest. The logging companies were aware of Burridge's relationship to Forest and had not demonstrated that he had suggested the loan to serve the purposes of that company. He committed no breach of his duties of honesty or good faith. Burridge had also not been professionally negligent.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34" w:name="Counsel_19"/>
      <w:bookmarkEnd w:id="13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21" style="position:absolute;z-index:2517299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William B. McAllister, Q.C., and Stella D. Frame, for the plaintiffs. D. Ross Clark and Diana L. Dorey, for the defendant and plaintiffs by counterclaim. David B. Wende and Christine M. York, for the defendants by counterclaim.</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35" w:name="Judgment_19"/>
      <w:bookmarkEnd w:id="135"/>
      <w:r>
        <w:pict>
          <v:line id="_x0000_s1122" style="position:absolute;z-index:25178112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6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36" w:name="RALPH J."/>
            <w:bookmarkEnd w:id="136"/>
            <w:r>
              <w:rPr>
                <w:rFonts w:ascii="arial" w:eastAsia="arial" w:hAnsi="arial" w:cs="arial"/>
                <w:b/>
                <w:color w:val="000000"/>
                <w:sz w:val="30"/>
                <w:lang w:val="en-US" w:eastAsia="en-US" w:bidi="ar-SA"/>
              </w:rPr>
              <w:t>RALPH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July 1988 Chipman Scovil Smith was the president of Scovil Logging Ltd. ("Scovil Logging"). He applied to Forest &amp; Marine Financial Corporation ("Forest &amp; Marine") for a loan to his company of $550,000 to finance the purchase of a piece of logging equipment. This was the first of a number of loans to be made by Forest and Marine to Scovil Logging and later to the defendant, Triple C Logging Co. Ltd. ("Triple C"), over the next few years. Forest &amp; Marine is a company based in Nanaimo engaged since 1983 in loan financing principally to British Columbia companies in the forest products and marine industries.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Mr. Nigel Burridge, the defendant by counterclaim, is a chartered accountant whose accounting practice is located in the same building and on the same floor as Forest &amp; Marine. Mr. Burridge has been a director of Forest &amp; Marine since 1985. While he has a role in the ultimate approval of loans, he is not, however, involved in day to day matters or the management of Forest &amp; Marine. In mid-1989 Mr. Burridge began to provide accounting services to Scovil Logging and in time also provided those services to Triple 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Chipman Smith died on January 2, 1994. The evidence is clear that during his lifetime Mr. Smith exercised strong leadership and control over the business and operations of Scovil Logging and Triple C. Following his death, a number of financial problems arose which affected the two companies as well as Mr. Smith's adult children, Darlene Allen and Les Smith, who along with Triple C are the plaintiffs by counterclaim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this action the plaintiffs claim that the balance of monies owing to them by Triple C is $372,761.26 together with interest accruing from November 26, 2001. Triple C does not dispute that calculation but Ms. Allen and Mr. Les Smith say that Mr. Burridge breached the fiduciary duties he owed to them or was negligent in the services he provided to them such that he is liable to them in damages. The plaintiffs by counterclaim also say that, because of Mr. Burridge's relationship with Forest &amp; Marine, Forest &amp; Marine is vicariously liable for those damages. By their estimate the amount of damages exceeds the indebtedness claimed by Forest &amp; Marine against Triple 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As a result of a corporate reorganization, Forest &amp; Marine Financial Limited Partnership and Forest and Marine Financial Corporation each made loans to Triple C. Counsel advised me that for purposes of this action nothing turns on this distinction and I will continue to refer to the plaintiffs as "Forest &amp; Marine".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Similarly, it is my understanding that Mr. Burridge is not a partner of Burridge &amp; Associates but is an employee of Nigel Burridge Ltd. which is a partner of Burridge &amp; Associates. If anything in this action turns on this distinction, counsel may make further submissions on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plaintiffs by counterclaim say that there are two particular transactions which give rise to Mr. Burridge's liability. Because of the history of the relationships which preceded these transactions and its bearing upon the claims, I consider it necessary to set out the facts to a greater extent than usual.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Chipman Smith formed Scovil Logging in 1976. While having only limited formal education, it is clear that over time Mr. Smith acquired considerable experience in the logging industry including its business and financial aspects. Around 1986 Scovil Logging obtained a logging contract with MacMillan Bloedel Ltd. in the Port Alberni area and employed a number of people to carry out the work. The "office work" associated with the business, however, was carried out by Mr. Smith at his home and he was assisted with the accounting aspects of that work by an accountant in Port Alberni.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Beginning in 1979 Mr. Chipman Smith's son, Mr. Les Smith was also employed by Scovil Logging. He became skilled in the production side of the work, including the operation of most of the logging equipment. He did not, however, acquire much experience or understanding of the business and financial aspects of the company. At some time prior to July 1988, Mr. Les Smith became the secretary and a director of Scovil Logging. He held one-third of the issued common shares and Mr. Chipman Smith held two-thirds.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As noted above, in July 1988 Scovil Logging obtained the first of a number of loans from Forest and Marine. That loan was secured by a chattel mortgage over the goods of Scovil Logging and a promissory note from Scovil. The loan was negotiated by Mr. Chipman Smith with Mr. John Hitchcock, the president of Forest &amp; Marine.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early 1989 Mr. Chipman Smith met Mr. Burridge and retained his accounting services for Scovil Logging. Mr. Burridge was retained to prepare Scovil's payroll, attend to its payables and prepare its corporate tax returns. To facilitate their work, Scovil Logging gave joint signing authority over its Nanaimo bank accounts to Mr. Burridge and Ms. Blackley (then Ms. West), a bookkeeper in Mr. Burridge's office. Ms. Blackley also performed a cash flow management function whereby any excess funds in Scovil's bank account were from time to time paid to Forest &amp; Marine to reduce interest charges on loans from Forest &amp; Marine.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early 1990 Scovil's Port Alberni contract with MacMillan Bloedel Ltd. was coming to an end. As a result, Mr. Chipman Smith was seeking further logging opportunities. In June 1990 Mr. Smith purchased Triple C Logging having been advised of its availability by Mr. Burridge. Triple C was based in Squamish.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purchase was financed by a loan from Forest &amp; Marine in the amount of $1,799,792. Mr. Chipman Smith negotiated the Forest &amp; Marine loan with Mr. John Hitchcock. It was secured by a guarantee from Scovil Logging, chattel mortgages over the goods of Scovil Logging and Triple C, a personal guarantee from Mr. Smith and a mortgage of his residence in Nanoose Bay in the amount of $150,000. In addition, Triple C was required to obtain and assign to Forest &amp; Marine a $1.5 million insurance policy on the life of Mr. Smith.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To structure the purchase of Triple C, Mr. Smith incorporated a holding company, 389074 B.C. Ltd., to hold the shares of Triple C. The directors and officers of 389074 B.C. Ltd. were Mr. Chipman Smith and his common law wife, Ms. Linda Halls. Mr. Smith held all of its common shares. Mr. Smith was the sole officer and director of Triple 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Smith and Ms. Halls moved to Squamish shortly after the purchase of Triple C. Ms. Halls took an accounting course and then assumed a number of Triple C's office duties including payroll, accounts payable, and expense coding. Burridge and Associates continued providing accounting assistance. To that end, cheques from Triple C's contract with MacMillan Bloedel Ltd. were deposited by Ms. Halls in a Squamish bank account but funds were regularly transferred from that account to a Nanaimo account to enable Burridge &amp; Associates to carry out their accounting functions. Those functions included making loan payments to, among others, Forest &amp; Marine.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When Scovil Logging's contract in Port Alberni ended in October 1990, its equipment was moved to Triple C's property in Squamish. Mr. Les Smith and his family moved to Squamish and Mr. Smith was employed in helping his father with the equipment and operations in Squamish.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March 1991 Mr. Chipman Smith transferred all of his shares in Scovil Logging to his son who became the sole director, officer and shareholder of Scovil. It was Mr. Burridge's evidence that this transfer was carried out to ensure that Scovil Logging and Triple C would not be associated companies for tax purposes. Despite the transfer, the evidence is clear that Mr. Chipman Smith remained effectively in control of both companies from the standpoint of direction and decision making.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about May 1992 Scovil Logging obtained a logging contract with Meadow Creek Cedar Ltd. near Kaslo. Mr. Les Smith moved to Kaslo to direct the operations. In June 1992, Scovil Logging borrowed $500,000 from Forest and Marine to deal with its indebtedness following the slow period which followed the ending of its contract in Port Alberni. The loan was secured by a specific security agreement and a promissory note from the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his evidence at trial Mr. John Hitchcock described the loan criteria of Forest &amp; Marine. He stated that it was his practice to obtain a list of the potential borrower's equipment and to find out if the borrower has a long-term contractual relationship with a major company. He also determines what phases of logging the contract covers and whether the borrower has its own mechanics and shop. In estimating the value of the borrower's equipment he draws upon his own knowledge of the industry and checks with others where he does not have current knowledge.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Because of the growing demands of the two companies, in May 1992 Mr. Chipman Smith hired James Bass to assist him in running Triple C and Scovil Logging. Mr. Bass is a forestry engineer who had gained considerable experience by 1992 and who had come to know Mr. Smith when they both worked in the Port Alberni area. Mr. Bass was to work primarily in planning and on the companies' contracts and sub-contracts.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It was intended that Mr. Bass would acquire an ownership interest in the companies and in January 1993 Mr. Bass acquired 18 common shares of 389074 B.C. Ltd. and 18 class A and class B shares of Scovil Logging. He also became a director and the secretary of Scovil and the secretary of 389074 B.C. Ltd. He became a director and the secretary of Triple C in September 1993.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the summer of 1993 Mr. Chipman Smith was diagnosed with cancer and died on January 2, 1994. As Mr. Smith's condition worsened in the last half of 1993, Mr. Bass gradually took over the management of the Triple C operation in Squamish. Prior to that Mr. Bass had been making regular trips to Kaslo to assist Mr. Les Smith with the Scovil Logging operations. The visits were substantially reduced after Mr. Chipman Smith became 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his will Mr. Chipman Smith appointed Mr. Les Smith as his executor. The residue of the estate, which included Mr. Smith's interest in 389074 B.C. Ltd., was to be divided equally among Ms. Halls, Ms. Allen and Mr. Les Smith.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Following Mr. Smith's death Mr. Les Smith became the president and a director of 389074 B.C. Ltd. Mr. Chipman Smith's estate held 100 common shares and 125,000 preference shares in the company. In addition Mr. Les Smith became the president and a director of Triple 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January 1994 there were discussions among Mr. Smith's family members and Mr. Bass about decisions that needed to be made concerning Scovil Logging and Triple C. Not surprisingly the dates and the contents of some of those discussions are now blurred. Mr. Burridge was present at one of the discussions, likely January 27, 1994. A significant meeting took place at Mr. Burridge's office on February 8, 1994, concerning the application of the $1.5 million proceeds from the life insurance policy held by Triple C on the life of Mr. Smith and assigned to Forest &amp; Marine as security. Present were Mr. Burridge, Mr. Les Smith and Mr. Bass. Ms. Allen says she was also present but her evidence is disputed and she admitted that she was uncertain. She had attended more than one meeting with Mr. Burridge around that period of time. On the evidence before me, however, I find that Ms. Allen was not present at the February 8, 1994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the course of the February 8 meeting a decision was made to direct Forest &amp; Marine to apply $1 million of the insurance proceeds to the indebtedness of Triple C and $500,000 to the indebtedness of Scovil Logging. Mr. Burridge's role and professional duty in relation to this decision are an issue in this action and I will return to this issue later in this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evidence of what transpired at the meeting is somewhat in dispute. Mr. Burridge says that the subject of applying the $500,000 to Scovil Logging's debt was not discussed in the course of the meeting but was raised at the end of the meeting by Messrs. Smith and Bass. Mr. Burridge says that they simply requested him to instruct Mr. Hitchcock at Forest &amp; Marine to apply the life insurance to the debts of Triple C and Scovil Logging in this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Bass says that the viability of Scovil was discussed at the meeting and it was decided to apply the insurance funds in this manner to make Scovil viable financially. He said that he felt that to do so was also in his financial interest as a shareholder. In his view Triple C and Scovil Logging were the same company and it was important to him that Scovil "didn't go belly-up".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his testimony at trial Mr. Les Smith denied that he had been part of the decision to advance insurance proceeds to Scovil's indebtedness to Forest &amp; Marine. He also said that when he learned of it he telephoned Mr. Burridge and asked him to put back the funds which had been designated for Scovil's debt. Mr. Smith said that Mr. Burridge agreed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Ms. Marilyn Smith testified that her husband requested her to make a follow-up call to Mr. Burridge, that she did so, and that Mr. Burridge said he would put the funds back "on Friday". Mr. Burridge denied receiving such calls from Ms. Smith or from Mr. Smith.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Burridge conveyed the decision to Mr. John Hitchcock at Forest &amp; Marine and Mr. Hitchcock wrote to Triple C Logging February 16, 1994. The letter was directed to Ms. Halls, Mr. Les Smith and Mr. Bass. It confirmed that the insurance proceeds had been applied as instructed. On February 25, 1994, Triple C owed Forest &amp; Marine approximately $965,700 and Scovil Logging owed $477,800.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Ms. Sheila Anderson is a solicitor in Nanaimo who drafted Mr. Chipman Smith's will and subsequently acted as solicitor for the executor of the estate. She also acted in the estate's settlement with Ms. Halls. In the course of administering the estate she learned of the transfer of the insurance proceeds to the debts of Triple C and Scovil Logging to Forest &amp; Marine. It had been her understanding that the insurance proceeds would go to the estate and she made inquiries of Mr. Burridge and Mr. Hitchcock. She was subsequently satisfied that Forest &amp; Marine were entitled to receive the proceeds by reason of Mr. Chipman Smith's assignment of them and set that out in a letter to Ms. Allen on October 27, 1994. When Ms. Allen later expressed concern to her about the proposed amalgamation of Triple C and Scovil Logging, Ms. Anderson suggested that Ms. Allen consult the accountant, Mr. Braithwaite. In cross-examination Ms. Anderson agreed that she had not been instructed to seek the transfer back to Triple C of the $500,000 paid to Forest &amp; Marine on the debt of Scovil Logging.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Through the balance of 1994 consideration was given to selling Triple C or having it enter a partnership with another company. It was primarily Mr. Bass who pursued this option on behalf of Triple C but he regularly sought advice from Mr. Burridge. Ms. Halls had also made it clear that she did not wish to be part of Triple C and wished to be bought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Concurrently, Scovil Logging was in financial difficulty. One of the steps taken to deal with Scovil's distress was to charge Triple C rent for its use of Scovil Logging's equipment. This practice had been in place at an earlier time but had lapsed. Mr. Bass developed rental rates and sent them for review to Ms. Blackley at Burridge &amp; Associates. Rent of $200,000 was established for the period of 1990 to March 1993 and that amount was credited to Scovil Logging.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the summer of 1994 Scovil Logging's production at its Kaslo operation was falling. In about November its contract with Meadow Creek Cedar Ltd. was terminated and Scovil moved its Kaslo equipment back to Triple C's yard in Squamish.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December 1994 Mr. Bass and Mr. Les Smith met with Mr. Burridge. The purpose of the meeting was to discuss the financial condition of Scovil Logging. Mr. Burridge says that the first option he proposed was to sell Scovil's equipment and liquidate its debts. He says, however, that Mr. Les Smith was opposed to such action because Scovil Logging had been his father's company and bore his father's middle name.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Burridge testified that, given this concern, he conferred with Ms. Blackwell then proposed the amalgamation of Scovil Logging and Triple C. He said that the major problem with amalgamation was the debt owed to Triple C by Scovil. Mr. Burridge stated, however, that both Mr. Les Smith and Mr. Bass had advised him that Triple C could make use of Scovil's equipment in its operations. Because the value of the equipment was said to exceed Scovil's liabilities, Triple C would gain the use of certain tax losses and tax credits from amalgamation. In addition it was Mr. Burridge's opinion that on amalgamation there were tax losses available to Mr. Les Smith. It was his opinion that amalgamating the two companies was a means for Messrs. Smith and Bass to maximize their recovery. Mr. Burridge did not prepare any written summary of this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his evidence at trial Mr. Bass agreed that one of the matters discussed at the meeting was the fact that Scovil Logging's equipment might be more suitable for Triple C than its own high cost equipment. He also agreed that the resulting tax benefits were discussed including a benefit to Mr. Les Smith resulting from a claimable tax loss. Mr. Bass testified that a further identified advantage of amalgamation was that it would protect Triple C's reputation, since Triple C and Scovil Logging were seen as one company by the logging industry. A bankruptcy by Scovil would therefore reflect badly on Triple C and affect Triple C's ability to deal with its suppliers and creditors. This had been a concern to Mr. Bass and Mr. Smith. Mr. Bass said that the parties at the meeting recognized that in an amalgamation Triple C would have to absorb the debt of Scovil Logging.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amalgamation of Scovil Logging and Triple C was ultimately carried out on March 31,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On December 10, 1994, there had been a further meeting with Mr. Burridge followed by a meeting with Mr. John Hitchcock. The meeting with Mr. Burridge was attended by Mr. Bass, Mr. Les Smith and Ms. Allen and perhaps others. The subject of the meeting was the amalgamation of Triple C and Scovil Logging.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Ms. Allen had been concerned about amalgamation and had sought her own advice from Mr. Braithwaite, whose name had been given to her by Ms. Anderson. Ms. Allen met with Mr. Braithwaite on December 1 and 2 and possibly December 10. Mr. Les Smith met with Mr. Braithwaite at the second or third meeting. It is Ms. Allen's evidence that Mr. Braithwaite did not consider amalgamation to be a good idea based upon the information provided to him and Mr. Braithwaite confirmed this view in his evidence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Ms. Allen says that in the December 10 meeting, however, Mr. Burridge had given reasons to amalgamate, there was no dissent about it and she felt good about the proposal.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At the December 10 meeting with Mr. Burridge there was also discussion about the application of the $500,000 life insurance payment to Scovil's debt to Forest &amp; Marine. Following that meeting Ms. Allen and Ms. Halls met with Mr. Hitchcock to request that Forest &amp; Marine direct the $500,000 payment to a higher interest Scovil loan than the loan to which the funds were originally applied. Mr. Hitchcock agreed to do so and confirmed the change in a letter of December 13, 1994.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early 1995 Ms. Allen commenced an active role in the operations of Triple C in Squamish. At the same time Ms. Halls retained counsel to assist her in seeking payout of her interest in Mr. Chipman Smith's estate. In May 1995 Ms. Halls settled her claim for $387,000. On May 31, 1995, Triple C borrowed a further $835,205 from Forest &amp; Marine for the purpose of paying out Ms. Halls and consolidating two existing loans. On December 11, 1995, Triple C borrowed $125,064 from Forest &amp; Marine.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Triple C gradually assumed more of its own accounting work throughout 1995. In February 1996 it terminated the services of Burridge &amp; Associates and retained a new accountant, Mr. James Fraser. In March 1996 Ms. Allen became a director of Triple 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In May 1997 Mr. Bass was dismissed from his employment with Triple 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July 1997 Triple C was in arrears on its payments to Forest &amp; Marine. Demands for payment were made and a partial payment was remitted. On July 28, 1997, Forest &amp; Marine proposed a refinancing arrangement to Triple C. At that point Triple C did not respond.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 August 1997 Mr. Les Smith telephoned Forest &amp; Marine's manager, Mr. David Hitchcock. It is Mr. Hitchcock's evidence that Mr. Smith sought his approval to sell a piece of Triple C equipment at a price of $80,000 of which $40,000 would be paid to Forest &amp; Marine and $40,000 used for outstanding repair bills on the equipment. Mr. Hitchcock agreed to the arrangement. Triple C confirmed the arrangement by a fax signed by Ms. Allen but the fax refers only to the $40,000 payment and not the sale price. Mr. Hitchcock learned subsequently that the equipment had been sold for $152,000 plus taxes. He was not informed of this fact by Mr. Smith.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On September 15, 1997, and again on October 21, 1997, Forest &amp; Marine wrote to Triple C seeking a response to its letter of July 28, 1997. On October 21 Ms. Allen telephoned Mr. David Hitchcock and said that Triple C would accept the refinancing option. The refinancing documents were sent by Mr. Hitchcock. Ms. Allen replied on November 10 stating that Triple C was seeking to sell two pieces of equipment.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On December 11, 1997, Forest &amp; Marine appointed a receiver. On December 24, Triple C advised Forest &amp; Marine that it had sold a piece of equipment (Super Snorkel) for $370,000 less 4% commission. It requested further time to restructure its finances. Forest &amp; Marine agreed to take no further action until after January 30,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On January 30, 1998, Triple C advised Forest &amp; Marine that it was seeking refinancing through Canadian Western Bank and also seeking to sell another piece of equipment. On February 23, Triple C requested a 90-day extension. Forest &amp; Marine declined and instructed the receiver to proceed with asset realization. Mr. John Hitchcock stated at trial that the extension was declined because interim Triple C financial statements to November 30, 1997 provided to him showed a small business development loan as a long term debt when in fact it had already fallen due.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receiver's sale of equipment realized $1,127,750. With the loss of its equipment, Triple C ceased carrying on business. In the year ending March 31, 1997, Triple C had suffered a loss of $402,287. In the eight month period from April to November 30, 1998, however, Triple C had earned a net income of $493,500.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It was Mr. Les Smith's evidence that when he began accompanying his father to the Burridge and Associates office and Forest &amp; Marine office he had thought that Mr. Burridge was the "main man" and Mr. John Hitchcock was "the banker". He agreed that he knew at some time before 1994 that Mr. Burridge was a director of Forest &amp; Marine and thought that Burridge and Associates and Forest &amp; Marine worked together.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Mr. Bass had accompanied Mr. Chipman Smith to both offices prior to Mr. Smith's death and knew that Mr. Burridge was a shareholder and director of Forest &amp; Marine.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Both the plaintiffs by counterclaim and Mr. Burridge called expert evidence on the practice of professional accountants and the standard of care they must meet.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Counsel for the plaintiffs by counterclaim called Mr. Patrick McParland. Counsel for Mr. Burridge called Mr. Clayton Shultz. Mr. McParland and Mr. Shultz each did their own financial analysis of the position of Scovil Logging and Triple C. The two experts differed in their financial assessment of the companies. In particular, they disagreed on the value of Scovil Logging's fixed assets, whether any asset value should be given to the shares of Forest &amp; Marine held by Scovil Logging, and the treatment that should be given to Triple C's rental of Scovil Logging's equipment.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In carrying out his analysis Mr. McParland placed a value of $363,849 on Scovil Logging's fixed assets. He gave no value to the preferred shares of Forest &amp; Marine held by Scovil on the basis that there was no market for them. He also reversed payments by Triple C for its use of Scovil equipment. In his view the rent was not a market rent and served to make Scovil's financial picture better than it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In relation to Triple C's loan of $500,000 to Scovil Logging, it is Mr. McParland's opinion that from Triple C's perspective there was a significant disadvantage to lending these funds rather than applying them to their own indebtedness to Forest &amp; Marine. He says that Scovil was not in a position to repay Triple C. In his view "the principal beneficiary" of the Triple C loan to Scovil was Forest &amp; Marine. Mr. McParland states in his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believe that a prudent financial advisor or professional accountant would have counseled the owners of Triple C not to lend additional funds to Scovil or to offer any guarantees on their indebtedness to third parties at this time. Scovil was a company in decline and should have been left to succeed or fail on its own accord or be liquidated.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Mr. Schultz says that the value of Scovil's assets at March 31, 1994 was $1,033,232 and its net asset deficiency was only $62,021. Mr. Shultz placed a fair market value of $709,000 on Scovil's fixed assets and gave a value of $135,000 to the preferred shares of Forest &amp; Marine held by Scovil. In his opinion if the directors asked the advice of a practising chartered accountant as to whether Scovil should have been allowed to go into bankruptcy under the circumstances in this case, the accountant's advice should have included advice that:</w:t>
      </w:r>
      <w:r>
        <w:rPr>
          <w:rFonts w:ascii="arial" w:eastAsia="arial" w:hAnsi="arial" w:cs="arial"/>
          <w:sz w:val="20"/>
          <w:lang w:val="en-US" w:eastAsia="en-US" w:bidi="ar-SA"/>
        </w:rPr>
        <w:cr/>
      </w:r>
    </w:p>
    <w:p>
      <w:pPr>
        <w:numPr>
          <w:numId w:val="1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would be rare for a company with almost a million dollars in assets to declare bankruptcy with a deficit of only $60,000;</w:t>
      </w:r>
    </w:p>
    <w:p>
      <w:pPr>
        <w:numPr>
          <w:numId w:val="1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might be difficult to obtain a discharge in such circumstances;</w:t>
      </w:r>
    </w:p>
    <w:p>
      <w:pPr>
        <w:numPr>
          <w:numId w:val="1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might have negative consequences for the contract then in place in Kaslo;</w:t>
      </w:r>
    </w:p>
    <w:p>
      <w:pPr>
        <w:numPr>
          <w:numId w:val="1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would impact negatively on Triple C's reputation with its suppliers and the companies in the logging industry with whom Triple C contracted.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In Mr. Shultz' opinion, in making the $500,000 loan to Scovil Logging Triple C would only have been disadvantaged by:</w:t>
      </w:r>
      <w:r>
        <w:rPr>
          <w:rFonts w:ascii="arial" w:eastAsia="arial" w:hAnsi="arial" w:cs="arial"/>
          <w:sz w:val="20"/>
          <w:lang w:val="en-US" w:eastAsia="en-US" w:bidi="ar-SA"/>
        </w:rPr>
        <w:cr/>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fact that it could not use the funds to reduce its interest payments to Forest &amp; Marine;</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Triple C might otherwise have had an extra $500,000 of borrowing power.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Mr. Shultz stated further that, if a chartered accountant were advised by the directors that they had plans to discontinue Scovil's operations, he or she should advise them to:</w:t>
      </w:r>
      <w:r>
        <w:rPr>
          <w:rFonts w:ascii="arial" w:eastAsia="arial" w:hAnsi="arial" w:cs="arial"/>
          <w:sz w:val="20"/>
          <w:lang w:val="en-US" w:eastAsia="en-US" w:bidi="ar-SA"/>
        </w:rPr>
        <w:cr/>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attempt to sell the shares of Scovil;</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sell the equipment that was surplus to Triple C's needs and apply the proceeds to debt reduction; or</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amalgamate the two companies and liquidate surplus equipment from the amalgamated entity.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In relation to the issue of amalgamation of the two companies, Mr. McParland relied upon the same financial assumptions he made in assessing Triple C's loan of $500,000 to Scovil Logging. In his opinion the amalgamation disadvantaged Triple C and its shareholders by joining a profitable company with an unprofitable one. Mr. McParland states in his report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Based on the results of our review and our experience, it is our opinion that a prudent financial advisor and professional accountant would have advised against this amalgamation and would have documented this advice in their records, particularly if the client chose not to follow this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It is also his opinion that the amalgamation allowed Forest &amp; Marine to recover more fully on its loans than if Scovil Logging had been left on its 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In Mr. Shultz' opinion, a chartered accountant who advised his or her client to amalgamate in these circumstances would be giving prudent advice. In his view Scovil had sufficient resources to settle all of its external obligations as at March 31,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issues raised in the action are:</w:t>
      </w:r>
      <w:r>
        <w:rPr>
          <w:rFonts w:ascii="arial" w:eastAsia="arial" w:hAnsi="arial" w:cs="arial"/>
          <w:sz w:val="20"/>
          <w:lang w:val="en-US" w:eastAsia="en-US" w:bidi="ar-SA"/>
        </w:rPr>
        <w:cr/>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Is Triple C liable to Forest &amp; Marine for debt;</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Was Mr. Burridge in breach of a fiduciary duty or a duty of care in giving or failing to give advice with respect to the application on February 8, 1994 of $500,000 of the insurance proceeds to Scovil Logging's debts to Forest and Marine;</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Was Mr. Burridge in breach of a fiduciary duty or a duty of care in giving advice with respect to the amalgamation of Triple C and Scovil Logging on March 31, 1995;</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Mr. Burridge was in breach of a fiduciary duty or duty of care was that duty owed to Ms. Allen and Mr. Les Smith in addition to Triple C;</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Mr. Burridge was in breach of a fiduciary duty or duty of care was that breach the cause of Triple C being placed into receivership and ceasing business;</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Mr. Burridge was in breach of any duties and caused loss to the plaintiffs by counterclaim, what is the measure of damages;</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Mr. Burridge is liable for a breach of duty, is Forest &amp; Marine vicariously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Triple C's debt to Forest &amp; Marine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As noted above, the indebtedness of Triple C to Forest &amp; Marine has not been contested, the principal issues in this action being those raised in Triple C's counterclaim. As a result I am satisfied that Forest &amp; Marine is entitled to judgment against Triple C in the amount of $372,761.26 together with interest accruing from November 26,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allocation of life insurance proceeds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 will discuss this issue separately from the issue of the amalgamation of Triple C and Scovil Logging although both issues draw in part on some of the same evidence. The common evidence relates to the nature of the relationship between the parties and Burridge &amp; Associates and the context in which particular discussions took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Triple C, Ms. Allen and Mr. Les Smith say that Mr. Burridge made a "recommendation" to transfer the $500,000 to Scovil Logging's debt and that it was imprudent advice. They say that the advice failed to recognize that the ownership of Triple C had changed when Mr. Chipman Smith died and the companies could no longer be considered as one entity. They say as well that Mr. Burridge failed to consider the interests of Triple C and its shareholders and, in addition, failed to review Scovil Logging's means to repay the loan. It is their position that Forest &amp; Marine knew that at that point it was under-secured on Scovil loans and that Mr. Burridge, as a director of Forest &amp; Marine, was in a conflict of interest position and in breach of a fiduciary duty to Triple C, Ms Allen and Mr. Smith.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Forest &amp; Marine says that the plaintiffs by counterclaim have failed to prove that the $500,000 was improperly applied to Scovil. In its submission the onus is on Triple C to prove that had Mr. Burridge advised Mr. Bass and Mr. Smith against the application of $500,000 to Scovil Logging debt they would have heeded that advice. They say further that instructions to apply the funds were validly given by the only two directors of Triple 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Mr. Burridge says that Scovil Logging and its shareholders, Mr. Les Smith and Mr. Bass, were the most significant beneficiaries of the $500,000. He says that the transfer was what Mr. Bass believed to be in the best interest of the company and there is no evidence that he attempted to urge Mr. Bass and Mr. Smith to apply $500,000 of the life insurance proceeds to Scovil.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Counsel for Mr. Burridge says further that Mr. Bass, Mr. Burridge and Ms. Blackwell testified that until the amalgamation of Triple C and Scovil Logging they had always considered the two companies to be one business. In this context a $500,000 loan would be in keeping with the past relationship between the two companies.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Mr. Burridge says he must be judged in the position of a reasonable and prudent chartered accountant having regard to the history and ongoing relationship between Triple C and Scovil Logging. In addition he says it is necessary to take into account both the cyclical nature of the logging industry and the authority of Mr. Bass and Mr. Smith to give instructions.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In assessing this issue I accept the evidence of Mr. Bass that at the meeting of February 8, 1994, there was discussion of Triple C lending $500,000 of the life insurance proceeds to Scovil to be applied to its debt to Forest &amp; Marine. I also accept Mr. Bass' evidence that he and Mr. Les Smith instructed Mr. Burridge to direct Forest &amp; Marine to apply $500,000 of the life insurance proceeds to Scovil Logging debt and $1 million to Triple C debt. Mr. Les Smith's evidence was marked by faulty recollection and considerable inconsistencies between his evidence on examination for discovery and at trial. His own counsel conceded that Mr. Smith's evidence should be viewed as unreliable unless it is corroborated by other witnesses or documentary evidence. Where Mr. Smith's evidence conflicts with the evidence of Mr. Bass I prefer the evidence of Mr. Bass.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Mr. and Mrs. Smith say that they telephoned Mr. Burridge at some point and instructed him to put back the funds which had been designated for Scovil's debt. In assessing this evidence I place weight upon the fact that at the time there was considerable confusion about the life insurance proceeds. Ms. Anderson was concerned that the funds may be an asset of the estate and should be paid to the estate. There was subsequent confusion about which Scovil loan with Forest &amp; Marine the funds should be allocated to. Mrs. Smith's interpretation of events was dependent upon what was told to her by Mr. Smith. Given the state of confusion, I do not find that Mr. Burridge was instructed by Mr. Smith to put the funds back into Triple 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In considering whether Mr. Burridge was in breach of a fiduciary duty to Triple C, I think it is clear that the relationship of Mr. Burridge to Scovil Logging and Triple C and the nature of the advice those companies and their principals sought from him placed fiduciary obligations upon him. Unlike the situation addressed in Hodgkinson v. Simms, </w:t>
      </w:r>
      <w:hyperlink r:id="rId540" w:history="1">
        <w:r>
          <w:rPr>
            <w:rFonts w:ascii="arial" w:eastAsia="arial" w:hAnsi="arial" w:cs="arial"/>
            <w:i/>
            <w:color w:val="0077CC"/>
            <w:sz w:val="20"/>
            <w:u w:val="single"/>
            <w:shd w:val="clear" w:color="auto" w:fill="FFFFFF"/>
            <w:lang w:val="en-US" w:eastAsia="en-US" w:bidi="ar-SA"/>
          </w:rPr>
          <w:t>[1994] 3 S.C.R. 377</w:t>
        </w:r>
      </w:hyperlink>
      <w:r>
        <w:rPr>
          <w:rFonts w:ascii="arial" w:eastAsia="arial" w:hAnsi="arial" w:cs="arial"/>
          <w:color w:val="000000"/>
          <w:sz w:val="20"/>
          <w:lang w:val="en-US" w:eastAsia="en-US" w:bidi="ar-SA"/>
        </w:rPr>
        <w:t>, however, Mr. Burridge did not fail to disclose to his clients his relationship to a third party, in this case Forest &amp; Marine.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Starting with Mr. Chipman Smith and progressing through to Mr. Les Smith and Mr. Bass it was known to Scovil Logging and Triple C that Mr. Burridge was a director of Forest &amp; Marine. While Mr. Burridge played a role in the formal approval of loans from Forest &amp; Marine to Scovil Logging and Triple C, I am satisfied that the negotiations and the effective decision making for loans was done through Mr. John Hitchcock and the parties knew this. The allegation of the plaintiffs by counterclaim that Mr. Burridge and Mr. Hitchcock recognized Scovil Logging's tenuous financial position and advised or encouraged the loan to Scovil in the interests of protecting Forest &amp; Marine is not proven in my 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As it was observed by Sopinka J. in LAC Minerals Ltd. v. International Corona Resources Ltd., </w:t>
      </w:r>
      <w:hyperlink r:id="rId541" w:history="1">
        <w:r>
          <w:rPr>
            <w:rFonts w:ascii="arial" w:eastAsia="arial" w:hAnsi="arial" w:cs="arial"/>
            <w:i/>
            <w:color w:val="0077CC"/>
            <w:sz w:val="20"/>
            <w:u w:val="single"/>
            <w:shd w:val="clear" w:color="auto" w:fill="FFFFFF"/>
            <w:lang w:val="en-US" w:eastAsia="en-US" w:bidi="ar-SA"/>
          </w:rPr>
          <w:t>[1989] 2 S.C.R. 574</w:t>
        </w:r>
      </w:hyperlink>
      <w:r>
        <w:rPr>
          <w:rFonts w:ascii="arial" w:eastAsia="arial" w:hAnsi="arial" w:cs="arial"/>
          <w:color w:val="000000"/>
          <w:sz w:val="20"/>
          <w:lang w:val="en-US" w:eastAsia="en-US" w:bidi="ar-SA"/>
        </w:rPr>
        <w:t xml:space="preserve"> and repeated by McLachlin J. in Hodgkinson, supra, not all obligations existing between the parties to a well-recognized fiduciary relationship will be fiduciary in nature. In my opinion, it has not been proven that, in relation to Triple C's loan to Scovil there was an absence of honesty or good faith in Mr. Burridge's conduct. If there was a breach of duty by Mr. Burridge in this case, it must be assessed in terms of the adequacy of his advice or failure to advise, that is, as an issue of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decision to loan $500,000 to Scovil arose in the course of a discussion amongst Mr. Burridge, Mr. Bass and Mr. Les Smith about Scovil's viability. It arose in the context of 2 companies which had been operated, in practice, as one for a number of years. That fact is further demonstrated in the evidence that up to the time of his death Mr. Chipman Smith continued to make major decisions for both companies even though he was neither a director nor a shareholder of Scovil after March 1991. The discussion took place at a time when Scovil had a contract in Kaslo and Mr. Les Smith had asserted an intention to return to Kaslo to make a success of the contract. Both Mr. John Hitchcock and Mr. Burridge considered the presence of such a contract to be significant in assessing a company's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meeting of February 8, 1994 covered a number of topics. Mr. Bass and Mr. Les Smith were the only directors of both companies. It was Mr. Bass' evidence that Mr. Bass usually referred to the pros and cons of topics they discussed. I am not satisfied that Messrs. Smith and Bass expressly sought Mr. Burridge's advice about the utilization of these funds. The evidence does not suggest that Mr. Burridge proposed or recommended a division of the proceeds between the debts of the two companies to Forest &amp; Marine. If Mr. Burridge was in breach of a professional duty in relation to the $500,000 loan, the duty was one of advising or warning Messrs. Smith and Bass that Triple C should not loan the funds to Scovil Logging in spite of their expressed intention to do so. Whether such a duty was owed must be assessed in the circumstances as they were at February 8, 1994, the time of the alleged breach.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evidence of Mr. McParland and Mr. Shultz does not directly identify the elements of the standard of care of a reasonably competent accountant in the circumstances in which the subject arose on February 8, 1994. Mr. McParland says Mr. Burridge had a duty to warn Messrs Bass and Smith against Triple C making a loan to Scovil Logging. Mr. Shultz says that a duty to warn was not called for. Their conflicting opinions are closely related to their conflicting analyses of the financial condition of Scovil Logging in February 1994. Their evidence does not, however, deal with the point at which an accountant is professionally obliged to undertake such an analysis or how detailed the analysis should have been. I am not satisfied that the plaintiffs by counterclaim have proven on the balance of probabilities that Mr. Burridge was in breach of a duty of care in relation to the decision to apply the insurance proceeds to the Forest &amp; Marine indebtedness of both Triple C and Scovil Logging.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amalgamation of Scovil Logging and Triple 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plaintiffs by counterclaim say that Mr. Burridge's recommendation of amalgamation was imprudent. They say that it disadvantaged Triple C and its shareholders by joining a profitable company with an unprofitable one and that ultimately it benefited Forest &amp; Marine. Mr. McParland's opinion is that a prudent financial advisor and professional accountant would have advised against amalgamation and would have documented this advice to his or her clients.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Forest &amp; Marine says that the evidence does not show that amalgamation was an inappropriate choice. In its submission, Mr. Les Smith had made it clear that bankruptcy or insolvency of Scovil Logging was an unacceptable option, there was an established practice of the two companies operating as one, and in amalgamating there were tax advantages to both companies as well as Mr. Smith.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Mr. Burridge says that amalgamation made sense in that the alternatives of bankruptcy or orderly liquidation were rejected, the value of Scovil's equipment exceeded the third party liabilities of Scovil, and Scovil brought tax advantages to Triple C. Mr. Burridge says further that the court should prefer the opinion of Mr. Shultz that a chartered accountant who advised his or her client to amalgamate in the circumstances present at the time would be giving prudent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In my view the evidence is that Mr. Les Smith advised Mr. Burridge that a bankruptcy or orderly liquidation was unacceptable. It was unacceptable to Mr. Smith because of his desire that the good name of his father's company, Scovil Logging, be preserved. It was also of great concern to Mr. Bass because of the risk that there would be an adverse impact upon Triple C from its creditors and suppliers. It was in that context that Mr. Burridge proposed the amalgamation.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 conclude from the evidence that Mr. Burridge had reasonable knowledge of the fair market value of Scovil's assets. I accept the opinion of Mr. Shultz that it was appropriate to include within Scovil's assets a reasonable value for its preferred shares in Forest &amp; Marine as Mr. Burridge had done. Mr. Burridge had also been advised that Scovil's equipment would be of value to Triple C in its logging activity.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Mr. Burridge advised Messrs. Smith and Bass with respect to tax advantages that would be available to Triple C and to Mr. Smith but he also advised them that Triple C would be obliged to assume responsibility for Scovil's $500,000 debt to Forest &amp; Marine.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opinions of Mr. McParland and Mr. Shultz of the standard of care required of a reasonably competent accountant recommending amalgamation were closely related to their own analyses of the financial condition of Scovil Logging. That approach unfortunately masks to some extent the content of the standard required of a reasonably competent accountant. There is a considerable difference between the two analyses.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 have concluded that Mr. McParland's opinion undervalued Scovil's assets and did not deal adequately with the standard to be met given the position of the directors of the two companies that liquidation of Scovil would be unacceptable. I am not suggesting that the advice Mr. McParland thinks should have been given was not sound. I do not, however, think that it establishes the standard of care of a reasonably competent accountant. As a result I am not satisfied that the plaintiffs by counterclaim have proven that in recommending amalgamation Mr. Burridge breached that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Did Mr. Burridge owe a professional duty to Ms. Allen and Mr. Les Smith?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Ms. Allen and Mr. Les Smith say that Mr. Burridge was in breach of a duty to them personally as well as to Triple C. That claim is based on an argument that Mr. Burridge and his accounting firm had been consulted and had advised on all aspects of the Smith family's business and personal financial affairs. In my view Ms. Allen and Mr. Smith do not have personal causes of action against Mr. Burridge. While they point to a number of dealings where Mr. Burridge was consulted by Ms. Allen and Mr. Smith those matters had to do with the business of the two companies or matters incidental to them. By "incidental matters" I mean such things as the structuring of the companies' affairs and dealings with its shareholders and officers in a manner which would create beneficial tax advantages for them. This was done, for example, in arranging for mortgages on Mr. Les Smith's homes.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It is also clear that the breaches of duty which are alleged in this action relate to the two specific corporate transactions of Triple C's $500,000 loan to Scovil and the amalgamation of the two companies. The rule in Foss v. Harbottle (1843), 2 Hare 460, 67 E.R. 189, was revisited in Hercules Managments Ltd. v. Ernst &amp; Young, </w:t>
      </w:r>
      <w:hyperlink r:id="rId542" w:history="1">
        <w:r>
          <w:rPr>
            <w:rFonts w:ascii="arial" w:eastAsia="arial" w:hAnsi="arial" w:cs="arial"/>
            <w:i/>
            <w:color w:val="0077CC"/>
            <w:sz w:val="20"/>
            <w:u w:val="single"/>
            <w:shd w:val="clear" w:color="auto" w:fill="FFFFFF"/>
            <w:lang w:val="en-US" w:eastAsia="en-US" w:bidi="ar-SA"/>
          </w:rPr>
          <w:t>[1997] 2 S.C.R. 165</w:t>
        </w:r>
      </w:hyperlink>
      <w:r>
        <w:rPr>
          <w:rFonts w:ascii="arial" w:eastAsia="arial" w:hAnsi="arial" w:cs="arial"/>
          <w:color w:val="000000"/>
          <w:sz w:val="20"/>
          <w:lang w:val="en-US" w:eastAsia="en-US" w:bidi="ar-SA"/>
        </w:rPr>
        <w:t>. At para. 59, La Forest J. reiterated: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rule in Foss v. Harbottle provides that individual shareholders have no cause of action in law for any wrongs done to the corporation and that if an action is to be brought in respect of such losses, it must be brought either by the corporation itself (through management) or by way of derivative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 alleged wrongs by Mr. Burridge were to Triple C. It is these alleged wrongs which are said to have diminished the value of Triple C and it is as individual shareholders of Triple C that Mr. Smith and Ms. Allen have suffered a loss. Even if Mr. Burridge were found to be in breach of a duty to Triple C, I conclude that Mr. Smith and Ms. Allen as individual shareholders have no cause of action against Mr. Burridge.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Were Mr. Burridge's alleged breaches of duty the cause of Triple C's failure?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Forest &amp; Marine argues that the loss sustained by Triple C was the result of Ms. Allen and Mr. Les Smith failing to deal in a forthright manner with Forest &amp; Marine in late 1997 and early 1998. Had they taken reasonable steps to rearrange their affairs with Forest &amp; Marine, the receivership need not have occurred and Triple C would likely have continued as a viable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Mr. Burridge argues that Triple C failed because of events that occurred subsequent to the $500,000 loan to Scovil and the amalgamation which were not caused by either transaction. They include a reduction for a period of time in the amount of wood available as a result of a forest fire and the implementation of the British Columbia Forest Practices Code which reduced the quota available to Triple C from MacMillan Bloedel Ltd. In spite of these setbacks a number of things were done by Triple C to alter and improve its situation and by November 30, 1997 the company had turned around. Mr. Burridge also says, however, that Triple C then proceeded to ignore the entreaties of Forest &amp; Marine to make arrangements with respect to its indebtedness. Furthermore Triple C deceived Forest &amp; Marine in representing an intention to sell a piece of equipment for $80,000, half of which would go to Forest &amp; Marine and then selling it for $152,000.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While the arguments of both parties have considerable force, it does not necessarily follow that if Mr. Burridge had been negligent in advising Triple C that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no loss even if subsequent events were a major cause of the ultimate failure of Triple C. It is, however, unnecessary for me to decide this issue inasmuch as I have found that Mr. Burridge did not breach his professional duty to the plaintiffs by counterclaim.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vicarious liability of Forest &amp; Marine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While I have found that the alleged breaches of duty by Mr. Burridge have not been proven, it may be useful to consider the alleged vicarious liability of Forest &amp; Marine had such breaches been proven. The plaintiffs by counterclaim submit that Forest &amp; Marine would be vicariously liable for such breaches because Mr. Burridge was an "active director" of that company acting in the scope of his office when the breaches were committed. They say that Mr. Burridge placed himself in a clear conflict of interest given his dual role as a director of Forest &amp; Marine and as an accountant to Triple C, Scovil and their owners.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In my view Mr. Burridge was not acting as an agent of Forest &amp; Marine in providing his services to Triple C and Scovil Logging. In addition, he was not an employee or an independent contractor of Forest &amp; Marine. Mr. Burridge was conducting his own professional business. Even if it can be said that by reason of being a director of Forest &amp; Marine Mr. Burridge had a conflict of interest in providing his accounting services to Triple C and Scovil Logging, that conflict does not convert the nature of the professional services he was performing into the kind of relationship with Forest &amp; Marine that would make Forest &amp; Marine vicariously liable (see 671122 Ontario Ltd. v. Sagaz Industries Canada Inc., </w:t>
      </w:r>
      <w:hyperlink r:id="rId543" w:history="1">
        <w:r>
          <w:rPr>
            <w:rFonts w:ascii="arial" w:eastAsia="arial" w:hAnsi="arial" w:cs="arial"/>
            <w:i/>
            <w:color w:val="0077CC"/>
            <w:sz w:val="20"/>
            <w:u w:val="single"/>
            <w:shd w:val="clear" w:color="auto" w:fill="FFFFFF"/>
            <w:lang w:val="en-US" w:eastAsia="en-US" w:bidi="ar-SA"/>
          </w:rPr>
          <w:t>[2001] 2 S.C.R. 983</w:t>
        </w:r>
      </w:hyperlink>
      <w:r>
        <w:rPr>
          <w:rFonts w:ascii="arial" w:eastAsia="arial" w:hAnsi="arial" w:cs="arial"/>
          <w:color w:val="000000"/>
          <w:sz w:val="20"/>
          <w:lang w:val="en-US" w:eastAsia="en-US" w:bidi="ar-SA"/>
        </w:rPr>
        <w:t>). I conclude that Forest &amp; Marine would not be vicariously liable even if Mr. Burridge had been found negligent in the services he provided to Triple 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 have reached the following conclusions in this action:</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Forest &amp; Marine is entitled to judgment against Triple C for $372,761.26;</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by counterclaim have failed to prove that Mr. Burridge was in breach of a fiduciary duty or a duty of care to them in relation to</w:t>
      </w:r>
    </w:p>
    <w:p>
      <w:pPr>
        <w:numPr>
          <w:numId w:val="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payment on February 8, 1994 of $500,000 to Forest &amp; Marine, and</w:t>
      </w: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giving of advice with respect to the amalgamation of Triple C and Scovil Logging.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As a result the claims of the plaintiffs by counterclaim are dismissed.</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Inasmuch as costs were not spoken to in the trial, the parties may make written submissions on costs if they are unable to reach agreement in respect of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RALPH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23" style="position:absolute;z-index:25183129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44"/>
          <w:headerReference w:type="default" r:id="rId545"/>
          <w:footerReference w:type="even" r:id="rId546"/>
          <w:footerReference w:type="default" r:id="rId547"/>
          <w:headerReference w:type="first" r:id="rId548"/>
          <w:footerReference w:type="first" r:id="rId54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50" w:history="1">
        <w:r>
          <w:rPr>
            <w:rFonts w:ascii="arial" w:eastAsia="arial" w:hAnsi="arial" w:cs="arial"/>
            <w:b/>
            <w:bCs/>
            <w:i/>
            <w:color w:val="0077CC"/>
            <w:kern w:val="32"/>
            <w:sz w:val="28"/>
            <w:szCs w:val="32"/>
            <w:u w:val="single"/>
            <w:shd w:val="clear" w:color="auto" w:fill="FFFFFF"/>
            <w:lang w:val="en-US" w:eastAsia="en-US" w:bidi="ar-SA"/>
          </w:rPr>
          <w:t>Gemex Developments Corp. v. Coquitlam (City), [2009] B.C.J. No. 93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Master I.W. Caldwell</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14,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26,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S045308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[2009] B.C.J. No. 93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BCSC 65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174 A.C.W.S. (3d) 251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Gemex Developments Corp., Plaintiff, and City of Coquitlam, Don Buchanan, Robert Lee, Jason Cardoni, Her Majesty the Queen in Right of the Provincial Government of British Columbia as represented by the Ministry of Environment, Lands and Parks, Colin Stewart, Robert Edwards, Neil Peters, Her Majesty the Queen in Right of the Government of Canada as Represented by the Department of Fisheries and Oceans, C.D. Patterson, Scott Coultish, Markus Feldoff, Kon Johannson, Bruce Reid, David Griggs, Deborah Brown, Norm Cook, Jon Kingsbury, Louis Sekora, Soukup Land Surveying Inc., Dieter Soukup, Brian Robinson, Louella Hollington, Barry Elliott, CH2M Gore &amp; Storrie Limited, Neil Nyberg, Frank Quinn, Tom Field, Shinji Goto, Richard Roe and Jane Doe,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24" style="position:absolute;z-index:2516797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37" w:name="Keywords_20"/>
      <w:bookmarkEnd w:id="137"/>
      <w:r>
        <w:rPr>
          <w:rFonts w:ascii="arial" w:eastAsia="arial" w:hAnsi="arial" w:cs="arial"/>
          <w:b/>
          <w:color w:val="000000"/>
          <w:sz w:val="20"/>
          <w:lang w:val="en-US" w:eastAsia="en-US" w:bidi="ar-SA"/>
        </w:rPr>
        <w:t>Civil litigation — Civil procedure — Disposition without trial — Dismissal of action — Frivolous, vexatious or abuse of process — Estoppel — Estoppel by record (res judicata) — Identity of parties and issues — Res judicata as a bar to subsequent proceedings — Application by defendant engineers and their firm to amend statement of defence to plead res judicata and to dismiss action as res judicata allowed — Plaintiff previously sued engineers for negligently and secretly preparing biased engineering report about plaintiff's fence to give City right to order its removal — Previous action dismissed by judge who dealt with two engineering reports prepared by defendants — Present action, which referenced engineering report not pleaded in first action, was abuse of process because matters in respect of both reports already dealt with and could have been pleaded in first action — British Columbia Rules of Court, Rule 19(24).</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Construction law — Architects and engineers — Liability — Application by defendant engineers and their firm to amend statement of defence to plead res judicata and to dismiss action as res judicata allowed — Plaintiff previously sued engineers for negligently and secretly preparing biased engineering report about plaintiff's fence to give City right to order its removal — Previous action dismissed by judge who dealt with two engineering reports prepared by defendants — Present action, which referenced engineering report not pleaded in first action, was abuse of process because matters in respect of both reports already dealt with and could have been pleaded in first action.</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Professional responsibility — Self-governing professions — Professions — Professional engineers — Application by defendant engineers and their firm to amend statement of defence to plead res judicata and to dismiss action as res judicata allowed — Plaintiff previously sued engineers for negligently and secretly preparing biased engineering report about plaintiff's fence to give City right to order its removal — Previous action dismissed by judge who dealt with two engineering reports prepared by defendants — Present action, which referenced engineering report not pleaded in first action, was abuse of process because matters in respect of both reports already dealt with and could have been pleaded in first action.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38" w:name="Case Summary_20"/>
            <w:bookmarkEnd w:id="13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CH2M Gore &amp; Storrie and several individual defendants to amend their statement of defence to include a claim of res judicata and for dismissal of Gemex's action upon a finding of res judicata. The defendants had prepared two engineering reports for the City of Coquitlam with respect to the safety of a fence erected by Gemex around its property in Coquitlam. In a prior action, Gemex alleged the second report was negligently prepared and not provided to Gemex for comment before its release to the media. Gemex alleged the City commissioned the report not to be impartial, but to provide it with a reason to order the removal of the wall. The judge in the first action considered both reports in dismissing Gemex's action against CH2M, its engineers and the City's engineers, the defendants in the present action.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39" w:name="Holdings of Court_17"/>
            <w:bookmarkEnd w:id="139"/>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statement of defence was amended and Gemex's action dismissed. Masters had jurisdiction to deal with such applications. The issues raised by Gemex in the present action were already raised or should have been raised in the first action. The present action was a collateral attack on the earlier disposition and was therefore an abuse of process.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40" w:name="Legislation Cited_10"/>
      <w:bookmarkEnd w:id="14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25" style="position:absolute;z-index:2517309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Rules of Court, Rule 18A, Rule 19(24)</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41" w:name="Counsel_20"/>
      <w:bookmarkEnd w:id="14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26" style="position:absolute;z-index:2517821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T.L. Spraggs.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CH2M Gore &amp; Storrie limited, Neil Nyberg, Frank Quinn, Tom Field and Shinji Goto: S. Brearley.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42" w:name="Judgment_20"/>
      <w:bookmarkEnd w:id="142"/>
      <w:r>
        <w:pict>
          <v:line id="_x0000_s1127" style="position:absolute;z-index:25183232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9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43" w:name="MASTER I.W. CALDWELL"/>
            <w:bookmarkEnd w:id="143"/>
            <w:r>
              <w:rPr>
                <w:rFonts w:ascii="arial" w:eastAsia="arial" w:hAnsi="arial" w:cs="arial"/>
                <w:b/>
                <w:color w:val="000000"/>
                <w:sz w:val="30"/>
                <w:lang w:val="en-US" w:eastAsia="en-US" w:bidi="ar-SA"/>
              </w:rPr>
              <w:t>MASTER I.W. CALDWELL</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is an application brought by the defendants, CH2M Gore &amp; Storrie Limited, Neil Nyberg, Frank Quinn, Tom Field, and Shinji Goto to amend their Statement of Defence to include a claim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and for dismissal of the plaintiff's claim pursuant to Rule 19(24) of the </w:t>
      </w:r>
      <w:r>
        <w:rPr>
          <w:rFonts w:ascii="arial" w:eastAsia="arial" w:hAnsi="arial" w:cs="arial"/>
          <w:b/>
          <w:i/>
          <w:color w:val="000000"/>
          <w:sz w:val="20"/>
          <w:lang w:val="en-US" w:eastAsia="en-US" w:bidi="ar-SA"/>
        </w:rPr>
        <w:t>Rules of Court</w:t>
      </w:r>
      <w:r>
        <w:rPr>
          <w:rFonts w:ascii="arial" w:eastAsia="arial" w:hAnsi="arial" w:cs="arial"/>
          <w:color w:val="000000"/>
          <w:sz w:val="20"/>
          <w:lang w:val="en-US" w:eastAsia="en-US" w:bidi="ar-SA"/>
        </w:rPr>
        <w:t xml:space="preserve"> upon a finding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owns a residential property in Coquitlam. In 1996 it had constructed a concrete wall or fence along three sides of its property. The fence was, according to many of the neighbouring residents, rather imposing. Public outcry and demonstration followed and city council called upon Gemex to show cause as to why the fence should not be removed.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defendants who bring this application were the city engineers (Nyberg and Quinn) and the consulting engineers (CH2M, Field and Goto). The plaintiff alleges that they each had a role in the assessment of the safety of the 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This overall situation spawned three separate actions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first of these actions, S034541, named only the defendants who bring this application. That action came on for hearing before Slade J. by way of Rule 18A applications by the defendants and by the plaintiff. The action was dismissed. An appeal of this decision by the plaintiff was dismissed as was the plaintiff's subsequent application for leave to appeal to the Supreme Court of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second action, S035251, dealt with other allegations directed against the City of Coquitlam its mayor and two city councillors. That action dealt with different matters and issues and is not before me in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 third action, S045308, within which this application is brought, was commenced in February 1998. The allegations levelled against the Provincial government and its employees were dismissed by Wedge J. in March 2002. An application by the plaintiff for extension of time to appeal was dismissed in October 2002 by Low J.A. These "engineer" defendants apply for dismissal on the basis that the allegations against them in this third action are entirely or essentially the same as those which were before Slade J., are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and should therefore be dismissed pursuant to Rule 19(24).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 plaintiff opposes the application. It says first that such application relating to a finding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is not within the jurisdiction of a Master. A similar application was brought before Master Groves (as he then was) in the matter of </w:t>
      </w:r>
      <w:r>
        <w:rPr>
          <w:rFonts w:ascii="arial" w:eastAsia="arial" w:hAnsi="arial" w:cs="arial"/>
          <w:b/>
          <w:i/>
          <w:color w:val="000000"/>
          <w:sz w:val="20"/>
          <w:lang w:val="en-US" w:eastAsia="en-US" w:bidi="ar-SA"/>
        </w:rPr>
        <w:t>Dick v. Vancouver City Savings Credit Union</w:t>
      </w:r>
      <w:r>
        <w:rPr>
          <w:rFonts w:ascii="arial" w:eastAsia="arial" w:hAnsi="arial" w:cs="arial"/>
          <w:color w:val="000000"/>
          <w:sz w:val="20"/>
          <w:lang w:val="en-US" w:eastAsia="en-US" w:bidi="ar-SA"/>
        </w:rPr>
        <w:t xml:space="preserve">, </w:t>
      </w:r>
      <w:hyperlink r:id="rId551" w:history="1">
        <w:r>
          <w:rPr>
            <w:rFonts w:ascii="arial" w:eastAsia="arial" w:hAnsi="arial" w:cs="arial"/>
            <w:i/>
            <w:color w:val="0077CC"/>
            <w:sz w:val="20"/>
            <w:u w:val="single"/>
            <w:shd w:val="clear" w:color="auto" w:fill="FFFFFF"/>
            <w:lang w:val="en-US" w:eastAsia="en-US" w:bidi="ar-SA"/>
          </w:rPr>
          <w:t>[2005] B.C.J. No. 588</w:t>
        </w:r>
      </w:hyperlink>
      <w:r>
        <w:rPr>
          <w:rFonts w:ascii="arial" w:eastAsia="arial" w:hAnsi="arial" w:cs="arial"/>
          <w:color w:val="000000"/>
          <w:sz w:val="20"/>
          <w:lang w:val="en-US" w:eastAsia="en-US" w:bidi="ar-SA"/>
        </w:rPr>
        <w:t>. At paragraph 10 of that decision Master Groves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case of World Wide Treasure Adventures Inc. v. Trivia Games Inc. </w:t>
      </w:r>
      <w:hyperlink r:id="rId552" w:history="1">
        <w:r>
          <w:rPr>
            <w:rFonts w:ascii="arial" w:eastAsia="arial" w:hAnsi="arial" w:cs="arial"/>
            <w:i/>
            <w:color w:val="0077CC"/>
            <w:sz w:val="20"/>
            <w:u w:val="single"/>
            <w:shd w:val="clear" w:color="auto" w:fill="FFFFFF"/>
            <w:lang w:val="en-US" w:eastAsia="en-US" w:bidi="ar-SA"/>
          </w:rPr>
          <w:t>[1996] B.C.J. No. 21</w:t>
        </w:r>
      </w:hyperlink>
      <w:r>
        <w:rPr>
          <w:rFonts w:ascii="arial" w:eastAsia="arial" w:hAnsi="arial" w:cs="arial"/>
          <w:color w:val="000000"/>
          <w:sz w:val="20"/>
          <w:lang w:val="en-US" w:eastAsia="en-US" w:bidi="ar-SA"/>
        </w:rPr>
        <w:t>, a decision of the British Columbia Court of Appeal stands for the proposition that if it is plain and obvious that the doctrine of res judicata applies to the plaintiff's new action, that the action should be struck pursuant to Rule 19(24)(d).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And at paragraph 17 he states further: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summary, the plaintiffs' claims against Vancouver City Savings Credit Union, Justin Stubbs, Colin Grant, Citizens Bank of Canada, and Westminster Savings Credit Union must be dismissed pursuant to Rule 19(24)(d) as it is plain and obvious that the doctrine of res judicata applies to the plaintiffs'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After hearing an appeal of Master Grove's decision, Crawford J. stated at paragraphs 18-19:</w:t>
      </w:r>
      <w:r>
        <w:rPr>
          <w:rFonts w:ascii="arial" w:eastAsia="arial" w:hAnsi="arial" w:cs="arial"/>
          <w:sz w:val="20"/>
          <w:lang w:val="en-US" w:eastAsia="en-US" w:bidi="ar-SA"/>
        </w:rPr>
        <w:cr/>
      </w:r>
    </w:p>
    <w:p>
      <w:pPr>
        <w:numPr>
          <w:numId w:val="1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 is a general principle against multiplicity of actions arising out of one event. The matters raised by the plaintiffs herein are inherent in the foreclosure proceedings. The master properly found the matters were </w:t>
      </w:r>
      <w:r>
        <w:rPr>
          <w:rFonts w:ascii="arial" w:eastAsia="arial" w:hAnsi="arial" w:cs="arial"/>
          <w:i/>
          <w:color w:val="000000"/>
          <w:sz w:val="20"/>
          <w:lang w:val="en-US" w:eastAsia="en-US" w:bidi="ar-SA"/>
        </w:rPr>
        <w:t>res</w:t>
      </w:r>
      <w:r>
        <w:rPr>
          <w:rFonts w:ascii="arial" w:eastAsia="arial" w:hAnsi="arial" w:cs="arial"/>
          <w:color w:val="000000"/>
          <w:sz w:val="20"/>
          <w:lang w:val="en-US" w:eastAsia="en-US" w:bidi="ar-SA"/>
        </w:rPr>
        <w:t xml:space="preserve"> judicata. The master's order is properly made both in fact and in law.</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Given Mr. Dick's lack of knowledge of the </w:t>
      </w:r>
      <w:r>
        <w:rPr>
          <w:rFonts w:ascii="arial" w:eastAsia="arial" w:hAnsi="arial" w:cs="arial"/>
          <w:b/>
          <w:i/>
          <w:color w:val="000000"/>
          <w:sz w:val="20"/>
          <w:lang w:val="en-US" w:eastAsia="en-US" w:bidi="ar-SA"/>
        </w:rPr>
        <w:t>Supreme Court Rules</w:t>
      </w:r>
      <w:r>
        <w:rPr>
          <w:rFonts w:ascii="arial" w:eastAsia="arial" w:hAnsi="arial" w:cs="arial"/>
          <w:color w:val="000000"/>
          <w:sz w:val="20"/>
          <w:lang w:val="en-US" w:eastAsia="en-US" w:bidi="ar-SA"/>
        </w:rPr>
        <w:t xml:space="preserve"> and the time requirements, I would allow an extension of time for the appeal. But having considered the merits of the matter and having carefully reviewed the affidavits and argument filed by the plaintiffs, I find no error in the reasons of Master Groves and would accordingly dismiss the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That decision may be found at </w:t>
      </w:r>
      <w:hyperlink r:id="rId553" w:history="1">
        <w:r>
          <w:rPr>
            <w:rFonts w:ascii="arial" w:eastAsia="arial" w:hAnsi="arial" w:cs="arial"/>
            <w:i/>
            <w:color w:val="0077CC"/>
            <w:sz w:val="20"/>
            <w:u w:val="single"/>
            <w:shd w:val="clear" w:color="auto" w:fill="FFFFFF"/>
            <w:lang w:val="en-US" w:eastAsia="en-US" w:bidi="ar-SA"/>
          </w:rPr>
          <w:t>[2006] B.C.J. No. 2049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In addition to the </w:t>
      </w:r>
      <w:r>
        <w:rPr>
          <w:rFonts w:ascii="arial" w:eastAsia="arial" w:hAnsi="arial" w:cs="arial"/>
          <w:b/>
          <w:i/>
          <w:color w:val="000000"/>
          <w:sz w:val="20"/>
          <w:lang w:val="en-US" w:eastAsia="en-US" w:bidi="ar-SA"/>
        </w:rPr>
        <w:t>Dick</w:t>
      </w:r>
      <w:r>
        <w:rPr>
          <w:rFonts w:ascii="arial" w:eastAsia="arial" w:hAnsi="arial" w:cs="arial"/>
          <w:color w:val="000000"/>
          <w:sz w:val="20"/>
          <w:lang w:val="en-US" w:eastAsia="en-US" w:bidi="ar-SA"/>
        </w:rPr>
        <w:t xml:space="preserve"> decision, the applicants herein cite the decision of Gerow J. in </w:t>
      </w:r>
      <w:r>
        <w:rPr>
          <w:rFonts w:ascii="arial" w:eastAsia="arial" w:hAnsi="arial" w:cs="arial"/>
          <w:b/>
          <w:i/>
          <w:color w:val="000000"/>
          <w:sz w:val="20"/>
          <w:lang w:val="en-US" w:eastAsia="en-US" w:bidi="ar-SA"/>
        </w:rPr>
        <w:t>Pye v. Pye</w:t>
      </w:r>
      <w:r>
        <w:rPr>
          <w:rFonts w:ascii="arial" w:eastAsia="arial" w:hAnsi="arial" w:cs="arial"/>
          <w:color w:val="000000"/>
          <w:sz w:val="20"/>
          <w:lang w:val="en-US" w:eastAsia="en-US" w:bidi="ar-SA"/>
        </w:rPr>
        <w:t xml:space="preserve"> </w:t>
      </w:r>
      <w:hyperlink r:id="rId554" w:history="1">
        <w:r>
          <w:rPr>
            <w:rFonts w:ascii="arial" w:eastAsia="arial" w:hAnsi="arial" w:cs="arial"/>
            <w:i/>
            <w:color w:val="0077CC"/>
            <w:sz w:val="20"/>
            <w:u w:val="single"/>
            <w:shd w:val="clear" w:color="auto" w:fill="FFFFFF"/>
            <w:lang w:val="en-US" w:eastAsia="en-US" w:bidi="ar-SA"/>
          </w:rPr>
          <w:t>2006 BCSC 505</w:t>
        </w:r>
      </w:hyperlink>
      <w:r>
        <w:rPr>
          <w:rFonts w:ascii="arial" w:eastAsia="arial" w:hAnsi="arial" w:cs="arial"/>
          <w:color w:val="000000"/>
          <w:sz w:val="20"/>
          <w:lang w:val="en-US" w:eastAsia="en-US" w:bidi="ar-SA"/>
        </w:rPr>
        <w:t xml:space="preserve">. In that case Gerow J. confirmed that a Master has jurisdiction to make final orders where there is no dispute on the facts or law because in doing so the Master is not exercising a judicial or adjudicative function but rather is performing a procedural or administrative function. Madam Justice Gerow's decision was affirmed by Thackray J.A. in Chambers </w:t>
      </w:r>
      <w:hyperlink r:id="rId555" w:history="1">
        <w:r>
          <w:rPr>
            <w:rFonts w:ascii="arial" w:eastAsia="arial" w:hAnsi="arial" w:cs="arial"/>
            <w:i/>
            <w:color w:val="0077CC"/>
            <w:sz w:val="20"/>
            <w:u w:val="single"/>
            <w:shd w:val="clear" w:color="auto" w:fill="FFFFFF"/>
            <w:lang w:val="en-US" w:eastAsia="en-US" w:bidi="ar-SA"/>
          </w:rPr>
          <w:t>[2006] B.C.J. No. 1709</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 has provided no opposing authority on the matter of jurisdiction. There is, in my view, no dispute on the facts or the law. I find that a Master does have jurisdiction to deal with this application as presented.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plaintiff's second and only remaining opposition to the defendant's application focuses on the distinction between two engineering reports prepared by the defendant applicants. The first of those reports was dated March 29, 1996 and dealt with various issues of structural stability as they related to the eastern section of the wall. That report is specifically referenced by the plaintiff in its Statement of Claim in the third action, i.e. the action which is before me on this application. In this regard, I note the following paragraphs in the plaintiff's Statement of Claim in this action:</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 the CITY OF COQUITLAM, through its engineers, the defendants, NEIL NYBERG and FRANK QUINN, enlisted the assistance of the defendant, CH2M GORE &amp; STORRIE LIMITED, and CH2M Gore &amp; Storrie Limited employees or principals, the defendants, TOM FIELD and SHINJI GOTO, to put forward an engineering report that would deem the fence unsafe and, therefore, under the powers granted to the City of Coquitlam under the </w:t>
      </w:r>
      <w:r>
        <w:rPr>
          <w:rFonts w:ascii="arial" w:eastAsia="arial" w:hAnsi="arial" w:cs="arial"/>
          <w:b/>
          <w:i/>
          <w:color w:val="000000"/>
          <w:sz w:val="20"/>
          <w:lang w:val="en-US" w:eastAsia="en-US" w:bidi="ar-SA"/>
        </w:rPr>
        <w:t>Municipal Act</w:t>
      </w:r>
      <w:r>
        <w:rPr>
          <w:rFonts w:ascii="arial" w:eastAsia="arial" w:hAnsi="arial" w:cs="arial"/>
          <w:color w:val="000000"/>
          <w:sz w:val="20"/>
          <w:lang w:val="en-US" w:eastAsia="en-US" w:bidi="ar-SA"/>
        </w:rPr>
        <w:t xml:space="preserve"> and with the assistance of the Mayor, Council and others, would have the fence removed.</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City of Coquitlam, with the assistance of the defendants, made their engineering report available to the press and others before it was made available for review or comment to the plaintiff.</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report of the defendants, CH2M GORE &amp; STORRIE LIMITED, TOM FIELD and SHINJI GOTO, indicated that the fence presented a 'public safety risk' and that those sections of the fence that presented a public safety risk should be removed or stabilized.</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CH2M GORE &amp; STORRIE LIMITED, TOM FIELD and SHINJI GOTO, were responsible for producing an engineering report bearing date 29 March 1996, which report was done in secret without the knowledge of the plaintiff, with a view to assisting the defendant, the CITY OF COQUITLAM, and the other defendants herein in stopping and/or removing the plaintiff's concrete fence by putting forward conclusions and recommendations in respect to its safety and the impact upon the Coquitlam River which were not based upon a proper engineering report or proper engineering principles.</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29 March 1996 report by the defendant, CH2M GORE &amp; STORRIE LIMITED, was prepared by the defendant, TOM FIELD, who dealt with the environmental issues involving the hydrological impact of the fence as it interacted with the Coquitlam River.</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SHINJI GOTO, prepared calculations to support the position that the fence was not safe, which calculations were not done in accordance with properly accepted engineering purposes dealing with failure to analysis of an existing structure.</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NEIL NYBERG, should have known or did know that the fence did not require engineering design and was, in fact, safe, and, in fact, was not a nuisance.</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NEIL NYBERG and FRANK QUINN, instead of retaining professional engineers with high qualifications and extensive experience in dealing with the issues of structural safety and engineering failure analysis, utilized their municipal leverage to obtain a report from the defendant engineers, TOM FIELD and SHINJI GOTO, who were working for the defendant, CH2M GORE &amp; STORRIE LIMITED, when they knew, or should have known, that the experience, background and knowledge of the defendant engineers, TOM FIELD and SHINJI GOTO, was inadequate to produce a proper engineering report to determine the safety of the then constructed fence.</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intention of the defendant city engineers, NEIL NYBERG and FRANK QUINN, was not to obtain an unbiased and proper report but was to produce a report that they hoped would allow their employer, the defendant, the CITY OF COQUITLAM, to use the engineering report that was produced to have the concrete fence removed by improperly utilizing an abuse of process and by conspiring with others to create a by-law that would have the fence taken down and/or removed.</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owed a duty to the plaintiff to produce engineering reports that were factually correct and engineeringly sound.</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engineering reports of the defendants made negligent misrepresentations and negligent assumptions resulting in negligently produced calculations that were in breach of the duty owed to the plaintiff, Gemex Developments Corp., and without consultation with them, causing the plaintiff, or intended to cause the plaintiff, damage to its property and financial loss, as well as, financial hardship to the plaintiff.</w:t>
      </w:r>
    </w:p>
    <w:p>
      <w:pPr>
        <w:numPr>
          <w:numId w:val="1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particulars of the said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as follows:</w:t>
      </w:r>
    </w:p>
    <w:p>
      <w:pPr>
        <w:numPr>
          <w:numId w:val="15"/>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Utilizing the British Columbia Building Code (BCBC92), the National Building Code (NBC90 Supplement) and the CSA A23.3-M94 Design of Concrete Structures in presenting a report based upon design requirements for a fence when no design requirements were required;</w:t>
      </w:r>
    </w:p>
    <w:p>
      <w:pPr>
        <w:numPr>
          <w:numId w:val="16"/>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In utilizing the NBC90 Supplement the Defendants failed to make use and utilize the comments put forward in the Introduction to Chapter 4 (p. 133), which are as follows:</w:t>
      </w:r>
    </w:p>
    <w:p>
      <w:pPr>
        <w:spacing w:before="120" w:line="260" w:lineRule="atLeast"/>
        <w:ind w:left="216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The purpose of these Commentaries is to make available to the designer detailed design information which will assist in the use of the National Building Code. The Commentaries are provided as background information, and in some cases, as suggested approaches to certain design assumptions, but not as mandatory requirements.["]</w:t>
      </w:r>
    </w:p>
    <w:p>
      <w:pPr>
        <w:spacing w:before="120" w:line="260" w:lineRule="atLeast"/>
        <w:ind w:left="2160"/>
        <w:rPr>
          <w:rFonts w:ascii="arial" w:eastAsia="arial" w:hAnsi="arial" w:cs="arial"/>
          <w:sz w:val="20"/>
          <w:lang w:val="en-US" w:eastAsia="en-US" w:bidi="ar-SA"/>
        </w:rPr>
      </w:pPr>
      <w:r>
        <w:rPr>
          <w:rFonts w:ascii="arial" w:eastAsia="arial" w:hAnsi="arial" w:cs="arial"/>
          <w:i/>
          <w:color w:val="000000"/>
          <w:sz w:val="20"/>
          <w:lang w:val="en-US" w:eastAsia="en-US" w:bidi="ar-SA"/>
        </w:rPr>
        <w:t>"Because the information provided in these Commentaries cannot cover all conditions or types of structures that occur in practice, and also because new information may become available in the future, the designer should try to obtain the latest and most appropriate design information available. For unusual types of structures, specialized information such as theoretical studies, model test or wind tunnel experiments may be required to provide adequate design values."</w:t>
      </w:r>
    </w:p>
    <w:p>
      <w:pPr>
        <w:numPr>
          <w:numId w:val="17"/>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engineers applied a safety factor of 2 in respect to the safety of the tipping over of the fence due to wind, when the defendant, NEIL NYBERG, and the Mayor and Council of the defendant, the CITY OF COQUITLAM, accepted a safety factor of 1 in granting approval to the subdivision of the premises located at civic address 2003 Como Lake Avenue, in the City of Coquitlam, in the Province of British Columbia;</w:t>
      </w:r>
    </w:p>
    <w:p>
      <w:pPr>
        <w:numPr>
          <w:numId w:val="18"/>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plan profile of the fence, as indicated in the engineering reports and used in the calculations, was not accurate;</w:t>
      </w:r>
    </w:p>
    <w:p>
      <w:pPr>
        <w:numPr>
          <w:numId w:val="19"/>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number of buttresses and the spacing of the buttresses was not properly taken into consideration.</w:t>
      </w:r>
    </w:p>
    <w:p>
      <w:pPr>
        <w:numPr>
          <w:numId w:val="20"/>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CH2M GORE &amp; STORRIE LIMITED, TOM FIELD and SHINJI GOTO, failed to consider the effect, in their calculations, where the original chain link fence, including its supporting steel posts, were encased in the concrete.</w:t>
      </w:r>
    </w:p>
    <w:p>
      <w:pPr>
        <w:numPr>
          <w:numId w:val="21"/>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CH2M GORE &amp; STORRIE LIMITED, TOM FIELD and SHINJI GOTO, failed to consider in their calculations the corner effects in respect to dealing with the safety of the fence;</w:t>
      </w:r>
    </w:p>
    <w:p>
      <w:pPr>
        <w:numPr>
          <w:numId w:val="22"/>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CH2M GORE &amp; STORRIE LIMITED, TOM FIELD and SHINJI GOTO, failed to consider the anchoring effect on the corners of the fence, when supported by chain link fencing;</w:t>
      </w:r>
    </w:p>
    <w:p>
      <w:pPr>
        <w:numPr>
          <w:numId w:val="23"/>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CH2M GORE &amp; STORRIE LIMITED, TOM FIELD, and SHINJI GOTO, failed to consider the effect of the trees, debris, ground effect and other obstructions in front of the fence;</w:t>
      </w:r>
    </w:p>
    <w:p>
      <w:pPr>
        <w:numPr>
          <w:numId w:val="24"/>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CH2M GORE &amp; STORRIE LIMITED, TOM FIELD, and SHINJI GOTO, failed to consider the fact that the fence was not completed but was in an incomplete state, as was the ground around it, and the effects of future landscaping around the fence were not taken into consideration;</w:t>
      </w:r>
    </w:p>
    <w:p>
      <w:pPr>
        <w:numPr>
          <w:numId w:val="25"/>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CH2M GORE &amp; STORRIE LIMITED, TOM FIELD and SHINJI GOTO, failed to consider the effect of houses adjacent to the fence in respect to the effect of these houses upon wind velocities;</w:t>
      </w:r>
    </w:p>
    <w:p>
      <w:pPr>
        <w:numPr>
          <w:numId w:val="26"/>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CH2M GORE &amp; STORRIE LIMITED, TOM FIELD and SHINJI GOTO, did not properly account for the fact that the fence had a very low profile and, therefore, applied an exposure factor that was too large;</w:t>
      </w:r>
    </w:p>
    <w:p>
      <w:pPr>
        <w:numPr>
          <w:numId w:val="27"/>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CH2M GORE &amp; STORRIE LIMITED, TOM FIELD and SHINJI GOTO, failed to consider, when dealing with the frequency of fence tipping over under a certain wind velocity, the direction that the wind must strike the particular fence and, in particular, the effect upon the increased wind velocity necessary due to the wind travelling in different directions;</w:t>
      </w:r>
    </w:p>
    <w:p>
      <w:pPr>
        <w:numPr>
          <w:numId w:val="28"/>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CH2M GORE &amp; STORRIE LIMITED, TOM FIELD, and SHINJI GOTO, failed to consider the effect upon the wind of the surrounding local terrain and, particularly, within a shot distance, the neighbouring, much higher ground;</w:t>
      </w:r>
    </w:p>
    <w:p>
      <w:pPr>
        <w:numPr>
          <w:numId w:val="29"/>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CH2M GORE &amp; STORRIE LIMITED, TOM FIELD, and SHINJI GOTO, failed to consider the effect upon the wind of the house, being built upon the Plaintiff's property when the house was completed;</w:t>
      </w:r>
    </w:p>
    <w:p>
      <w:pPr>
        <w:numPr>
          <w:numId w:val="30"/>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CH2M GORE &amp; STORRIE LIMITED, TOM FIELD and SHINJI GOTO, failed to consider the effect of the adjoining forest;</w:t>
      </w:r>
    </w:p>
    <w:p>
      <w:pPr>
        <w:numPr>
          <w:numId w:val="31"/>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CH2M GORE &amp; STORRIE LIMITED, TOM FIELD and SHINJI GOTO, assumed that the fence was vertical and did not measure or check to see the slope on the fence surface;</w:t>
      </w:r>
    </w:p>
    <w:p>
      <w:pPr>
        <w:numPr>
          <w:numId w:val="32"/>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CH2M GORE &amp; STORRIE LIMITED, TOM FIELD, and SHINJI GOTO, failed to consider the effect of additional concrete poured at the base of the four (4) foot concrete protrusions;</w:t>
      </w:r>
    </w:p>
    <w:p>
      <w:pPr>
        <w:numPr>
          <w:numId w:val="33"/>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CH2M GORE &amp; STORRIE LIMITED, TOM FIELD, and SHINJI GOTO, failed to consider the effect of the fence being built below the adjoining level of the terrain;</w:t>
      </w:r>
    </w:p>
    <w:p>
      <w:pPr>
        <w:numPr>
          <w:numId w:val="34"/>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CH2M GORE &amp; STORRIE LIMITED, TOM FIELD, and SHINJI GOTO, failed to use historical wind data; and,</w:t>
      </w:r>
    </w:p>
    <w:p>
      <w:pPr>
        <w:numPr>
          <w:numId w:val="35"/>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CH2M GORE &amp; STORRIE LIMITED, TOM FIELD, and SHINJI GOTO, failed to take into consideration the chance of human activity in the proximity of the fence in the case of high winds.</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CH2M GORE &amp; STORRIE LIMITED, NEIL NYBERG, FRANK QUINN, TOM FIELD, and SHINJI GOTO, failed to intercede or stop any of the municipal activities to remove the plaintiff's concrete fence as a safety hazard, even though their own calculations indicated that it would not blow over unless the wind was 148.2 kilometres per hour and they were aware that the maximum wind force since 1955, a period of over forty (40) years, at Vancouver International Airport was 129 kilometres per hour.</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CH2M GORE &amp; STORRIE LIMITED, NEIL NYBERG, FRANK QUINN, TOM FIELD, and SHINJI GOTO, knowing the fence would not blow over in the wind, tried to obtain the support of certain Coquitlam councilors by advising them that the concrete fence would blow over if the wind was 105 kilometres per hour and indicated that this would happen on a very frequent basis.</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CH2M GORE &amp; STORRIE LIMITED, NEIL NYBERG, FRANK QUINN, TOM FIELD, and SHINJI GOTO, failed, when dealing with the impact of the fence on the Coquitlam River, to consider the following:</w:t>
      </w:r>
    </w:p>
    <w:p>
      <w:pPr>
        <w:numPr>
          <w:numId w:val="39"/>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historic river elevation and river banks;</w:t>
      </w:r>
    </w:p>
    <w:p>
      <w:pPr>
        <w:numPr>
          <w:numId w:val="40"/>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Recent alterations to the river banks on the plaintiff's property caused by the installation of a storm sewer outflow into the river;</w:t>
      </w:r>
    </w:p>
    <w:p>
      <w:pPr>
        <w:numPr>
          <w:numId w:val="41"/>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effect of the various cross-sectional wetted areas of the river at the various times historically and as projected into the future;</w:t>
      </w:r>
    </w:p>
    <w:p>
      <w:pPr>
        <w:numPr>
          <w:numId w:val="42"/>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impact on the river volume of the Coquitlam Dam and the water mains feeding from the Coquitlam Dam to serve the population of the lower mainland of British Columbia;</w:t>
      </w:r>
    </w:p>
    <w:p>
      <w:pPr>
        <w:numPr>
          <w:numId w:val="43"/>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actual effect the fence would have on the river and river flows in the event of 1 in 10, 1 in 50 and 1 in 100 year floods;</w:t>
      </w:r>
    </w:p>
    <w:p>
      <w:pPr>
        <w:numPr>
          <w:numId w:val="44"/>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effect upon the adjacent home dwellings in the event of 1 in 10, 1 in 50 and 1 in 100 year floods if the fence was not in place; and</w:t>
      </w:r>
    </w:p>
    <w:p>
      <w:pPr>
        <w:numPr>
          <w:numId w:val="45"/>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structural integrity of the 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second of those engineering reports was dated September 1996 and also dealt with various stability issues, but this time regarding the western section of the wall. That report was specifically referenced by the plaintiff in its Statement of Claim in the first action i.e. the action which was dismissed by Slade J. I note the following paragraphs from the plaintiff's Statement of Claim in that first action:</w:t>
      </w:r>
      <w:r>
        <w:rPr>
          <w:rFonts w:ascii="arial" w:eastAsia="arial" w:hAnsi="arial" w:cs="arial"/>
          <w:sz w:val="20"/>
          <w:lang w:val="en-US" w:eastAsia="en-US" w:bidi="ar-SA"/>
        </w:rPr>
        <w:cr/>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City of Coquitlam, through its engineers, the Defendants, Neil Nyberg and Frank Quinn, enlisted the assistance of the Defendant, CH2M Gore &amp; Storrie Limited, and CH2M Gore &amp; Storrie Limited employees or principals, the Defendants, Tom Field and Shinji Goto, to put forward an engineering report that would deem the fence unsafe and, therefore, under the powers granted to the City of Coquitlam under the </w:t>
      </w:r>
      <w:r>
        <w:rPr>
          <w:rFonts w:ascii="arial" w:eastAsia="arial" w:hAnsi="arial" w:cs="arial"/>
          <w:b/>
          <w:i/>
          <w:color w:val="000000"/>
          <w:sz w:val="20"/>
          <w:lang w:val="en-US" w:eastAsia="en-US" w:bidi="ar-SA"/>
        </w:rPr>
        <w:t>Municipal Act</w:t>
      </w:r>
      <w:r>
        <w:rPr>
          <w:rFonts w:ascii="arial" w:eastAsia="arial" w:hAnsi="arial" w:cs="arial"/>
          <w:color w:val="000000"/>
          <w:sz w:val="20"/>
          <w:lang w:val="en-US" w:eastAsia="en-US" w:bidi="ar-SA"/>
        </w:rPr>
        <w:t xml:space="preserve"> and with the assistance of the Mayor, Council and others, would have the fence removed.</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City of Coquitlam, with the assistance of the Defendants, made their engineering report available to the press and others before it was made available for review or comment to the Plaintiff.</w:t>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report of the Defendants, CH2M Gore &amp; Storrie Limited, Tom Field and Shinji Goto, indicated that the fence presented 'a public safety risk' and that those sections of the fence that presented a public safety risk should be removed or stabilized.</w:t>
      </w:r>
    </w:p>
    <w:p>
      <w:pPr>
        <w:numPr>
          <w:numId w:val="4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owed a duty to the Plaintiff to produce an engineering report that was factually correct and engineeringly sound.</w:t>
      </w:r>
    </w:p>
    <w:p>
      <w:pPr>
        <w:numPr>
          <w:numId w:val="5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engineering report of the Defendants made negligent misrepresentations and negligent assumptions resulting in negligently produced calculations that were in breach of the duty owed to the Plaintiff, Gemex Developments Corp., and without consultation with them causing financial loss, as well as, financial hardship to the Plaintiff.</w:t>
      </w:r>
    </w:p>
    <w:p>
      <w:pPr>
        <w:numPr>
          <w:numId w:val="5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particulars of the said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as follows:</w:t>
      </w:r>
    </w:p>
    <w:p>
      <w:pPr>
        <w:numPr>
          <w:numId w:val="52"/>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Utilizing the British Columbia Building Code (BCBC92), the National Building Code (NBC90 Supplement) and eth CSA A23.3-M94 Design Concrete Structures in presenting a report based upon design requirements for a fence when no design requirements were required;</w:t>
      </w:r>
    </w:p>
    <w:p>
      <w:pPr>
        <w:numPr>
          <w:numId w:val="53"/>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In utilizing the NBC90 Supplement the Defendants failed to make use and utilize the comments put forward in the Introduction to Chapter 4 (p. 133), which are as follows:</w:t>
      </w:r>
    </w:p>
    <w:p>
      <w:pPr>
        <w:spacing w:before="120" w:line="260" w:lineRule="atLeast"/>
        <w:ind w:left="216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The purpose of these Commentaries is to make available to the designer detailed design information which will assist in the use of the National Building Code. The Commentaries are provided as background information, and in some cases, as suggested approaches to certain design assumptions, but not as mandatory requirements.["]</w:t>
      </w:r>
    </w:p>
    <w:p>
      <w:pPr>
        <w:spacing w:before="120" w:line="260" w:lineRule="atLeast"/>
        <w:ind w:left="2160"/>
        <w:rPr>
          <w:rFonts w:ascii="arial" w:eastAsia="arial" w:hAnsi="arial" w:cs="arial"/>
          <w:sz w:val="20"/>
          <w:lang w:val="en-US" w:eastAsia="en-US" w:bidi="ar-SA"/>
        </w:rPr>
      </w:pPr>
      <w:r>
        <w:rPr>
          <w:rFonts w:ascii="arial" w:eastAsia="arial" w:hAnsi="arial" w:cs="arial"/>
          <w:i/>
          <w:color w:val="000000"/>
          <w:sz w:val="20"/>
          <w:lang w:val="en-US" w:eastAsia="en-US" w:bidi="ar-SA"/>
        </w:rPr>
        <w:t>"Because the information provided in these Commentaries cannot cover all conditions or types of structures that occur in practice, and also because new information may become available in the future, the designer should try to obtain the latest and most appropriate design information available. For unusual types of structures, specialized information such as theoretical studies, model test or wind tunnel experiments may be required to provide adequate design values."</w:t>
      </w:r>
    </w:p>
    <w:p>
      <w:pPr>
        <w:numPr>
          <w:numId w:val="54"/>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engineers applied a safety factor of 2 in respect to the safety of the tipping over of the fence due to wind, when the defendant, Neil Nyberg, and the Mayor and Council of the City of Coquitlam accepted a safety factor of 1 in granting approval to the subdivision of the premises located at civic address 2003 Como Lake Avenue, in the City of Coquitlam, in the Province of British Columbia;</w:t>
      </w:r>
    </w:p>
    <w:p>
      <w:pPr>
        <w:numPr>
          <w:numId w:val="55"/>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plan profile of the fence, as indicated in the engineering report and used in the calculations, was not accurate;</w:t>
      </w:r>
    </w:p>
    <w:p>
      <w:pPr>
        <w:numPr>
          <w:numId w:val="56"/>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number of buttresses and the spacing of the buttresses was not properly taken into consideration.</w:t>
      </w:r>
    </w:p>
    <w:p>
      <w:pPr>
        <w:numPr>
          <w:numId w:val="57"/>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failed to consider the effect, in its calculations, where the original chain link fence, including its supporting steel posts, were encased in the concrete;</w:t>
      </w:r>
    </w:p>
    <w:p>
      <w:pPr>
        <w:numPr>
          <w:numId w:val="58"/>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failed to consider in their calculations the corner effects in respect to dealing with the safety of the fence;</w:t>
      </w:r>
    </w:p>
    <w:p>
      <w:pPr>
        <w:numPr>
          <w:numId w:val="59"/>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failed to consider the anchoring effect on the corners of the fence, when supported by chain link fencing;</w:t>
      </w:r>
    </w:p>
    <w:p>
      <w:pPr>
        <w:numPr>
          <w:numId w:val="60"/>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failed to consider the effect of the trees, debris, ground effect and other obstructions in front of the fence;</w:t>
      </w:r>
    </w:p>
    <w:p>
      <w:pPr>
        <w:numPr>
          <w:numId w:val="61"/>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failed to consider the fact that the fence was not completed but was in an incomplete state, as was the ground around it, and the effects of future landscaping around the fence were not taken into consideration;</w:t>
      </w:r>
    </w:p>
    <w:p>
      <w:pPr>
        <w:numPr>
          <w:numId w:val="62"/>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failed to consider the effect of houses adjacent to the fence in respect to the effect of these houses upon wind velocities;</w:t>
      </w:r>
    </w:p>
    <w:p>
      <w:pPr>
        <w:numPr>
          <w:numId w:val="63"/>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did not properly account for the fact that the fence had a very low profile and, therefore, applied an exposure factor that was too large;</w:t>
      </w:r>
    </w:p>
    <w:p>
      <w:pPr>
        <w:numPr>
          <w:numId w:val="64"/>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failed to consider, when dealing with the frequency of fence tipping over under a certain wind velocity, the direction that the wind must strike the particular fence and, in particular, the effect upon the increased wind velocity necessary due to the wind travelling in different directions;</w:t>
      </w:r>
    </w:p>
    <w:p>
      <w:pPr>
        <w:numPr>
          <w:numId w:val="65"/>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failed to consider the effect upon the wind of the surrounding local terrain and, particularly, within a shot distance, the neighbouring, much higher ground;</w:t>
      </w:r>
    </w:p>
    <w:p>
      <w:pPr>
        <w:numPr>
          <w:numId w:val="66"/>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failed to consider the effect upon the wind of the house, being built upon the Plaintiff's property when the house was completed;</w:t>
      </w:r>
    </w:p>
    <w:p>
      <w:pPr>
        <w:numPr>
          <w:numId w:val="67"/>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failed to consider the effect of the adjoining forest;</w:t>
      </w:r>
    </w:p>
    <w:p>
      <w:pPr>
        <w:numPr>
          <w:numId w:val="68"/>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assumed that the fence was vertical and did not measure or check to see the slope on the fence surface;</w:t>
      </w:r>
    </w:p>
    <w:p>
      <w:pPr>
        <w:numPr>
          <w:numId w:val="69"/>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failed to consider the effect of additional concrete poured at the base of the four (4) foot concrete protrusions;</w:t>
      </w:r>
    </w:p>
    <w:p>
      <w:pPr>
        <w:numPr>
          <w:numId w:val="70"/>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failed to consider the effect of the fence being built below the adjoining level of the terrain;</w:t>
      </w:r>
    </w:p>
    <w:p>
      <w:pPr>
        <w:numPr>
          <w:numId w:val="71"/>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failed to use historical wind data; and,</w:t>
      </w:r>
    </w:p>
    <w:p>
      <w:pPr>
        <w:numPr>
          <w:numId w:val="72"/>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failed to take into consideration the chance of human activity in the proximity of the fence in the case of high winds.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It is readily apparent that the allegations in paragraphs 90, 93, 96, 103, 104, and 105 (third action) are substantively identical to those at paragraphs 31, 34, 37, 39, 40, and 41 respectively, excepting only the dates of the referenced reports. In each case these paragraphs form the heart of the plaintiff's claim against these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plaintiff argues simply that that difference or distinction alone defeats the claim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and entitles it to a separate trial in the third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 applicants/defendants argue that a broader application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is appropriate, is supported on the law and the facts and should result in the dismissal of the plaintiff's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 defendants cite </w:t>
      </w:r>
      <w:r>
        <w:rPr>
          <w:rFonts w:ascii="arial" w:eastAsia="arial" w:hAnsi="arial" w:cs="arial"/>
          <w:b/>
          <w:i/>
          <w:color w:val="000000"/>
          <w:sz w:val="20"/>
          <w:lang w:val="en-US" w:eastAsia="en-US" w:bidi="ar-SA"/>
        </w:rPr>
        <w:t>Bjarnarson v. Manitoba</w:t>
      </w:r>
      <w:r>
        <w:rPr>
          <w:rFonts w:ascii="arial" w:eastAsia="arial" w:hAnsi="arial" w:cs="arial"/>
          <w:color w:val="000000"/>
          <w:sz w:val="20"/>
          <w:lang w:val="en-US" w:eastAsia="en-US" w:bidi="ar-SA"/>
        </w:rPr>
        <w:t xml:space="preserve">, </w:t>
      </w:r>
      <w:hyperlink r:id="rId556" w:history="1">
        <w:r>
          <w:rPr>
            <w:rFonts w:ascii="arial" w:eastAsia="arial" w:hAnsi="arial" w:cs="arial"/>
            <w:i/>
            <w:color w:val="0077CC"/>
            <w:sz w:val="20"/>
            <w:u w:val="single"/>
            <w:shd w:val="clear" w:color="auto" w:fill="FFFFFF"/>
            <w:lang w:val="en-US" w:eastAsia="en-US" w:bidi="ar-SA"/>
          </w:rPr>
          <w:t>[1987] M.J. No. 277</w:t>
        </w:r>
      </w:hyperlink>
      <w:r>
        <w:rPr>
          <w:rFonts w:ascii="arial" w:eastAsia="arial" w:hAnsi="arial" w:cs="arial"/>
          <w:color w:val="000000"/>
          <w:sz w:val="20"/>
          <w:lang w:val="en-US" w:eastAsia="en-US" w:bidi="ar-SA"/>
        </w:rPr>
        <w:t xml:space="preserve"> which distils a set of requirements from the Supreme Court of Canada decision in </w:t>
      </w:r>
      <w:r>
        <w:rPr>
          <w:rFonts w:ascii="arial" w:eastAsia="arial" w:hAnsi="arial" w:cs="arial"/>
          <w:b/>
          <w:i/>
          <w:color w:val="000000"/>
          <w:sz w:val="20"/>
          <w:lang w:val="en-US" w:eastAsia="en-US" w:bidi="ar-SA"/>
        </w:rPr>
        <w:t>Town of Grandview v. Doering</w:t>
      </w:r>
      <w:r>
        <w:rPr>
          <w:rFonts w:ascii="arial" w:eastAsia="arial" w:hAnsi="arial" w:cs="arial"/>
          <w:color w:val="000000"/>
          <w:sz w:val="20"/>
          <w:lang w:val="en-US" w:eastAsia="en-US" w:bidi="ar-SA"/>
        </w:rPr>
        <w:t xml:space="preserve"> </w:t>
      </w:r>
      <w:hyperlink r:id="rId557" w:history="1">
        <w:r>
          <w:rPr>
            <w:rFonts w:ascii="arial" w:eastAsia="arial" w:hAnsi="arial" w:cs="arial"/>
            <w:i/>
            <w:color w:val="0077CC"/>
            <w:sz w:val="20"/>
            <w:u w:val="single"/>
            <w:shd w:val="clear" w:color="auto" w:fill="FFFFFF"/>
            <w:lang w:val="en-US" w:eastAsia="en-US" w:bidi="ar-SA"/>
          </w:rPr>
          <w:t>(1975), 61 D.L.R. (3d) 455</w:t>
        </w:r>
      </w:hyperlink>
      <w:r>
        <w:rPr>
          <w:rFonts w:ascii="arial" w:eastAsia="arial" w:hAnsi="arial" w:cs="arial"/>
          <w:color w:val="000000"/>
          <w:sz w:val="20"/>
          <w:lang w:val="en-US" w:eastAsia="en-US" w:bidi="ar-SA"/>
        </w:rPr>
        <w:t xml:space="preserve"> as follows:</w:t>
      </w:r>
      <w:r>
        <w:rPr>
          <w:rFonts w:ascii="arial" w:eastAsia="arial" w:hAnsi="arial" w:cs="arial"/>
          <w:sz w:val="20"/>
          <w:lang w:val="en-US" w:eastAsia="en-US" w:bidi="ar-SA"/>
        </w:rPr>
        <w:cr/>
      </w:r>
    </w:p>
    <w:p>
      <w:pPr>
        <w:numPr>
          <w:numId w:val="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must be a final decision of the a court of competent jurisdiction in the prior action;</w:t>
      </w:r>
    </w:p>
    <w:p>
      <w:pPr>
        <w:numPr>
          <w:numId w:val="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parties to the subsequent litigation must have been parties to or in privy with the parties to the prior action (mutuality);</w:t>
      </w:r>
    </w:p>
    <w:p>
      <w:pPr>
        <w:numPr>
          <w:numId w:val="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cause of action in the prior action must not be separate and distinct; and</w:t>
      </w:r>
    </w:p>
    <w:p>
      <w:pPr>
        <w:numPr>
          <w:numId w:val="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basis of the cause of action and the subsequent action was argued or could have been argued in the prior action if the parties had exercised due diligence.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There is no issue as to points 1 and 2; both are satisfied in the present case. Points 3 and 4 were the subject of prior comment by the British Columbia Court of Appeal. In the case of </w:t>
      </w:r>
      <w:r>
        <w:rPr>
          <w:rFonts w:ascii="arial" w:eastAsia="arial" w:hAnsi="arial" w:cs="arial"/>
          <w:b/>
          <w:i/>
          <w:color w:val="000000"/>
          <w:sz w:val="20"/>
          <w:lang w:val="en-US" w:eastAsia="en-US" w:bidi="ar-SA"/>
        </w:rPr>
        <w:t>Lehndorff Management Ltd. v. L.R.S. Development Enterprises Ltd.</w:t>
      </w:r>
      <w:r>
        <w:rPr>
          <w:rFonts w:ascii="arial" w:eastAsia="arial" w:hAnsi="arial" w:cs="arial"/>
          <w:color w:val="000000"/>
          <w:sz w:val="20"/>
          <w:lang w:val="en-US" w:eastAsia="en-US" w:bidi="ar-SA"/>
        </w:rPr>
        <w:t xml:space="preserve"> </w:t>
      </w:r>
      <w:hyperlink r:id="rId558" w:history="1">
        <w:r>
          <w:rPr>
            <w:rFonts w:ascii="arial" w:eastAsia="arial" w:hAnsi="arial" w:cs="arial"/>
            <w:i/>
            <w:color w:val="0077CC"/>
            <w:sz w:val="20"/>
            <w:u w:val="single"/>
            <w:shd w:val="clear" w:color="auto" w:fill="FFFFFF"/>
            <w:lang w:val="en-US" w:eastAsia="en-US" w:bidi="ar-SA"/>
          </w:rPr>
          <w:t>(1980) 19 B.C.L.R. 59</w:t>
        </w:r>
      </w:hyperlink>
      <w:r>
        <w:rPr>
          <w:rFonts w:ascii="arial" w:eastAsia="arial" w:hAnsi="arial" w:cs="arial"/>
          <w:color w:val="000000"/>
          <w:sz w:val="20"/>
          <w:lang w:val="en-US" w:eastAsia="en-US" w:bidi="ar-SA"/>
        </w:rPr>
        <w:t xml:space="preserve"> at paragraph 16: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passage has been much quoted with approval and followed in the Courts of England and Canada. These subsequent decisions appear to explain the "special circumstances" or "special cases" which render the principle of res judicata inoperative as those where the question of law or fact, which is the subject of the later litigation, is not identical with, or inextricably involved with, the question of law or fact previously decided. The maxim res judicata does not apply to distinct causes of action (Hall v. Hall and Hall's Feed &amp; Grain Ltd. </w:t>
      </w:r>
      <w:hyperlink r:id="rId559" w:history="1">
        <w:r>
          <w:rPr>
            <w:rFonts w:ascii="arial" w:eastAsia="arial" w:hAnsi="arial" w:cs="arial"/>
            <w:i/>
            <w:color w:val="0077CC"/>
            <w:sz w:val="20"/>
            <w:u w:val="single"/>
            <w:shd w:val="clear" w:color="auto" w:fill="FFFFFF"/>
            <w:lang w:val="en-US" w:eastAsia="en-US" w:bidi="ar-SA"/>
          </w:rPr>
          <w:t>(1959) 15 D.L.R. (2d) 638</w:t>
        </w:r>
      </w:hyperlink>
      <w:r>
        <w:rPr>
          <w:rFonts w:ascii="arial" w:eastAsia="arial" w:hAnsi="arial" w:cs="arial"/>
          <w:color w:val="000000"/>
          <w:sz w:val="20"/>
          <w:lang w:val="en-US" w:eastAsia="en-US" w:bidi="ar-SA"/>
        </w:rPr>
        <w:t xml:space="preserve">), but it does apply where the second action arises out of the same relationship, and the same subject matter, as the adjudicated action although based upon a different legal conception of the relationship between the parties (Morgan Power Apparatus Ltd. v. Flanders Installations Ltd. </w:t>
      </w:r>
      <w:hyperlink r:id="rId560" w:history="1">
        <w:r>
          <w:rPr>
            <w:rFonts w:ascii="arial" w:eastAsia="arial" w:hAnsi="arial" w:cs="arial"/>
            <w:i/>
            <w:color w:val="0077CC"/>
            <w:sz w:val="20"/>
            <w:u w:val="single"/>
            <w:shd w:val="clear" w:color="auto" w:fill="FFFFFF"/>
            <w:lang w:val="en-US" w:eastAsia="en-US" w:bidi="ar-SA"/>
          </w:rPr>
          <w:t>(1972) 27 D.L.R. (3d) 249</w:t>
        </w:r>
      </w:hyperlink>
      <w:r>
        <w:rPr>
          <w:rFonts w:ascii="arial" w:eastAsia="arial" w:hAnsi="arial" w:cs="arial"/>
          <w:color w:val="000000"/>
          <w:sz w:val="20"/>
          <w:lang w:val="en-US" w:eastAsia="en-US" w:bidi="ar-SA"/>
        </w:rPr>
        <w:t xml:space="preserve"> BCCA). It also applies not only to points on which the Court in the first action was actually required by the parties to form an opinion and pronounce a judgment, but to every point which properly belonged to the subject of the first litigation and which the parties, exercising reasonable diligence, might have brought forward at the time (Winter v. Dewar, </w:t>
      </w:r>
      <w:hyperlink r:id="rId561" w:history="1">
        <w:r>
          <w:rPr>
            <w:rFonts w:ascii="arial" w:eastAsia="arial" w:hAnsi="arial" w:cs="arial"/>
            <w:i/>
            <w:color w:val="0077CC"/>
            <w:sz w:val="20"/>
            <w:u w:val="single"/>
            <w:shd w:val="clear" w:color="auto" w:fill="FFFFFF"/>
            <w:lang w:val="en-US" w:eastAsia="en-US" w:bidi="ar-SA"/>
          </w:rPr>
          <w:t>[1929] 2 W.W.R. 518</w:t>
        </w:r>
      </w:hyperlink>
      <w:r>
        <w:rPr>
          <w:rFonts w:ascii="arial" w:eastAsia="arial" w:hAnsi="arial" w:cs="arial"/>
          <w:color w:val="000000"/>
          <w:sz w:val="20"/>
          <w:lang w:val="en-US" w:eastAsia="en-US" w:bidi="ar-SA"/>
        </w:rPr>
        <w:t xml:space="preserve"> BCCA). The principle of res judicata would also apply if the issue in the present action was one of the several issues essential for the determination of the whole of the first case, though merely a step in that decision rather than the main point of it (Fidelitas Shipping Co. Ltd. v. V/O Exportchleb, [1965] 2 All E.R.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Nova Scotia Court of Appeal expressed or clarified the principle in the case of </w:t>
      </w:r>
      <w:r>
        <w:rPr>
          <w:rFonts w:ascii="arial" w:eastAsia="arial" w:hAnsi="arial" w:cs="arial"/>
          <w:b/>
          <w:i/>
          <w:color w:val="000000"/>
          <w:sz w:val="20"/>
          <w:lang w:val="en-US" w:eastAsia="en-US" w:bidi="ar-SA"/>
        </w:rPr>
        <w:t>Hoque v. Montreal Trust Co. of Canada</w:t>
      </w:r>
      <w:r>
        <w:rPr>
          <w:rFonts w:ascii="arial" w:eastAsia="arial" w:hAnsi="arial" w:cs="arial"/>
          <w:color w:val="000000"/>
          <w:sz w:val="20"/>
          <w:lang w:val="en-US" w:eastAsia="en-US" w:bidi="ar-SA"/>
        </w:rPr>
        <w:t xml:space="preserve"> </w:t>
      </w:r>
      <w:hyperlink r:id="rId562" w:history="1">
        <w:r>
          <w:rPr>
            <w:rFonts w:ascii="arial" w:eastAsia="arial" w:hAnsi="arial" w:cs="arial"/>
            <w:i/>
            <w:color w:val="0077CC"/>
            <w:sz w:val="20"/>
            <w:u w:val="single"/>
            <w:shd w:val="clear" w:color="auto" w:fill="FFFFFF"/>
            <w:lang w:val="en-US" w:eastAsia="en-US" w:bidi="ar-SA"/>
          </w:rPr>
          <w:t>(1997), 162 N.S.R. (2d) 321</w:t>
        </w:r>
      </w:hyperlink>
      <w:r>
        <w:rPr>
          <w:rFonts w:ascii="arial" w:eastAsia="arial" w:hAnsi="arial" w:cs="arial"/>
          <w:color w:val="000000"/>
          <w:sz w:val="20"/>
          <w:lang w:val="en-US" w:eastAsia="en-US" w:bidi="ar-SA"/>
        </w:rPr>
        <w:t xml:space="preserve"> at paragraph 37: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Although many of these authorities cite with approval the broad language of Henderson v. Henderson, [1843-60] All E.R. 373, to the effect that any matter which the parties had the opportunity to raise will be barred, I think, however, that this language is somewhat too wide. The better principle is that those issues which the parties had the opportunity to raise and, in all the circumstances, should have raised, will be barred. In determining whether the matter should have been raised, a court will consider whether the proceeding constitutes a collateral attack on the earlier findings, whether it simply asserts a new legal conception of facts previously litigated, whether it relies on "new" evidence that could have been discovered in the earlier proceeding with reasonable diligence, whether the two proceedings relate to separate and distinct causes of action and whether, in all the circumstances, the second proceeding constitutes an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questions to be answered therefore are:</w:t>
      </w:r>
      <w:r>
        <w:rPr>
          <w:rFonts w:ascii="arial" w:eastAsia="arial" w:hAnsi="arial" w:cs="arial"/>
          <w:sz w:val="20"/>
          <w:lang w:val="en-US" w:eastAsia="en-US" w:bidi="ar-SA"/>
        </w:rPr>
        <w:cr/>
      </w:r>
    </w:p>
    <w:p>
      <w:pPr>
        <w:numPr>
          <w:numId w:val="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 the first and third actions arise from separate and distinct causes of action? And</w:t>
      </w:r>
    </w:p>
    <w:p>
      <w:pPr>
        <w:numPr>
          <w:numId w:val="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could or should they have been dealt with in the first action before Slade J. or does this third action constitute an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It is clear from a review of the Statement of Claim in the first action that it mentions only the September 1996 report. In spite of this fact, there are numerous references within the Statement of Claim to "the fence" without any limitations as to which portion of the "the fence" is being referred to. Similarly, the Statement of Claim in the third action mentions only the March 29, 1996 report but also makes numerous references to "the fence" without further limitations or restrictions. In addition and as previously mentioned, the substantive allegations levelled against the applicants/defendants herein and the same entities as the only defendants in the first action are virtually identical save that they relate to the reports of different dates regarding different sections of the same 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dealing with the 18A application in the first action it is clear that Slade J. had before him argument and evidence relating to both the eastern and western sections of the fence and more importantly he had before him and considered both the March and the September reports. In this regard I note from his decision the following paragraphs:</w:t>
      </w:r>
      <w:r>
        <w:rPr>
          <w:rFonts w:ascii="arial" w:eastAsia="arial" w:hAnsi="arial" w:cs="arial"/>
          <w:sz w:val="20"/>
          <w:lang w:val="en-US" w:eastAsia="en-US" w:bidi="ar-SA"/>
        </w:rPr>
        <w:cr/>
      </w:r>
    </w:p>
    <w:p>
      <w:pPr>
        <w:numPr>
          <w:numId w:val="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action against the City's engineers, Neil Nyberg and Frank Quinn, and against CH2M Gore &amp; Storrie limited, Tom Field and Shinji Goto, consulting engineers (CH2M, Field and Goto, will be referred to as CH2M), relates to their respective roles in the assessment of </w:t>
      </w:r>
      <w:r>
        <w:rPr>
          <w:rFonts w:ascii="arial" w:eastAsia="arial" w:hAnsi="arial" w:cs="arial"/>
          <w:color w:val="000000"/>
          <w:sz w:val="20"/>
          <w:u w:val="single"/>
          <w:lang w:val="en-US" w:eastAsia="en-US" w:bidi="ar-SA"/>
        </w:rPr>
        <w:t>the safety of the fence</w:t>
      </w:r>
      <w:r>
        <w:rPr>
          <w:rFonts w:ascii="arial" w:eastAsia="arial" w:hAnsi="arial" w:cs="arial"/>
          <w:color w:val="000000"/>
          <w:sz w:val="20"/>
          <w:lang w:val="en-US" w:eastAsia="en-US" w:bidi="ar-SA"/>
        </w:rPr>
        <w:t>. [Emphasis added]</w:t>
      </w:r>
    </w:p>
    <w:p>
      <w:pPr>
        <w:numPr>
          <w:numId w:val="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In March 1996</w:t>
      </w:r>
      <w:r>
        <w:rPr>
          <w:rFonts w:ascii="arial" w:eastAsia="arial" w:hAnsi="arial" w:cs="arial"/>
          <w:color w:val="000000"/>
          <w:sz w:val="20"/>
          <w:lang w:val="en-US" w:eastAsia="en-US" w:bidi="ar-SA"/>
        </w:rPr>
        <w:t xml:space="preserve">, the City retained CH2M to investigate the hydrological impact and structural stability of a concrete wall then under construction on the East boundary of Gemex property. </w:t>
      </w:r>
      <w:r>
        <w:rPr>
          <w:rFonts w:ascii="arial" w:eastAsia="arial" w:hAnsi="arial" w:cs="arial"/>
          <w:color w:val="000000"/>
          <w:sz w:val="20"/>
          <w:u w:val="single"/>
          <w:lang w:val="en-US" w:eastAsia="en-US" w:bidi="ar-SA"/>
        </w:rPr>
        <w:t>The report, dated March 29, 1996</w:t>
      </w:r>
      <w:r>
        <w:rPr>
          <w:rFonts w:ascii="arial" w:eastAsia="arial" w:hAnsi="arial" w:cs="arial"/>
          <w:color w:val="000000"/>
          <w:sz w:val="20"/>
          <w:lang w:val="en-US" w:eastAsia="en-US" w:bidi="ar-SA"/>
        </w:rPr>
        <w:t>, was forwarded to Mr. Quinn, the Assistant City Engineer. [Emphasis added]</w:t>
      </w:r>
    </w:p>
    <w:p>
      <w:pPr>
        <w:numPr>
          <w:numId w:val="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The March 29, 1996 report</w:t>
      </w:r>
      <w:r>
        <w:rPr>
          <w:rFonts w:ascii="arial" w:eastAsia="arial" w:hAnsi="arial" w:cs="arial"/>
          <w:color w:val="000000"/>
          <w:sz w:val="20"/>
          <w:lang w:val="en-US" w:eastAsia="en-US" w:bidi="ar-SA"/>
        </w:rPr>
        <w:t xml:space="preserve"> raised concerns over the hydrological impact of the wall on flows of the Coquitlam river in the event of flood conditions. Concerns were also raised over the structural stability of the wall, including stability under seismic or high wind loading. [Emphasis added]</w:t>
      </w:r>
    </w:p>
    <w:p>
      <w:pPr>
        <w:numPr>
          <w:numId w:val="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September 1996, the City retained CH2M to provide another report. The subject of this report was a concrete wall on the western boundary of the Gemex property. Walls were also under construction on the south and north boundaries. Once again, the City indemnified CH2M.</w:t>
      </w:r>
    </w:p>
    <w:p>
      <w:pPr>
        <w:numPr>
          <w:numId w:val="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CH2M report on the west wall was delivered on September 20, 1996, to the attention of Mr. Quinn. This report also raised concerns over the stability of the wall in high wind conditions.</w:t>
      </w:r>
    </w:p>
    <w:p>
      <w:pPr>
        <w:numPr>
          <w:numId w:val="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 Nyberg was the City Engineer </w:t>
      </w:r>
      <w:r>
        <w:rPr>
          <w:rFonts w:ascii="arial" w:eastAsia="arial" w:hAnsi="arial" w:cs="arial"/>
          <w:color w:val="000000"/>
          <w:sz w:val="20"/>
          <w:u w:val="single"/>
          <w:lang w:val="en-US" w:eastAsia="en-US" w:bidi="ar-SA"/>
        </w:rPr>
        <w:t>when the reports were commissioned</w:t>
      </w:r>
      <w:r>
        <w:rPr>
          <w:rFonts w:ascii="arial" w:eastAsia="arial" w:hAnsi="arial" w:cs="arial"/>
          <w:color w:val="000000"/>
          <w:sz w:val="20"/>
          <w:lang w:val="en-US" w:eastAsia="en-US" w:bidi="ar-SA"/>
        </w:rPr>
        <w:t xml:space="preserve"> and received. Mr. Quinn was the Assistant City Engineer. His responsibilities included the hiring of consultants by the City Engineering Department. [Emphasis added]</w:t>
      </w:r>
    </w:p>
    <w:p>
      <w:pPr>
        <w:numPr>
          <w:numId w:val="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Engineering Department had been directed by resolutions of City council </w:t>
      </w:r>
      <w:r>
        <w:rPr>
          <w:rFonts w:ascii="arial" w:eastAsia="arial" w:hAnsi="arial" w:cs="arial"/>
          <w:color w:val="000000"/>
          <w:sz w:val="20"/>
          <w:u w:val="single"/>
          <w:lang w:val="en-US" w:eastAsia="en-US" w:bidi="ar-SA"/>
        </w:rPr>
        <w:t>to obtain independent engineering reports.</w:t>
      </w:r>
      <w:r>
        <w:rPr>
          <w:rFonts w:ascii="arial" w:eastAsia="arial" w:hAnsi="arial" w:cs="arial"/>
          <w:color w:val="000000"/>
          <w:sz w:val="20"/>
          <w:lang w:val="en-US" w:eastAsia="en-US" w:bidi="ar-SA"/>
        </w:rPr>
        <w:t xml:space="preserve"> Messrs. Quinn and Nyberg worked together </w:t>
      </w:r>
      <w:r>
        <w:rPr>
          <w:rFonts w:ascii="arial" w:eastAsia="arial" w:hAnsi="arial" w:cs="arial"/>
          <w:color w:val="000000"/>
          <w:sz w:val="20"/>
          <w:u w:val="single"/>
          <w:lang w:val="en-US" w:eastAsia="en-US" w:bidi="ar-SA"/>
        </w:rPr>
        <w:t>to obtain the reports</w:t>
      </w:r>
      <w:r>
        <w:rPr>
          <w:rFonts w:ascii="arial" w:eastAsia="arial" w:hAnsi="arial" w:cs="arial"/>
          <w:color w:val="000000"/>
          <w:sz w:val="20"/>
          <w:lang w:val="en-US" w:eastAsia="en-US" w:bidi="ar-SA"/>
        </w:rPr>
        <w:t xml:space="preserve"> from the selected consulting engineer, CH2M. </w:t>
      </w:r>
      <w:r>
        <w:rPr>
          <w:rFonts w:ascii="arial" w:eastAsia="arial" w:hAnsi="arial" w:cs="arial"/>
          <w:color w:val="000000"/>
          <w:sz w:val="20"/>
          <w:u w:val="single"/>
          <w:lang w:val="en-US" w:eastAsia="en-US" w:bidi="ar-SA"/>
        </w:rPr>
        <w:t>Neither were assigned any responsibility for the drafting of the reports, performance of design checks, or verification of the calculations made by CH2M. They performed no such role. In their affidavits, both Mr. Quinn and Mr. Nyberg depose that they gave no instructions to CH2M of any conclusions sought by the City in these reports.</w:t>
      </w:r>
      <w:r>
        <w:rPr>
          <w:rFonts w:ascii="arial" w:eastAsia="arial" w:hAnsi="arial" w:cs="arial"/>
          <w:color w:val="000000"/>
          <w:sz w:val="20"/>
          <w:lang w:val="en-US" w:eastAsia="en-US" w:bidi="ar-SA"/>
        </w:rPr>
        <w:t xml:space="preserve"> [Emphasis added]</w:t>
      </w:r>
    </w:p>
    <w:p>
      <w:pPr>
        <w:numPr>
          <w:numId w:val="7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Messrs. Nyberg and Quinn attended the City council meeting on September 23, 1996, at which the CH2M report dated September 20 was presented. Council resolved to issue a notice of hearing to Gemex, pursuant to s. 936 of the Municipal Act, 1979. This was notice of a hearing by council to consider whether it should order that Gemex cause the wall, </w:t>
      </w:r>
      <w:r>
        <w:rPr>
          <w:rFonts w:ascii="arial" w:eastAsia="arial" w:hAnsi="arial" w:cs="arial"/>
          <w:color w:val="000000"/>
          <w:sz w:val="20"/>
          <w:u w:val="single"/>
          <w:lang w:val="en-US" w:eastAsia="en-US" w:bidi="ar-SA"/>
        </w:rPr>
        <w:t>as depicted in sketch plans within the March 29, 1996, and September 20, 1996, reports</w:t>
      </w:r>
      <w:r>
        <w:rPr>
          <w:rFonts w:ascii="arial" w:eastAsia="arial" w:hAnsi="arial" w:cs="arial"/>
          <w:color w:val="000000"/>
          <w:sz w:val="20"/>
          <w:lang w:val="en-US" w:eastAsia="en-US" w:bidi="ar-SA"/>
        </w:rPr>
        <w:t>, to be modified in compliance with "accepted engineering practices", or removed. The notice invited Gemex to make representations at this public meeting. [Emphasis added]</w:t>
      </w:r>
    </w:p>
    <w:p>
      <w:pPr>
        <w:numPr>
          <w:numId w:val="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notice of hearing, together with a draft order under s. 936 of the Municipal Act, was delivered to Gemex under cover of a letter from the City solicitor. The notice specified that the public hearing would take place on October 8, 1996, at the council chambers. The solicitor's letter advised Gemex that council would consider </w:t>
      </w:r>
      <w:r>
        <w:rPr>
          <w:rFonts w:ascii="arial" w:eastAsia="arial" w:hAnsi="arial" w:cs="arial"/>
          <w:color w:val="000000"/>
          <w:sz w:val="20"/>
          <w:u w:val="single"/>
          <w:lang w:val="en-US" w:eastAsia="en-US" w:bidi="ar-SA"/>
        </w:rPr>
        <w:t>all evidence available to it</w:t>
      </w:r>
      <w:r>
        <w:rPr>
          <w:rFonts w:ascii="arial" w:eastAsia="arial" w:hAnsi="arial" w:cs="arial"/>
          <w:color w:val="000000"/>
          <w:sz w:val="20"/>
          <w:lang w:val="en-US" w:eastAsia="en-US" w:bidi="ar-SA"/>
        </w:rPr>
        <w:t xml:space="preserve"> concerning the safety of the wall. </w:t>
      </w:r>
      <w:r>
        <w:rPr>
          <w:rFonts w:ascii="arial" w:eastAsia="arial" w:hAnsi="arial" w:cs="arial"/>
          <w:color w:val="000000"/>
          <w:sz w:val="20"/>
          <w:u w:val="single"/>
          <w:lang w:val="en-US" w:eastAsia="en-US" w:bidi="ar-SA"/>
        </w:rPr>
        <w:t>CM2H's reports of March and September 1996, were delivered to Gemex by the City solicitor at the time of delivery of notice of the October 8th hearing.</w:t>
      </w:r>
      <w:r>
        <w:rPr>
          <w:rFonts w:ascii="arial" w:eastAsia="arial" w:hAnsi="arial" w:cs="arial"/>
          <w:color w:val="000000"/>
          <w:sz w:val="20"/>
          <w:lang w:val="en-US" w:eastAsia="en-US" w:bidi="ar-SA"/>
        </w:rPr>
        <w:t xml:space="preserve"> [Emphasis added]</w:t>
      </w:r>
    </w:p>
    <w:p>
      <w:pPr>
        <w:numPr>
          <w:numId w:val="7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City solicitor responded to Mr. Spragg's letter on October 1st. She advised that only council had authority to adjourn the hearing. She invited Mr. Spraggs to contact CH2M with </w:t>
      </w:r>
      <w:r>
        <w:rPr>
          <w:rFonts w:ascii="arial" w:eastAsia="arial" w:hAnsi="arial" w:cs="arial"/>
          <w:color w:val="000000"/>
          <w:sz w:val="20"/>
          <w:u w:val="single"/>
          <w:lang w:val="en-US" w:eastAsia="en-US" w:bidi="ar-SA"/>
        </w:rPr>
        <w:t>any questions on the March and September 1996 reports.</w:t>
      </w:r>
      <w:r>
        <w:rPr>
          <w:rFonts w:ascii="arial" w:eastAsia="arial" w:hAnsi="arial" w:cs="arial"/>
          <w:color w:val="000000"/>
          <w:sz w:val="20"/>
          <w:lang w:val="en-US" w:eastAsia="en-US" w:bidi="ar-SA"/>
        </w:rPr>
        <w:t xml:space="preserve"> The defendant Tom Field was identified as the contact person. Mr. Spraggs was advised that only council had the authority to "withdraw" the reports. [Emphasis added]</w:t>
      </w:r>
    </w:p>
    <w:p>
      <w:pPr>
        <w:numPr>
          <w:numId w:val="8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Writ of Summons and Statement of Claim in this proceeding were filed in the New Westminster Registry on October 3, 1996, and were served on that day. By letter dated October 7, the City solicitor advised Mr. Spraggs of the City's position that it would proceed with the hearing. The City solicitor's letter repeats a previous invitation to Gemex to provide expert reports describing </w:t>
      </w:r>
      <w:r>
        <w:rPr>
          <w:rFonts w:ascii="arial" w:eastAsia="arial" w:hAnsi="arial" w:cs="arial"/>
          <w:color w:val="000000"/>
          <w:sz w:val="20"/>
          <w:u w:val="single"/>
          <w:lang w:val="en-US" w:eastAsia="en-US" w:bidi="ar-SA"/>
        </w:rPr>
        <w:t>any alleged errors or omissions in the reports.</w:t>
      </w:r>
      <w:r>
        <w:rPr>
          <w:rFonts w:ascii="arial" w:eastAsia="arial" w:hAnsi="arial" w:cs="arial"/>
          <w:color w:val="000000"/>
          <w:sz w:val="20"/>
          <w:lang w:val="en-US" w:eastAsia="en-US" w:bidi="ar-SA"/>
        </w:rPr>
        <w:t xml:space="preserve"> She advised also that council had directed a two week adjournment of the hearing to October 22, 1996. This was to give Mr. Spraggs's client an opportunity to obtain expert reports and advice. [Emphasis added]</w:t>
      </w:r>
    </w:p>
    <w:p>
      <w:pPr>
        <w:numPr>
          <w:numId w:val="8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hearing proceeded on October 22nd. Mr. Spraggs, representing Gemex, tendered a report from O &amp; S Engineering International Inc. This report contains an analysis of </w:t>
      </w:r>
      <w:r>
        <w:rPr>
          <w:rFonts w:ascii="arial" w:eastAsia="arial" w:hAnsi="arial" w:cs="arial"/>
          <w:color w:val="000000"/>
          <w:sz w:val="20"/>
          <w:u w:val="single"/>
          <w:lang w:val="en-US" w:eastAsia="en-US" w:bidi="ar-SA"/>
        </w:rPr>
        <w:t>the wall structures resistance</w:t>
      </w:r>
      <w:r>
        <w:rPr>
          <w:rFonts w:ascii="arial" w:eastAsia="arial" w:hAnsi="arial" w:cs="arial"/>
          <w:color w:val="000000"/>
          <w:sz w:val="20"/>
          <w:lang w:val="en-US" w:eastAsia="en-US" w:bidi="ar-SA"/>
        </w:rPr>
        <w:t xml:space="preserve"> to wind and seismic forces. The author of the O &amp; S report concluded that </w:t>
      </w:r>
      <w:r>
        <w:rPr>
          <w:rFonts w:ascii="arial" w:eastAsia="arial" w:hAnsi="arial" w:cs="arial"/>
          <w:color w:val="000000"/>
          <w:sz w:val="20"/>
          <w:u w:val="single"/>
          <w:lang w:val="en-US" w:eastAsia="en-US" w:bidi="ar-SA"/>
        </w:rPr>
        <w:t>the "fence"</w:t>
      </w:r>
      <w:r>
        <w:rPr>
          <w:rFonts w:ascii="arial" w:eastAsia="arial" w:hAnsi="arial" w:cs="arial"/>
          <w:color w:val="000000"/>
          <w:sz w:val="20"/>
          <w:lang w:val="en-US" w:eastAsia="en-US" w:bidi="ar-SA"/>
        </w:rPr>
        <w:t xml:space="preserve"> is stable in both wind and earthquake. [Emphasis added]</w:t>
      </w:r>
    </w:p>
    <w:p>
      <w:pPr>
        <w:numPr>
          <w:numId w:val="8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October 28, 1996, at a special meeting, the City of Coquitlam council resolved to accept the O &amp; S and CH2M reports, and find that </w:t>
      </w:r>
      <w:r>
        <w:rPr>
          <w:rFonts w:ascii="arial" w:eastAsia="arial" w:hAnsi="arial" w:cs="arial"/>
          <w:color w:val="000000"/>
          <w:sz w:val="20"/>
          <w:u w:val="single"/>
          <w:lang w:val="en-US" w:eastAsia="en-US" w:bidi="ar-SA"/>
        </w:rPr>
        <w:t>the wall</w:t>
      </w:r>
      <w:r>
        <w:rPr>
          <w:rFonts w:ascii="arial" w:eastAsia="arial" w:hAnsi="arial" w:cs="arial"/>
          <w:color w:val="000000"/>
          <w:sz w:val="20"/>
          <w:lang w:val="en-US" w:eastAsia="en-US" w:bidi="ar-SA"/>
        </w:rPr>
        <w:t xml:space="preserve"> does not currently pose a public nuisance or safety hazard. This ended the proceedings initiated under s. 936 of the Municipal Act. [Emphasis added]</w:t>
      </w:r>
    </w:p>
    <w:p>
      <w:pPr>
        <w:numPr>
          <w:numId w:val="8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For the most part, the facts alleged in the Statement of Claim do not distinguish among Messrs. Nyberg and Quinn, and CH2M. The claims of breach of fiduciary duty and abuse of process appear to be grounded in the assertion that Messrs. Nyberg and Quinn sought a report from CH2M that would deem </w:t>
      </w:r>
      <w:r>
        <w:rPr>
          <w:rFonts w:ascii="arial" w:eastAsia="arial" w:hAnsi="arial" w:cs="arial"/>
          <w:color w:val="000000"/>
          <w:sz w:val="20"/>
          <w:u w:val="single"/>
          <w:lang w:val="en-US" w:eastAsia="en-US" w:bidi="ar-SA"/>
        </w:rPr>
        <w:t>the wall</w:t>
      </w:r>
      <w:r>
        <w:rPr>
          <w:rFonts w:ascii="arial" w:eastAsia="arial" w:hAnsi="arial" w:cs="arial"/>
          <w:color w:val="000000"/>
          <w:sz w:val="20"/>
          <w:lang w:val="en-US" w:eastAsia="en-US" w:bidi="ar-SA"/>
        </w:rPr>
        <w:t xml:space="preserve"> unsafe, in order to establish a basis for the exercise of council's power under the Municipal Act to have the wall removed. As for the claim against CH2M, it is asserted that it deliberately produced a report "affecting the plaintiff without due care and attention, with a view that it would cause damage to the plaintiff's property, as well as, financial loss ...". [Emphasis added]</w:t>
      </w:r>
    </w:p>
    <w:p>
      <w:pPr>
        <w:numPr>
          <w:numId w:val="8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claim based 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in relation to all the defendants, is grounded in particulars which allege that they applied incorrect building codes and standards, and failed to take into account certain relevant considerations in the production of the report (CH2M), and the delivery of the report to council by Messrs. Nyberg and Quinn.</w:t>
      </w:r>
    </w:p>
    <w:p>
      <w:pPr>
        <w:numPr>
          <w:numId w:val="8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claim against Messrs. Nyberg and Quinn must be considered in the light of s. 755.1 of the Municipal Act, R.S.B.C. 1979, c. 290, which was in effect at the time. Subsections 1-3 of that section state:</w:t>
      </w:r>
    </w:p>
    <w:p>
      <w:pPr>
        <w:numPr>
          <w:numId w:val="86"/>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No action for damages lies or shall be instituted against a municipal public officer or former municipal public officer for anything said or done or omitted to be said or done by him in the performance or intended performance of his duty or the exercise of his power or for any alleged neglect or default in the performance or intended performance of his duty or exercise of his power.</w:t>
      </w:r>
    </w:p>
    <w:p>
      <w:pPr>
        <w:numPr>
          <w:numId w:val="86"/>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this section "municipal public officer" means ...</w:t>
      </w:r>
    </w:p>
    <w:p>
      <w:pPr>
        <w:numPr>
          <w:numId w:val="87"/>
        </w:numPr>
        <w:tabs>
          <w:tab w:val="clear" w:pos="1120"/>
          <w:tab w:val="num" w:pos="2920"/>
        </w:tabs>
        <w:spacing w:before="120" w:line="260" w:lineRule="atLeast"/>
        <w:ind w:left="2920"/>
        <w:jc w:val="both"/>
        <w:rPr>
          <w:rFonts w:ascii="arial" w:eastAsia="arial" w:hAnsi="arial" w:cs="arial"/>
          <w:sz w:val="20"/>
          <w:lang w:val="en-US" w:eastAsia="en-US" w:bidi="ar-SA"/>
        </w:rPr>
      </w:pPr>
      <w:r>
        <w:rPr>
          <w:rFonts w:ascii="arial" w:eastAsia="arial" w:hAnsi="arial" w:cs="arial"/>
          <w:color w:val="000000"/>
          <w:sz w:val="20"/>
          <w:lang w:val="en-US" w:eastAsia="en-US" w:bidi="ar-SA"/>
        </w:rPr>
        <w:t>an officer or employee of a municipality, ....</w:t>
      </w:r>
    </w:p>
    <w:p>
      <w:pPr>
        <w:numPr>
          <w:numId w:val="88"/>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Subsection 1 does not provide a defence where</w:t>
      </w:r>
    </w:p>
    <w:p>
      <w:pPr>
        <w:numPr>
          <w:numId w:val="89"/>
        </w:numPr>
        <w:tabs>
          <w:tab w:val="clear" w:pos="1120"/>
          <w:tab w:val="num" w:pos="2920"/>
        </w:tabs>
        <w:spacing w:before="120" w:line="260" w:lineRule="atLeast"/>
        <w:ind w:left="29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municipal public officer has, in relation to the conduct that is the subject matter of the action, been guilty of dishonesty,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malicious or wilful misconduct</w:t>
      </w:r>
    </w:p>
    <w:p>
      <w:pPr>
        <w:numPr>
          <w:numId w:val="9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claim of wilful misconduct is based, primarily, on allegations that Messrs. Nyberg and Quinn commissioned the September 1996 report from CH2M knowing or believing that CH2M would deliver a negative report, as:</w:t>
      </w:r>
    </w:p>
    <w:p>
      <w:pPr>
        <w:numPr>
          <w:numId w:val="9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had concluded in its March 29, 1996, report that a similar wall located on the Gemex property was unsafe.</w:t>
      </w:r>
    </w:p>
    <w:p>
      <w:pPr>
        <w:numPr>
          <w:numId w:val="9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Messrs. Nyberg and Quinn accepted CH2M's request for an indemnity.</w:t>
      </w:r>
    </w:p>
    <w:p>
      <w:pPr>
        <w:numPr>
          <w:numId w:val="9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direct evidence to support a finding that Messrs. Nyberg and Quinn, or either of them, requested the September report from CH2M with the intention that a report adverse to Gemex interests be produced. Such a motive could not be inferred from the fact that a previous report, the March 1996 report, raised a concern over the stability of the portion of the wall which was the subject of the earlier report. There is nothing in the evidence to suggest that Messrs. Nyberg and Quinn, or either of them, did anything in their communications with CH2M that would impede or otherwise affect the exercise by CH2M of its independent professional judgment in relation to either report.</w:t>
      </w:r>
    </w:p>
    <w:p>
      <w:pPr>
        <w:numPr>
          <w:numId w:val="9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Mr. Spraggs argues that Messrs. Nyberg and Quinn were negligent in providing to council a report which failed to utilize the appropriate construction standards in the analysis of the structural stability of the cement wall.</w:t>
      </w:r>
    </w:p>
    <w:p>
      <w:pPr>
        <w:numPr>
          <w:numId w:val="9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will, in my analysis of this basis for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Messrs. Nyberg and Quinn, assume that there was such a failure on the part of CH2M.</w:t>
      </w:r>
    </w:p>
    <w:p>
      <w:pPr>
        <w:numPr>
          <w:numId w:val="9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argument fails for this reason: it was not within the scope of Messrs. Nyberg and Quinn's duties to their employer, the City of Coquitlam, to analyze or comment on the CH2M reports. The City council requested, in each case, that the engineering department obtain independent engineering reports. Their role was to facilitate the commission of the reports, and their delivery to council, nothing more. If they were not required by their employer to analyze and comment on the impugned reports, there would be no basis for finding that they owed a duty of care to do so to their employer, much less to Gemex.</w:t>
      </w:r>
    </w:p>
    <w:p>
      <w:pPr>
        <w:numPr>
          <w:numId w:val="9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Tempting though it is to comment expansively on this theory of tort law, it will suffice to say that Messrs. Nyberg and Quinn had no authority to "withdraw" the report. They had been directed to obtain the reports by council. The reports were received and passed on to council. Council acted on the reports by resolving to require Gemex to show cause why the wall should not be ordered modified or removed. Decisions as to whether to "withdraw" the reports were outside the authority and duties of these defendants.</w:t>
      </w:r>
    </w:p>
    <w:p>
      <w:pPr>
        <w:numPr>
          <w:numId w:val="1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onus is on Gemex, as plaintiff, to prove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a balance of probabilities. Gemex claims that CH2M, by using the British Columbia Building Code as the basis for its analysis of wind and seismic effects on the wall, failed to carry out its professional duties in accordance with the applicable standard of care. In short, Gemex claims that British Columbia Building Code has no application to an analysis of the structural stability of a free standing concrete wall.</w:t>
      </w:r>
    </w:p>
    <w:p>
      <w:pPr>
        <w:numPr>
          <w:numId w:val="1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Hooley, Schubak Ltd. report, like the others obtained by Gemex, is critical of CH2M's use of the building code. The Hooley and Schubak report embarks on a detailed and highly theoretical analysis. This leads to a conclusion that the structure is stable. In doing so, the authors take into account information on the structure of a significant portion of the wall which was not available to CH2M. Gemex was invited to provide just this sort of information to CH2M before the scheduled date for the show cause hearing, and refused or neglected to provide the information.</w:t>
      </w:r>
    </w:p>
    <w:p>
      <w:pPr>
        <w:numPr>
          <w:numId w:val="1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evidence relied upon by Gemex falls far short of proof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CH2M to the level of probability. Neither the standard of care nor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proven.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addition to clear reference to and consideration of the reports, Slade J. comments extensively on and makes clear findings regarding the roles and duties of these defendants especially Messrs. Nyberg and Quinn. Mr. Justice Slade does not distinguish any difference in the Nyberg/Quinn roles or duties as they relate to the different reports. I find it impossible to see how a second hearing addressing precisely the same issues before a new judge could be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Regarding CH2M Gore &amp; Storrie Limited, Tom Field and Shinji Goto, Slade J. finds at paragraph 42 that there "is no evidence probative of an intention on the part of CH2M to produce a false report." Again, at paragraph 50 Slade J. finds that "the evidence relied upon by Gemex falls far short of proof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CH2M to the level of probability. Neither the standard of care nor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proven." Again, in the face of such findings I find it difficult to see the plaintiff's opposition as other than an attempt to lead more and/or better evidence as to the issues of standard of care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this third action. In spite of this, no evidence or argument was presented to me to suggest that such other or better evidence was available regarding the third action nor to explain why, if such now exists, it was not reasonably available at the time of the hearing before Slade J. Absent such evidence or at least argument, it would seem that this is precisely the type of mischief which the cited cases of </w:t>
      </w:r>
      <w:r>
        <w:rPr>
          <w:rFonts w:ascii="arial" w:eastAsia="arial" w:hAnsi="arial" w:cs="arial"/>
          <w:b/>
          <w:i/>
          <w:color w:val="000000"/>
          <w:sz w:val="20"/>
          <w:lang w:val="en-US" w:eastAsia="en-US" w:bidi="ar-SA"/>
        </w:rPr>
        <w:t>Bjarnarson</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Lehndorff Management Ltd.</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Town of Grandview</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Hoque</w:t>
      </w:r>
      <w:r>
        <w:rPr>
          <w:rFonts w:ascii="arial" w:eastAsia="arial" w:hAnsi="arial" w:cs="arial"/>
          <w:color w:val="000000"/>
          <w:sz w:val="20"/>
          <w:lang w:val="en-US" w:eastAsia="en-US" w:bidi="ar-SA"/>
        </w:rPr>
        <w:t xml:space="preserve"> seek to avoid.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Finally, Slade J. found in the first action that the plaintiff's claim was solely for the economic loss and he went on to find that there was no relational proximity between the plaintiff and CH2M. Thus, Slade J. held that recovery for pure economic loss was not available to plaintiff. Although this was a major point relied upon by the applicants, no evidence or argument was presented by the plaintiff indicating that its actual claim in this action related to other than pure economic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In all of the circumstances I find that the issues sought to be raised by the plaintiff here are issues which the plaintiff had the opportunity to and should have raised in the first action and hearing. I find that it constitutes a collateral attack on earlier findings and that it constitutes an abuse of process. The statement of defence is amended to include the defence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and the plaintiff's claim as against these defendants is accordingly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Special costs have been sought by the applicants but I am not satisfied that in the circumstances the actions of the plaintiff warrant my exercising my discretion in favour of such an award. The applicants are entitled to their costs at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MASTER I.W. CALDWELL</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28" style="position:absolute;z-index:25187328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63"/>
          <w:headerReference w:type="default" r:id="rId564"/>
          <w:footerReference w:type="even" r:id="rId565"/>
          <w:footerReference w:type="default" r:id="rId566"/>
          <w:headerReference w:type="first" r:id="rId567"/>
          <w:footerReference w:type="first" r:id="rId56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69" w:history="1">
        <w:r>
          <w:rPr>
            <w:rFonts w:ascii="arial" w:eastAsia="arial" w:hAnsi="arial" w:cs="arial"/>
            <w:b/>
            <w:bCs/>
            <w:i/>
            <w:color w:val="0077CC"/>
            <w:kern w:val="32"/>
            <w:sz w:val="28"/>
            <w:szCs w:val="32"/>
            <w:u w:val="single"/>
            <w:shd w:val="clear" w:color="auto" w:fill="FFFFFF"/>
            <w:lang w:val="en-US" w:eastAsia="en-US" w:bidi="ar-SA"/>
          </w:rPr>
          <w:t>Guzman Gonzalez v. Dueck, [2012] B.C.J. No. 1101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G.D. Burnyeat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9-11 and 15,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31,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M106072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[2012] B.C.J. No. 1101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2012 BCSC 792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Jose Vicente Guzman Gonzalez, Plaintiff, and Dawson Peter Dueck and Warren Lyle Dueck,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29" style="position:absolute;z-index:2516807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44" w:name="Keywords_21"/>
      <w:bookmarkEnd w:id="144"/>
      <w:r>
        <w:rPr>
          <w:rFonts w:ascii="arial" w:eastAsia="arial" w:hAnsi="arial" w:cs="arial"/>
          <w:b/>
          <w:color w:val="000000"/>
          <w:sz w:val="20"/>
          <w:lang w:val="en-US" w:eastAsia="en-US" w:bidi="ar-SA"/>
        </w:rPr>
        <w:t>Damages — Physical and psychological injuries — Physical injuries — Body injuries — Back and spine — Neck — Considerations impacting on award — Temporary total or partial disability — Mitigation — Action by Guzman Gonzalez for damages for physical injuries caused by motor vehicle accident allowed — Guzman Gonzalez awarded $27,500 non-pecuniary damages plus special damages — Back, shoulder and headache pain was temporary and did not continue to limit recreational activities — Continuing shoulder pain was result of degenerative condition and not accident — There was no failure to mitigate losses by limiting physiotherapy sessions — No award made for past wage loss as amount of lost overtime could not be determined — Future care costs were not awarded as it was not clear Guzman Gonzalez would participate in physiotherapy.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Non-pecuniary loss — Pain and suffering — Affecting recreational activities — Action by Guzman Gonzalez for damages for physical injuries caused by motor vehicle accident allowed — Guzman Gonzalez awarded $27,500 non-pecuniary damages plus special damages — Back, shoulder and headache pain was temporary and did not continue to limit recreational activities — Continuing shoulder pain was result of degenerative condition and not accident — There was no failure to mitigate losses by limiting physiotherapy sessions — No award made for past wage loss as amount of lost overtime could not be determined — Future care costs were not awarded as it was not clear Guzman Gonzalez would participate in physiotherapy.</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45" w:name="Case Summary_21"/>
            <w:bookmarkEnd w:id="14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Guzman Gonzalez for damages for physical injuries caused by a motor vehicle accident. Dueck collided with the vehicle driven by Guzman Gonzalez. Guzman Gonzalez submitted he sustained injuries to his neck, back and shoulder as a result and that some of those injuries continued to cause him pain and suffering. He also claimed past wage loss of overtime work, future care costs for a personal trainer and special damages. Dueck admitted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but submitted Guzman Gonzalez sustained no injuries, or that any injuries sustained in the collision did not cause pain and suffering beyond about six months after the collision, and that Guzman Gonzalez had failed to mitigate his damages by not attending all the prescribed physiotherapy sessions.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46" w:name="Holdings of Court_18"/>
            <w:bookmarkEnd w:id="146"/>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Guzman Gonzalez awarded $27,500 non-pecuniary damages plus special damages. Guzman Gonzalez's pain in his lower back, headaches and shoulder pain caused by the accident had largely resolved within six to eight months. The continuing pain in Guzman Gonzalez's neck and shoulder was the result of a degenerative condition in the joint. There was no medical evidence that the accident caused an acceleration of Guzman Gonzalez's shoulder osteoarthritis or that this would not have developed but for the accident. As a result of the injuries caused by the collision, Guzman Gonzalez was less active in his recreational activities, but was fully able to carry on after eight months. Taking into account the injuries suffered by Guzman Gonzalez and the duration of the pain and suffering, the non-pecuniary damages were assessed at $27,500. There was no evidence that additional sessions of physiotherapy would have benefitted Guzman Gonzalez or lessened his pain and suffering. The amount awarded was not reduced by a failure to mitigate losses. Without knowing what overtime might have been available ordinarily to Guzman Gonzalez, or that the reduced overtime was not related to the eventual closure of the business, it could not be concluded that there was a loss of overtime. No award was made for past wage loss. It could also not be concluded that Guzman Gonzalez would undertake physiotherapy treatment in view of the fact that he had not done so in the past. No order was made for future care costs. Special damages of $133 were awarded in relation to physiotherapy appointments, and $1,270.80 for any damage to Guzman Gonzalez's vehicle.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47" w:name="Counsel_21"/>
      <w:bookmarkEnd w:id="14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30" style="position:absolute;z-index:2517319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M.J. Neathway.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M.R. Parkes.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48" w:name="Judgment_21"/>
      <w:bookmarkEnd w:id="148"/>
      <w:r>
        <w:pict>
          <v:line id="_x0000_s1131" style="position:absolute;z-index:25178316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49" w:name="G.D. BURNYEAT J."/>
            <w:bookmarkEnd w:id="149"/>
            <w:r>
              <w:rPr>
                <w:rFonts w:ascii="arial" w:eastAsia="arial" w:hAnsi="arial" w:cs="arial"/>
                <w:b/>
                <w:color w:val="000000"/>
                <w:sz w:val="30"/>
                <w:lang w:val="en-US" w:eastAsia="en-US" w:bidi="ar-SA"/>
              </w:rPr>
              <w:t>G.D. BURNYEAT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On May 26, 2009, a vehicle driven by Mr. Dawson Dueck collided with the rear of a vehicle being driven by Mr. Guzman Gonzalez while the vehicle of the Plaintiff was stopped in traffic. It is the submission of Mr. Guzman Gonzalez that he sustained injuries as a result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Mr. Dueck and that some of those injuries continue to cause him pain and suffering.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While Mr. Dueck admits that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the collision, he submits that Mr. Guzman Gonzalez sustained no injuries as a result of the collision or, in the alternative, that any injuries sustained in the collision did not cause pain and suffering beyond about six months after the collision. Mr. Dueck described the speed of his vehicle as being about one kilometres per hour, and he described the impact as being "a little love tap".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At the time of the collision, Mr. Guzman Gonzalez was working at Kamatsu International (Canada) Inc. filling stock orders, was being paid $18.34 per hour and $27.50 for overtime, was lifting stock that weighed between one pound and fifty pounds, was moving other stock by forklift truck, and was working considerable overtime, including one or two times a month on Saturdays.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At the time of the collision, Mr. Guzman Gonzalez was living with his girlfriend and his nephew and was active playing soccer several times a week, playing basketball two days a week and sometimes on weekends, learning to play golf, playing tennis virtually every day when the weather was good, and going to dances and listening to music most weekends.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 find that, at the time of the collision, Mr. Guzman Gonzalez was wearing his seat belt, that his vehicle was stopped and had been stopped for approximately 15-20 seconds, and that he was "totally relaxed". Mr. Guzman Gonzalez stated at Trial that his body went forward and then back at the time of the collision, that he did not hit his head, and that he pushed hard on the brake so that his vehicle did not hit the vehicle in front of his vehicle. Mr. Guzman Gonzalez states that he did not feel pain after the accident so that he advised Mr. Dueck that he was "okay".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damage to the respective vehicles was $1,270.80 to the vehicle of Mr. Guzman Gonzalez and $1,001.52 to the vehicle of Mr. Dueck. Mr. Dueck described the damage to his vehicle as being "a little damage to the front-end bumper", "it got pushed down". I do not accept the evidence of Mr. Dueck that his vehicle was only going one kilometre per hour and that the collision only involved "a little love tap". Although the damage to the vehicles was not extensive and although I can conclude that this was a low impact collision, I cannot reach the conclusion that the respective damage to the vehicles could have been caused by the collision described by Mr. Dueck.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Guzman Gonzalez testified that he started to feel pain in his neck approximately 20-30 minutes after the collision and, by the next morning, he felt pain in his back and in his shoulder on the left side. He also testified that he began to have headaches so that he had trouble sleeping the night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Guzman Gonzalez visited his family doctor the next day. In his medical-legal report, Dr. Kevin Tong stated that Mr. Guzman Gonzalez said that he was experiencing neck stiffness in his left shoulder and back pain. At this May 27, 2009 appointment, Dr. Tong recorded the following range of motions: anterior flexion of 30 degrees; extension of 20; bilateral rotation of 65; bilateral flexion of 20 degrees. Dr. Tong also noted: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palpation, there was bilateral neck musculo-ligament tenderness and tension as well as musculo-ligament tenderness in the low back. Left shoulder exhibited decreased external rotation and abduction. There was tenderness on the anterior aspect. Right shoulder range of motions was normal.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Guzman Gonzalez was referred to a physiotherapy clinic and prescribed diclofenac SR 100 mg. In addition to physiotherapy, Dr. Tong advised Mr. Guzman Gonzalez to do stretching and strengthening exercises on his own. Mr. Guzman Gonzalez was also provided with a note to excuse him for work for one week. Mr. Guzman Gonzalez took two days off from work but was paid by his employer during this absence.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Guzman Gonzalez saw Dr. Tong on July 24, 2009 and advised that his low back pain had improved but that his left neck pain persisted. Dr. Tong noted the following range of motions: Anterior flexion of 30 degrees; extension of 20; bilateral rotation of 64; bilateral flexion of 20 degrees. Dr. Tong also noted: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palpation, there was bilateral neck musculo-ligament tenderness and tension as well as mild musculo-ligament tenderness in the low back. Left shoulder showed decreased external rotation and abduction. There was tenderness in the anterior aspect.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Guzman Gonzalez was seen by Dr. Tong on October 21, 2009 and was still complaining of left neck and shoulder pain. Range of motion in the neck was recorded by Dr. Tong as follows: anterior flexion of 40 degrees; extension of 30; bilateral rotation of 75; bilateral flexion of 20 degrees. Dr. Tong also noted: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palpation, there was bilateral neck musculo-ligament tenderness but no tension, as well as mild musculo-ligament tenderness in the low back. Left shoulder exhibited decreased external rotation and abduction with anterior aspect tenderness.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Guzman Gonzalez saw Dr. Tong on November 30, 2009. Dr. Tong recorded the following range of motion of the neck: anterior flexion of 40 degrees; extension of 40; bilateral rotation of 75; bilateral flexion of 25 degrees. Dr. Tong also noted: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palpation, there was residual neck musculo-ligament tenderness, as well as mild musculo-ligament tenderness in the low back. Left shoulder exhibited decreased abduction with anterior aspect tenderness.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Dr. Tong had referred Mr. Guzman Gonzalez for an x-ray and ultrasound on the left shoulder.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Guzman Gonzalez saw Dr. Tong again on December 5, 2009 and stated that there was "occasional flareup of his neck and back pain associated with 'tightening up' of the muscles". The x-ray showed "moderate osteoarthritis of the acromio-clavicular joint which may cause impingement". The ultrasound of the left shoulder was described by Dr. Tong as "entirely normal". Mr. Guzman Gonzalez was again referred to a physiotherapist/massage therapist.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Between December 5, 2009 and February 20, 2012, Mr. Guzman Gonzalez did not see Dr. Tong for collision-related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On February 20, 2012, Mr. Guzman Gonzalez saw Dr. Tong so that Dr. Tong could get an update and so that Dr. Tong could provide the March 4, 2012 medical-legal report which was in evidence. On February 20, 2012, the range of motions of the neck showed: anterior flexion of 50 degrees; extension of 40; bilateral rotation of 75; and bilateral flexion of 30 degrees. Dr. Tong also noted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palpation, there was neither residual neck musculo-ligament tenderness nor low back tenderness. Left shoulder exhibited slight decreased external rotation and abduction. There was no tenderness on the anterior aspect of the left shoulder.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the conclusion in his March 4, 2012 medical-legal report, Dr. Tong stated: "At the end of this visit, I concluded that Mr. Guzman Gonzalez's neck and low back musculo-ligament strain has resolved."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PHYSIOTHERAPY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While he was authorized to have twelve visits with a physiotherapist, Mr. Guzman Gonzalez only visited his physiotherapist five times: May 29, June 3, June 5, June 10 and June 25, 2009. The physiotherapist, Mr. Snip, testified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At the first visit, Mr. Snip found that the neck of Mr. Guzman Gonzalez was tender on palpation, there was "soft tissue tension", and there was limitation of movement in all directions. He recommended the use of ice and an exercise program. Subsequent visits reaffirmed the initial observations of Mr. Snip. Mr. Snip was of the opinion that, by June 25, 2009, there was nearly full range of motion, although still a restriction on left rotation and left side flexion.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Under cross-examination, Mr. Guzman Gonzalez confirmed that he had stopped the sessions because he did not want them to interfere in his job, he did not want to ask his employer for time off, he could only attend physiotherapy sessions in the morning and this would result in driving in extensive rush-hour traffic, and he assumed that Mr. Snip would merely recommend the same exercise program that he was already undertaking. In this regard, Mr. Guzman Gonzalez stated that he was undertaking the exercises as recommended by Mr. Snip. I accept the evidence of Mr. Guzman Gonzalez that he has consistently undertaken the exercise program which had been recommended by Mr. Snip.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While there was extensive cross-examination of Mr. Snip and Mr. Guzman Gonzalez about whether further physiotherapy might have further assisted the recovery of Mr. Guzman Gonzalez, there is no medical or professional evidence before the Court that this would be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MEDICAL LEGAL REPORT OF DR. RUSSELL O'CONNOR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At the request of counsel for Mr. Guzman Gonzalez, Dr. Russell O'Connor saw Mr. Guzman Gonzalez. The December 16, 2011 medical-legal opinion of Dr. O'Connor was in evidence and Dr. O'Connor was qualified to provide an opinion as an expert in physical medicine and rehabilitation and as a physiatrist. At the time of the examination of Mr. Guzman Gonzalez, Dr. O'Connor had the records of Dr. Tong.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Under the heading "Physical Examination", Dr. O'Connor noted: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His neck mobility actively was reduced to 20 degrees to the left and 30 degrees to the right with some mild discomfort on both sides. He had normal range of motion passively at 50 degrees of lateral flexion, 80 degrees of rotation symmetrically, and full flexion. ... He was complaining with lateral flexion to the right of a pulling sensation over the left trapezius area. He was tender over the trapezius and levator scapulae, much worse on the left than the right, as well as over the paraspinal muscles on the left more so than the right. He was tender over the midline at C3, C4, C5 and C6, but worse at the C3-C4 level in the neck and worse on the left than the right. ... He had a bony prominence over the AC joint with degenerative changes that could be seen and felt under the left AC joint. He was tender over the left AC joint and non-tender on the right. Stressing of the AC joint produced some mild discomfort ... shoulder mobility was full and pain-free. He has 170 degrees of forward flexion and abduction bilaterally, but pain at end range of forward flexion on the left that localized over the AC joint. Crossed or scarf test for the AC joint was tender mildly, and he was tender over the AC joint on the left compared to the right. Rotator cuff was non-tender.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his medical-legal opinion, Dr. O'Connor indicated that the problems of low back pain and headache had resolved over several months, the neck pain and left shoulder pain had persisted and, while the neck pain and left shoulder pain was about 50% better, the pain still bothered Mr. Guzman Gonzalez. Dr. O'Connor provided the following opinion: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my opinion that the neck pain was initially triggered by musculoligamentous strain to the neck and likely aggravation of the cervical facet joints at the mid-cervical spine. He is tender maximally at C4 but is tender through the neck facet joints from C2 to C5 bilaterally, worse on the left. He also has myofascial pain involving the neck extensors and paraspinal muscles, trapezius and levator scapulae particularly on the left. This is contributing to a lot of his pain presently. He also has a posture where he has a rounded thoracic kyphosis that is correctable and is posture-related that leads him to be hyperextended at the upper cervical spine, and this is likely contributing to some of his symptoms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Dr. O'Connor was of the opinion that neck pain and left shoulder pain of Mr. Guzman Gonzalez would limit him "to a mild degree" in his future employment. Dr. O'Connor provided that the following "prognosis" and "recommendations":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Prognosis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 surgeries are going to be required of the neck. There is a small chance that a left AC joint resection could provide some symptomatic relief but for most patients this is not required. It is a nuisance that causes pain particularly if they have to do repetitive overhead reaching or lifting, but otherwise it should continue to remain at its present level to mostly a mild degree for the foreseeable future.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is at increased risk of injury or aggravation of the left shoulder or neck as a result of having to do heavy lifting or overhead reaching or carrying because of the chronicity of his symptoms and the neck and AC joint conditions. To date, he has been managing at work and I would estimate this risk to be small but still present, and this is as a result of the motor vehicle accident. He may well have had some degenerative condition in the AC joint in the past but he does not have any recollection of having pain in this area. The seatbelt and compression to this area at the time of the accident more likely than not is what triggered this, in my opinion</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Recommendations</w:t>
      </w:r>
    </w:p>
    <w:p>
      <w:pPr>
        <w:numPr>
          <w:numId w:val="1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would recommend a strength and conditioning program for the neck and shoulder girdle mostly for the neck paraspinal and periscapular muscles.</w:t>
      </w:r>
    </w:p>
    <w:p>
      <w:pPr>
        <w:numPr>
          <w:numId w:val="1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trial of a steroid injection into the AC joint could be done if he is still really suffering from pain in this area. However, I think it is mild enough now that he probably would not go ahead with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support of the submission that the non-pecuniary damages of Mr. Guzman Gonzalez should be in the range of $30,000 to $35,000, the following decisions are said to compensate the plaintiffs for similar durations of similar pain and suffering:</w:t>
      </w:r>
      <w:r>
        <w:rPr>
          <w:rFonts w:ascii="arial" w:eastAsia="arial" w:hAnsi="arial" w:cs="arial"/>
          <w:sz w:val="20"/>
          <w:lang w:val="en-US" w:eastAsia="en-US" w:bidi="ar-SA"/>
        </w:rPr>
        <w:cr/>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Dhaliwal v. Vail</w:t>
      </w:r>
      <w:r>
        <w:rPr>
          <w:rFonts w:ascii="arial" w:eastAsia="arial" w:hAnsi="arial" w:cs="arial"/>
          <w:color w:val="000000"/>
          <w:sz w:val="20"/>
          <w:lang w:val="en-US" w:eastAsia="en-US" w:bidi="ar-SA"/>
        </w:rPr>
        <w:t xml:space="preserve">, </w:t>
      </w:r>
      <w:hyperlink r:id="rId570" w:history="1">
        <w:r>
          <w:rPr>
            <w:rFonts w:ascii="arial" w:eastAsia="arial" w:hAnsi="arial" w:cs="arial"/>
            <w:i/>
            <w:color w:val="0077CC"/>
            <w:sz w:val="20"/>
            <w:u w:val="single"/>
            <w:shd w:val="clear" w:color="auto" w:fill="FFFFFF"/>
            <w:lang w:val="en-US" w:eastAsia="en-US" w:bidi="ar-SA"/>
          </w:rPr>
          <w:t>[2007] B.C.J. No. 2971</w:t>
        </w:r>
      </w:hyperlink>
      <w:r>
        <w:rPr>
          <w:rFonts w:ascii="arial" w:eastAsia="arial" w:hAnsi="arial" w:cs="arial"/>
          <w:color w:val="000000"/>
          <w:sz w:val="20"/>
          <w:lang w:val="en-US" w:eastAsia="en-US" w:bidi="ar-SA"/>
        </w:rPr>
        <w:t xml:space="preserve"> (S.C.) (40-year-old injured in an accident causing less than $2,000 in damage to each of the vehicles involved, diagnosis of mild-to-moderate strain of the neck, back and shoulders, massage and chiropractic treatment, conversion to light duties at work, pain and suffering largely resolved within a year) ($25,000);</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Meyers v. Leng</w:t>
      </w:r>
      <w:r>
        <w:rPr>
          <w:rFonts w:ascii="arial" w:eastAsia="arial" w:hAnsi="arial" w:cs="arial"/>
          <w:color w:val="000000"/>
          <w:sz w:val="20"/>
          <w:lang w:val="en-US" w:eastAsia="en-US" w:bidi="ar-SA"/>
        </w:rPr>
        <w:t xml:space="preserve">, </w:t>
      </w:r>
      <w:hyperlink r:id="rId571" w:history="1">
        <w:r>
          <w:rPr>
            <w:rFonts w:ascii="arial" w:eastAsia="arial" w:hAnsi="arial" w:cs="arial"/>
            <w:i/>
            <w:color w:val="0077CC"/>
            <w:sz w:val="20"/>
            <w:u w:val="single"/>
            <w:shd w:val="clear" w:color="auto" w:fill="FFFFFF"/>
            <w:lang w:val="en-US" w:eastAsia="en-US" w:bidi="ar-SA"/>
          </w:rPr>
          <w:t>[2006] B.C.J. No. 2801</w:t>
        </w:r>
      </w:hyperlink>
      <w:r>
        <w:rPr>
          <w:rFonts w:ascii="arial" w:eastAsia="arial" w:hAnsi="arial" w:cs="arial"/>
          <w:color w:val="000000"/>
          <w:sz w:val="20"/>
          <w:lang w:val="en-US" w:eastAsia="en-US" w:bidi="ar-SA"/>
        </w:rPr>
        <w:t xml:space="preserve"> (S.C.) (neck and shoulder pain, physiotherapy prescribed, constant pain for about six months, pain sporadic after a year, occasional pain in the neck and shoulder with more strenuous physical tasks) ($25,000);</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Orrell v. Lynch</w:t>
      </w:r>
      <w:r>
        <w:rPr>
          <w:rFonts w:ascii="arial" w:eastAsia="arial" w:hAnsi="arial" w:cs="arial"/>
          <w:color w:val="000000"/>
          <w:sz w:val="20"/>
          <w:lang w:val="en-US" w:eastAsia="en-US" w:bidi="ar-SA"/>
        </w:rPr>
        <w:t xml:space="preserve">, </w:t>
      </w:r>
      <w:hyperlink r:id="rId572" w:history="1">
        <w:r>
          <w:rPr>
            <w:rFonts w:ascii="arial" w:eastAsia="arial" w:hAnsi="arial" w:cs="arial"/>
            <w:i/>
            <w:color w:val="0077CC"/>
            <w:sz w:val="20"/>
            <w:u w:val="single"/>
            <w:shd w:val="clear" w:color="auto" w:fill="FFFFFF"/>
            <w:lang w:val="en-US" w:eastAsia="en-US" w:bidi="ar-SA"/>
          </w:rPr>
          <w:t>[2008] B.C.J. No. 2394</w:t>
        </w:r>
      </w:hyperlink>
      <w:r>
        <w:rPr>
          <w:rFonts w:ascii="arial" w:eastAsia="arial" w:hAnsi="arial" w:cs="arial"/>
          <w:color w:val="000000"/>
          <w:sz w:val="20"/>
          <w:lang w:val="en-US" w:eastAsia="en-US" w:bidi="ar-SA"/>
        </w:rPr>
        <w:t xml:space="preserve"> (S.C.) (low velocity rear impact collision, chiropractic treatment and physiotherapy, pronounced pain for approximately six months, some debilitation even up to the point of trial, impact on physically demanding activities such as running, going to the gym, gardening, ordinary household tasks, and interaction with her son) ($30,000);</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Hauer v. Clendenning</w:t>
      </w:r>
      <w:r>
        <w:rPr>
          <w:rFonts w:ascii="arial" w:eastAsia="arial" w:hAnsi="arial" w:cs="arial"/>
          <w:color w:val="000000"/>
          <w:sz w:val="20"/>
          <w:lang w:val="en-US" w:eastAsia="en-US" w:bidi="ar-SA"/>
        </w:rPr>
        <w:t xml:space="preserve">, </w:t>
      </w:r>
      <w:hyperlink r:id="rId573" w:history="1">
        <w:r>
          <w:rPr>
            <w:rFonts w:ascii="arial" w:eastAsia="arial" w:hAnsi="arial" w:cs="arial"/>
            <w:i/>
            <w:color w:val="0077CC"/>
            <w:sz w:val="20"/>
            <w:u w:val="single"/>
            <w:shd w:val="clear" w:color="auto" w:fill="FFFFFF"/>
            <w:lang w:val="en-US" w:eastAsia="en-US" w:bidi="ar-SA"/>
          </w:rPr>
          <w:t>[2010] B.C.J. No. 497</w:t>
        </w:r>
      </w:hyperlink>
      <w:r>
        <w:rPr>
          <w:rFonts w:ascii="arial" w:eastAsia="arial" w:hAnsi="arial" w:cs="arial"/>
          <w:color w:val="000000"/>
          <w:sz w:val="20"/>
          <w:lang w:val="en-US" w:eastAsia="en-US" w:bidi="ar-SA"/>
        </w:rPr>
        <w:t xml:space="preserve"> (S.C.) (42-year-old with pain in chest, neck, back and shoulder, which was diagnosed as muscle strain, prescribed pain medication and antiinflammatories, off work for several weeks, shoulder range of motion markedly reduced. After six months, shoulder pain still affecting employment and recreational activities) ($35,000); and</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King v. Horth</w:t>
      </w:r>
      <w:r>
        <w:rPr>
          <w:rFonts w:ascii="arial" w:eastAsia="arial" w:hAnsi="arial" w:cs="arial"/>
          <w:color w:val="000000"/>
          <w:sz w:val="20"/>
          <w:lang w:val="en-US" w:eastAsia="en-US" w:bidi="ar-SA"/>
        </w:rPr>
        <w:t xml:space="preserve">, </w:t>
      </w:r>
      <w:hyperlink r:id="rId574" w:history="1">
        <w:r>
          <w:rPr>
            <w:rFonts w:ascii="arial" w:eastAsia="arial" w:hAnsi="arial" w:cs="arial"/>
            <w:i/>
            <w:color w:val="0077CC"/>
            <w:sz w:val="20"/>
            <w:u w:val="single"/>
            <w:shd w:val="clear" w:color="auto" w:fill="FFFFFF"/>
            <w:lang w:val="en-US" w:eastAsia="en-US" w:bidi="ar-SA"/>
          </w:rPr>
          <w:t>[2009] B.C.J. No. 1634</w:t>
        </w:r>
      </w:hyperlink>
      <w:r>
        <w:rPr>
          <w:rFonts w:ascii="arial" w:eastAsia="arial" w:hAnsi="arial" w:cs="arial"/>
          <w:color w:val="000000"/>
          <w:sz w:val="20"/>
          <w:lang w:val="en-US" w:eastAsia="en-US" w:bidi="ar-SA"/>
        </w:rPr>
        <w:t xml:space="preserve"> (soft tissue injury to neck and shoulder which produced headaches, discomfort with job and recreation activities. Did not significantly interfere with ability of the plaintiff to perform at his work as a gardener and phone solicitor) ($35,000).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alternative position taken by the Defendants is that, if non-pecuniary damages are to be awarded, the amount ordered should be in the range of $4,000 to $5,000 and that any amount awarded should be reduced because of the failure of Mr. Guzman Gonzalez to mitigate his damages. In reliance on the submission that $4,000 to $5,000 is appropriate for non-pecuniary damages, the Defendants rely on the following decisions which are said to compensate the plaintiffs for similar durations of similar pain and suffering:</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Brar v. Kaur</w:t>
      </w:r>
      <w:r>
        <w:rPr>
          <w:rFonts w:ascii="arial" w:eastAsia="arial" w:hAnsi="arial" w:cs="arial"/>
          <w:color w:val="000000"/>
          <w:sz w:val="20"/>
          <w:lang w:val="en-US" w:eastAsia="en-US" w:bidi="ar-SA"/>
        </w:rPr>
        <w:t xml:space="preserve">, </w:t>
      </w:r>
      <w:hyperlink r:id="rId575" w:history="1">
        <w:r>
          <w:rPr>
            <w:rFonts w:ascii="arial" w:eastAsia="arial" w:hAnsi="arial" w:cs="arial"/>
            <w:i/>
            <w:color w:val="0077CC"/>
            <w:sz w:val="20"/>
            <w:u w:val="single"/>
            <w:shd w:val="clear" w:color="auto" w:fill="FFFFFF"/>
            <w:lang w:val="en-US" w:eastAsia="en-US" w:bidi="ar-SA"/>
          </w:rPr>
          <w:t>[2010] B.C.J. No. 1708</w:t>
        </w:r>
      </w:hyperlink>
      <w:r>
        <w:rPr>
          <w:rFonts w:ascii="arial" w:eastAsia="arial" w:hAnsi="arial" w:cs="arial"/>
          <w:color w:val="000000"/>
          <w:sz w:val="20"/>
          <w:lang w:val="en-US" w:eastAsia="en-US" w:bidi="ar-SA"/>
        </w:rPr>
        <w:t xml:space="preserve"> (S.C.) (after minor motor vehicle accident, suffered approximately six months with soft tissue injury to neck and back, was off work for one month, and had fully recovered within five to six months) ($4,000);</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Prasad v. Nyari</w:t>
      </w:r>
      <w:r>
        <w:rPr>
          <w:rFonts w:ascii="arial" w:eastAsia="arial" w:hAnsi="arial" w:cs="arial"/>
          <w:color w:val="000000"/>
          <w:sz w:val="20"/>
          <w:lang w:val="en-US" w:eastAsia="en-US" w:bidi="ar-SA"/>
        </w:rPr>
        <w:t xml:space="preserve">, </w:t>
      </w:r>
      <w:hyperlink r:id="rId576" w:history="1">
        <w:r>
          <w:rPr>
            <w:rFonts w:ascii="arial" w:eastAsia="arial" w:hAnsi="arial" w:cs="arial"/>
            <w:i/>
            <w:color w:val="0077CC"/>
            <w:sz w:val="20"/>
            <w:u w:val="single"/>
            <w:shd w:val="clear" w:color="auto" w:fill="FFFFFF"/>
            <w:lang w:val="en-US" w:eastAsia="en-US" w:bidi="ar-SA"/>
          </w:rPr>
          <w:t>[2007] B.C.J. No. 101</w:t>
        </w:r>
      </w:hyperlink>
      <w:r>
        <w:rPr>
          <w:rFonts w:ascii="arial" w:eastAsia="arial" w:hAnsi="arial" w:cs="arial"/>
          <w:color w:val="000000"/>
          <w:sz w:val="20"/>
          <w:lang w:val="en-US" w:eastAsia="en-US" w:bidi="ar-SA"/>
        </w:rPr>
        <w:t xml:space="preserve"> (S.C.) (off work for three months, experienced tension headaches and left shoulder pain, range of motion in the neck region was 40% of normal and in shoulder area was 60% of normal, injury affected sleep and resulted in an inability to take evening walks, assist with his children's homework, or carry out household tasks which could formerly be performed) ($4,200); and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Mohammed v. Rai</w:t>
      </w:r>
      <w:r>
        <w:rPr>
          <w:rFonts w:ascii="arial" w:eastAsia="arial" w:hAnsi="arial" w:cs="arial"/>
          <w:color w:val="000000"/>
          <w:sz w:val="20"/>
          <w:lang w:val="en-US" w:eastAsia="en-US" w:bidi="ar-SA"/>
        </w:rPr>
        <w:t xml:space="preserve">, </w:t>
      </w:r>
      <w:hyperlink r:id="rId577" w:history="1">
        <w:r>
          <w:rPr>
            <w:rFonts w:ascii="arial" w:eastAsia="arial" w:hAnsi="arial" w:cs="arial"/>
            <w:i/>
            <w:color w:val="0077CC"/>
            <w:sz w:val="20"/>
            <w:u w:val="single"/>
            <w:shd w:val="clear" w:color="auto" w:fill="FFFFFF"/>
            <w:lang w:val="en-US" w:eastAsia="en-US" w:bidi="ar-SA"/>
          </w:rPr>
          <w:t>[2005] B.C.J. No. 3166</w:t>
        </w:r>
      </w:hyperlink>
      <w:r>
        <w:rPr>
          <w:rFonts w:ascii="arial" w:eastAsia="arial" w:hAnsi="arial" w:cs="arial"/>
          <w:color w:val="000000"/>
          <w:sz w:val="20"/>
          <w:lang w:val="en-US" w:eastAsia="en-US" w:bidi="ar-SA"/>
        </w:rPr>
        <w:t xml:space="preserve"> (S.C.) (ten days off work, headaches and soft tissue injuries to neck and back, muscle stiffness and tenderness in paraspinal regions of back and neck, as well as diminished rotation of cervical spine bilaterally, light duties at work, anti-inflammatory medication prescribed, physiotherapy undertaken, substantial recovery within about eight months) ($5,000).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On the basis of the testimony of Mr. Guzman Gonzalez, the expert opinions of Drs. Tong and O'Connor, and the testimony and reports of Mr. Snip, I can conclude as follows regarding the extent and the duration of the pain and suffering of Mr. Guzman Gonzalez caused by the accident:</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Regarding the low back pain experienced by Mr. Guzman Gonzalez, I conclude that he had fairly constant pain for the first month or so, but that his complaints had resolved by the time Mr. Guzman Gonzalez saw Dr. Tong on October 21, 2009.</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Regarding the headaches suffered by Mr. Guzman Gonzalez, while Mr. Guzman Gonzalez testified at his Discovery that he had his last headache in December 2010, I am satisfied on the basis of the medical legal opinion of Dr. O'Connor that any headaches associated with the accident were common daily for the first three months, but had largely resolved within three to four months so that Mr. Guzman Gonzalez now only experiences headaches every so often.</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Regarding the pain experienced in his shoulder, Mr. Guzman Gonzalez confirmed that there is only pain when he lifts his arm above his head or when he sleeps on that particular shoulder. I take into account the following evidence to come to the conclusion that the neck and shoulder pain caused by the accident lasted in the neighbourhood of six to eight months, although it was particularly acute during the first two months after the accident: (i) by December 5, 2009, Mr. Guzman Gonzalez was reporting to Dr. Tong that there was only "occasional flareup" associated with the "tightening up of the muscles"; (ii) the clinical notes of Dr. Tong did not record any complaint by Mr. Guzman Gonzalez about neck and shoulder pain for the December 5, 2009 through February 20, 2012 visits; (iii) in his February 20, 2012 medical legal opinion, Dr. Tong noted that there was neither "residual neck musculo-ligament tenderness" on palpation, that the left shoulder exhibited "slight decreased external rotation and abduction", and that there was "no tenderness on the anterior aspect of the left shoulder"; (iv) neck pain and left shoulder pain was described by Dr. O'Connor in his December 16, 2011 legal opinion as being "about 50% better"; and (v) in his December 16, 2011 opinion, Dr. O'Connor states that the neck pain was "initially triggered by musculoligamentous strain to the neck, and likely aggravation of the cervical facet joints at the mid-cervical spine".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The x-ray arranged by Dr. Tong in late 2009 indicated "moderate osteoarthritis of the acromio-clavicular joint" and that this "may cause impingement". There is no medical evidence which would allow me to conclude that the accident caused an acceleration of the osteoarthritis or that this would not have developed but for the accident. In the circumstances, I find that the condition described by Dr. O'Connor was the result of a degenerative condition in the AC joint which had previously not caused pain to Mr. Guzman Gonzalez but is presently causing pain during or after what Dr. O'Connor described as "overhead reaching". The prognosis of Dr. O'Connor is that there is an increased risk of injury or aggravation of the left shoulder with any heavy lifting or overhead reaching or carrying required in the occupation of Mr. Guzman Gonzalez. I find that this ongoing problem is attributable to the osteoarthritis and not to injuries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Mr. Dueck.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As a result of the injuries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Mr. Dueck, I find that Mr. Guzman Gonzalez was not able to play tennis for about six months, that he had limited ability to play soccer, that he was less active on the dance floor for six to eight months, but that, after about eight months, he was fully able to carry on with all of his previous recreational activities. I find that any further limitations regarding his recreational activities can be attributed to a problem that Mr. Guzman Gonzalez has with his knee which is in no way associated with the results of the injuries he suffered as a result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Taking into account the injuries suffered by Mr. Guzman Gonzalez as a result of the accident and the duration of the pain and suffering of Mr. Guzman Gonzalez, I assess the non-pecuniary damages of Mr. Guzman Gonzalez at $27,500.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It was the submission of the Defendants that Mr. Guzman Gonzalez had not fulfilled his duty to mitigate his losses. In this regard, the Defendants point out that Mr. Guzman Gonzalez was referred to twelve sessions of physiotherapy, but only attended five sessions, he was spending money on cigarettes rather than on physiotherapy, and that he had not changed his exercise program despite the fact that he claimed that he still had some symptoms arising out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Despite the cross-examination of Mr. Guzman Gonzalez, Mr. Snip, and Dr. O'Connor, the Defendants presented no evidence that additional sessions of physiotherapy would have benefitted Mr. Guzman Gonzalez or would have lessened his pain and suffering or the duration of it. Mere theories advanced by counsel for the Defendants are not enough to meet the obligation that rests on the Defendants to show on a balance of probabilities that Mr. Guzman Gonzalez has failed to mitigate his losses. Accordingly, the amount awarded for pain and suffering of Mr. Guzman Gonzalez is not in any way reduced by the theory advanced by the Defendants that Mr. Guzman Gonzalez failed to mitigate his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PAST WAGE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It was the submission of Mr. Guzman Gonzalez that overtime was lost to him as a result of the accident. When Mr. Guzman Gonzalez returned to work, he was transferred to an area that had less physical demands on him. Mr. Guzman Gonzalez testified that there was less overtime available to him in that new area and that he lost overtime income as a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evidence was a chart listing the overtime that was available to Mr. Guzman Gonzalez both before and after the accident. In the four pay periods prior to the collision, overtime averaged 14.25 hours whereas in the four pay periods immediately after the accident, the average was 31 hours. Similarly, in the eight pay periods prior to the accident, the average was 28.5 hours, whereas in the eight pay periods after the accident, it was 29 hours. In the twelve pay periods before the accident the average overtime was 35.75 hours per pay period and in the twelve pay periods after the accident, the average was 29.5 hours. There appears to be no appreciable difference between the figures arising between the average overtime available to Mr. Guzman Gonzalez in the six months prior to the accident and the six months after the accident. It is not until the figures for one year before the accident and one after the accident are compared that there is any appreciable difference.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 cannot conclude that there was any reduction of overtime or that any reduction of overtime after the accident can be attributed to the new work that was being undertaken by Mr. Guzman Gonzalez. Without knowing what overtime might have been available to other employees that would ordinarily have been made available to Mr. Guzman Gonzalez, I cannot conclude that there was a loss of overtime after the accident such that Mr. Guzman Gonzalez should be compensated for that loss. As well, it is not clear to me that the reduced overtime was not related to the eventual closure of the business of his employer in March 2010. Accordingly, no award is made to Mr. Guzman Gonzalez for any past wage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While Mr. Guzman Gonzalez was originally claiming diminished capacity and future wage loss, that claim was abandoned at Trial. In any event, I could not make such a finding.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FUTURE CARE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 claim is made for $500 in order to reflect this cost of a personal trainer or a kinesiologist. However, there was no evidence about the potential cost. In any event, I cannot conclude that Mr. Guzman Gonzalez will undertake such treatment in view of the fact that he has not undertaken such services although Dr. O'Connor recommended them in December 2011 and although he was referred to a physiotherapy/massage therapist on December 5, 2009 by Dr. Tong. Accordingly, I make no order relating to future care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Special damages of $1,417 are claimed, made up of special damages of $133 to cover user fees at the physiotherapist, mileage to and from those appointments, and the cost of a cleaning lady at $8 per hour for three hours per week over one year, ($1,284). There is cogent evidence available regarding what was paid to the cleaning lady, as well as how long it was paid and the duration of the payment.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Under the circumstances, an award for special damages is made for $133 plus any part of the $1,270.80 damage done to the vehicle being driven by Mr. Guzman Gonzalez if that amount has not already been paid.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Damages of Mr. Guzman Gonzalez will be $27,500 non-pecuniary damages, plus the special damages noted above. The parties are at liberty to speak to the question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G.D. BURNYEAT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32" style="position:absolute;z-index:25183334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78"/>
          <w:headerReference w:type="default" r:id="rId579"/>
          <w:footerReference w:type="even" r:id="rId580"/>
          <w:footerReference w:type="default" r:id="rId581"/>
          <w:headerReference w:type="first" r:id="rId582"/>
          <w:footerReference w:type="first" r:id="rId58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84" w:history="1">
        <w:r>
          <w:rPr>
            <w:rFonts w:ascii="arial" w:eastAsia="arial" w:hAnsi="arial" w:cs="arial"/>
            <w:b/>
            <w:bCs/>
            <w:i/>
            <w:color w:val="0077CC"/>
            <w:kern w:val="32"/>
            <w:sz w:val="28"/>
            <w:szCs w:val="32"/>
            <w:u w:val="single"/>
            <w:shd w:val="clear" w:color="auto" w:fill="FFFFFF"/>
            <w:lang w:val="en-US" w:eastAsia="en-US" w:bidi="ar-SA"/>
          </w:rPr>
          <w:t>Gwininitxw v. British Columbia (Attorney General), [2013] B.C.J. No. 2383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P.G. Voith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17 and 19,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30,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S085825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[2013] B.C.J. No. 2383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BCSC 1972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Gwininitxw (also known as Yvonne Lattie, on behalf of all members of Gwininitxw House), Plaintiffs, and Attorney-General of British Columbia (Ministry of Energy, Mines and Petroleum Resources) and Roxgold Inc.,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(127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33" style="position:absolute;z-index:2516817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50" w:name="Keywords_22"/>
      <w:bookmarkEnd w:id="150"/>
      <w:r>
        <w:rPr>
          <w:rFonts w:ascii="arial" w:eastAsia="arial" w:hAnsi="arial" w:cs="arial"/>
          <w:b/>
          <w:color w:val="000000"/>
          <w:sz w:val="20"/>
          <w:lang w:val="en-US" w:eastAsia="en-US" w:bidi="ar-SA"/>
        </w:rPr>
        <w:t>Aboriginal law — Aboriginal lands — Mineral, oil and gas rights — Land claims — Practice and procedure — Parties — Pleadings — Application by plaintiff to add two defendants and to amend statement of claim dismissed — Plaintiff Chief commenced present land claims action in 2008, including various causes of action in relation to mineral permits and tenures issued to Roxgold Inc. and assigned to ARR, one proposed defendant — Plaintiff also sought to add Raven, president of ARR, formerly with Roxgold — Pursuant to 2011 settlement and release, all claims against Roxgold were dismissed — Release prevented further claims against ARR and Raven — Claims challenging issuance of permits and alleged insufficient consultation or accommodation should have been advanced by judicial review.</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Civil litigation — Civil procedure — Parties — Adding or substituting — Pleadings — Amendment of — Statement of claim — Application by plaintiff to add two defendants and to amend statement of claim dismissed — Plaintiff Chief commenced present land claims action in 2008, including various causes of action in relation to mineral permits and tenures issued to Roxgold Inc. and assigned to ARR, one proposed defendant — Plaintiff also sought to add Raven, president of ARR, formerly with Roxgold — Pursuant to 2011 settlement and release, all claims against Roxgold were dismissed — Release prevented further claims against ARR and Raven — Claims challenging issuance of permits and alleged insufficient consultation or accommodation should have been advanced by judicial review.</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51" w:name="Case Summary_22"/>
            <w:bookmarkEnd w:id="15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plaintiff to add two defendants to the action and for leave to amend the statement of claim. The proposed defendants opposed the application. The plaintiff was the Chief of the Gwininitxw. The plaintiffs' early pleadings advanced a claim for aboriginal title over certain lands. They also advanced various causes of action in relation to a number of mineral permits and tenures that were initially issued to Roxgold Inc and were more recently assigned to ARR Mineral Exploration, one of the proposed defendants. Until 2010, the proposed defendant Raven was a member of the Board of Directors of Roxgold and then became a director and the president of ARR. In 2008, the plaintiffs commenced the present action against Roxgold and the Ministry of Energy, Mines to quash Ministry authorizations, a declaration of aboriginal title, and damages. In 2011 the plaintiffs signed a release in favour of Roxgold. A 2011 settlement order then dismissed the existing proceeding against Roxgold. Subsequently, mineral tenures belonging to Roxgold for the lands were transferred to ARR. The plaintiffs' Amended Claim purported to raise several causes of action against each of Roxgold, Raven, ARR, as well as against the Provincial Crown. The amendments alleged Roxgold and Raven breached various obligations contained in the permits and authorizations that Roxgold received. Many of these breaches were alleged to have occurred before the Release was signed. ARR and Raven also allegedly engaged in various forms of conduct, subsequent to the signing of the Release, which again underlay and supported an action in trespass, private and public nuisance,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plaintiffs alleged that the Ministry failed to consult adequately with the plaintiffs with respect to the various permits it issued to Roxgold and with respect to the transfer of these permits to ARR.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52" w:name="Holdings of Court_19"/>
            <w:bookmarkEnd w:id="152"/>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Release and the Settlement Order prevented any further action against Roxgold for the activities of Roxgold prior to the execution of the Release. The amended claim purported, in many instances, to pertain to exactly the same conduct that the plaintiffs originally complained of and attributed to Roxgold before the Release was signed. Any claim that had been advanced against Roxgold for conduct that the plaintiff complained of in their earlier pleadings would also be res judicata under the terms of the Settlement Order. The plaintiffs' claims were barred by the Release and ARR, as Roxgold's assign, could not, therefore, be added as a party to the action for any of the conduct of Roxgold that preceded the execution of the Release. The Release expressly released Roxgold and its assigns from all claims that arose directly or indirectly from the then action. Raven fell within the intended scope of the term "agent" when the Release was executed. Accordingly, any claim against Raven for conduct that preceded the signing of the Release could not be advanced. Those portions of the amended claim that sought to challenge the assignment of the MX Permit or the tenures referred to within it, to ARR had been improperly advanced. The proper process to achieve the object that the plaintiffs advanced was by way of judicial review. The unsupported allegation that ARR engaged in improper and unauthorized activities on the lands claimed by the plaintiffs, in or around 2011 did not provide a basis for adding ARR to this action. The amended claim advances no material facts which would support a cause of action against Raven.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53" w:name="Legislation Cited_11"/>
      <w:bookmarkEnd w:id="15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34" style="position:absolute;z-index:2517329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Mines Act, </w:t>
      </w:r>
      <w:hyperlink r:id="rId585" w:history="1">
        <w:r>
          <w:rPr>
            <w:rFonts w:ascii="arial" w:eastAsia="arial" w:hAnsi="arial" w:cs="arial"/>
            <w:i/>
            <w:color w:val="0077CC"/>
            <w:sz w:val="20"/>
            <w:u w:val="single"/>
            <w:shd w:val="clear" w:color="auto" w:fill="FFFFFF"/>
            <w:lang w:val="en-US" w:eastAsia="en-US" w:bidi="ar-SA"/>
          </w:rPr>
          <w:t>RSBC 1996, CHAPTER 293, s. 10</w:t>
        </w:r>
      </w:hyperlink>
      <w:r>
        <w:rPr>
          <w:rFonts w:ascii="arial" w:eastAsia="arial" w:hAnsi="arial" w:cs="arial"/>
          <w:color w:val="000000"/>
          <w:sz w:val="20"/>
          <w:lang w:val="en-US" w:eastAsia="en-US" w:bidi="ar-SA"/>
        </w:rPr>
        <w:t>, s. 10(1), s. 10(3), s. 10(4), s. 10(5), s. 10(8), s. 10(9), s. 15, s. 3391), s. 35, s. 35(1)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Mineral Tenure Act Regulation, </w:t>
      </w:r>
      <w:hyperlink r:id="rId586" w:history="1">
        <w:r>
          <w:rPr>
            <w:rFonts w:ascii="arial" w:eastAsia="arial" w:hAnsi="arial" w:cs="arial"/>
            <w:i/>
            <w:color w:val="0077CC"/>
            <w:sz w:val="20"/>
            <w:u w:val="single"/>
            <w:shd w:val="clear" w:color="auto" w:fill="FFFFFF"/>
            <w:lang w:val="en-US" w:eastAsia="en-US" w:bidi="ar-SA"/>
          </w:rPr>
          <w:t>B.C. Reg. 529/2004, s. 12</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Rules, Rule 6-2, Rule 6-2(8)</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54" w:name="Counsel_22"/>
      <w:bookmarkEnd w:id="15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35" style="position:absolute;z-index:2517841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J.B. Gratl, R.J. Whitehead.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Attorney General of British Columbia (Ministry of Energy, Mines and Petroleum Resources): K.J. Phillips, P. Smith.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Proposed Defendants Alan Raven and ARR Mineral Exploration Ltd.: K.G. O'Callaghan, E.A.B. Gilbride.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55" w:name="Judgment_22"/>
      <w:bookmarkEnd w:id="155"/>
      <w:r>
        <w:pict>
          <v:line id="_x0000_s1136" style="position:absolute;z-index:251834368" from="0,12pt" to="512pt,12pt" strokecolor="#009ddb" strokeweight="1.5pt">
            <v:stroke linestyle="single"/>
          </v:line>
        </w:pict>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OVERVIEW</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GENERAL BACKGROUND</w:t>
      </w:r>
      <w:r>
        <w:rPr>
          <w:rFonts w:ascii="arial" w:eastAsia="arial" w:hAnsi="arial" w:cs="arial"/>
          <w:color w:val="000000"/>
          <w:sz w:val="20"/>
          <w:lang w:val="en-US" w:eastAsia="en-US" w:bidi="ar-SA"/>
        </w:rPr>
        <w:t>&lt;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MATTERS RAISED BY THE AMENDED CLAIM AND THE POSITION OF THE PLAINTIFFS IN RELATION TO SUCH MATTERS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POSITIONS OF THE PROPOSED DEFENDANTS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ISSUES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LAW RELATING TO THE ADDITION OF PARTIES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RELEASE, THE SETTLEMENT ORDER AND THEIR IMPORT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 The Plaintiffs did not Appreciate the Scope of</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Roxgold's Activities when they Signed the Release</w:t>
      </w:r>
      <w:r>
        <w:rPr>
          <w:rFonts w:ascii="arial" w:eastAsia="arial" w:hAnsi="arial" w:cs="arial"/>
          <w:sz w:val="20"/>
          <w:lang w:val="en-US" w:eastAsia="en-US" w:bidi="ar-SA"/>
        </w:rPr>
        <w:cr/>
      </w:r>
    </w:p>
    <w:p>
      <w:pPr>
        <w:numPr>
          <w:numId w:val="1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Does the Release Extend to ARR?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c) Does the Release Extend to Mr. Raven?</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Does the Release Act to Release Claims Against Alan Raven as a joint tortfeasor?</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CLAIMS ARISING OUT OF ACTIVITIES THAT POSTDATE THE RELEASE</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Inadequate Consultation or Accommodation Relating to the Amendment/Assignment of the MX Permit</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of ARR to perform the work Required Under the MX Permit and the Doctrine of Collateral Attack</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HAS ARR UNDERTAKEN FURTHER WORK WITHOUT AUTHORIZATION?</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IS IT JUST AND CONVENIENT TO ADD ARR?</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CLAIMS AGAINST MR. RAVEN PERSONALLY</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FURTHER ISSUES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SUMMARY</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56" w:name="P.G. VOITH J."/>
            <w:bookmarkEnd w:id="156"/>
            <w:r>
              <w:rPr>
                <w:rFonts w:ascii="arial" w:eastAsia="arial" w:hAnsi="arial" w:cs="arial"/>
                <w:b/>
                <w:color w:val="000000"/>
                <w:sz w:val="30"/>
                <w:lang w:val="en-US" w:eastAsia="en-US" w:bidi="ar-SA"/>
              </w:rPr>
              <w:t>P.G. VOITH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plaintiffs seek:</w:t>
      </w:r>
      <w:r>
        <w:rPr>
          <w:rFonts w:ascii="arial" w:eastAsia="arial" w:hAnsi="arial" w:cs="arial"/>
          <w:sz w:val="20"/>
          <w:lang w:val="en-US" w:eastAsia="en-US" w:bidi="ar-SA"/>
        </w:rPr>
        <w:cr/>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under Rule 6-2(7), adding Alan Raven and ARR Mineral Exploration LTD ("ARR") as defendants to this action; and</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under Rule 6-2(8), granting the plaintiffs leave to file an Amended Notice of Civil Claim in the form attached as Annexure "A" to its Notice of Application (the "Amended Claim") reflecting revisions made June 16,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Both applications are opposed by each of Mr. Raven and ARR as well by the Provincial Crown on disparate grounds. The plaintiffs did not pursue the application for an interlocutory injunction that they had initially included in their Notice of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General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 have case managed this matter since July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Yvonne Lattie, is Chief of the Gwininitxw, and carries the Chief name, Gwininitxw. Gwininitxw is a House Group of the Gitxsan Nation. Gwininitxw brings this claim on behalf of the Gwininitxw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plaintiffs' early pleadings advanced a claim for aboriginal title over areas that are described more fully in those pleadings. They also advanced various causes of action in relation to a number of mineral permits and tenures that were initially issued to Roxgold Inc. ("Roxgold") and were more recently assigned to ARR. The present application only relates, directly, to this second group of actions and the matters that arise from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following chronology, which has been taken in part from ARR's Application Response, is relevant to the events which underlie this application. I have developed further specific aspects of this chronology where I have addressed particular issues raised by the parties.</w:t>
      </w:r>
      <w:r>
        <w:rPr>
          <w:rFonts w:ascii="arial" w:eastAsia="arial" w:hAnsi="arial" w:cs="arial"/>
          <w:sz w:val="20"/>
          <w:lang w:val="en-US" w:eastAsia="en-US" w:bidi="ar-SA"/>
        </w:rPr>
        <w:cr/>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May 30, 2007, the Ministry of Energy, Mines, and Petroleum Resources ("MEM") issued </w:t>
      </w:r>
      <w:r>
        <w:rPr>
          <w:rFonts w:ascii="arial" w:eastAsia="arial" w:hAnsi="arial" w:cs="arial"/>
          <w:i/>
          <w:color w:val="000000"/>
          <w:sz w:val="20"/>
          <w:lang w:val="en-US" w:eastAsia="en-US" w:bidi="ar-SA"/>
        </w:rPr>
        <w:t>Mines Act</w:t>
      </w:r>
      <w:r>
        <w:rPr>
          <w:rFonts w:ascii="arial" w:eastAsia="arial" w:hAnsi="arial" w:cs="arial"/>
          <w:color w:val="000000"/>
          <w:sz w:val="20"/>
          <w:lang w:val="en-US" w:eastAsia="en-US" w:bidi="ar-SA"/>
        </w:rPr>
        <w:t xml:space="preserve"> permit MX-1-729 (the "MX Permit") to Roxgold for exploration and reclamation activities on the Gosico property (also known as "TJ Ridge"), as set out in the Notice of Work and Reclamation under the permit. Roxgold is a publicly held British Columbia company. Mr. Raven was president and a director of Roxgold from about 2006 until October 2010.</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July 30, 2008, MEM approved a further Notice of Work for Roxgold (completion date December 31, 2008) under the MX Permit.</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August 15, 2008, the plaintiffs filed a Writ and Statement of Claim against Roxgold and MEM seeking to quash MEM authorizations, a declaration of aboriginal title, and damages.</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November 10, 2008, the plaintiffs filed an Amended Statement of Claim.</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June 8, 2009, MEM approved a further Notice of Work for Roxgold (completion date September 15, 2009) under the MX Permit.</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October 27, 2010, Mr. Raven resigned from the Board of Directors of Roxgold.</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January 2011, ARR was incorporated. ARR is a privately held British Columbia company. Mr. Raven is a director and the president of ARR.</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April 8, 2011, the plaintiffs filed a Notice of Civil Claim.</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June 1, 2011, the plaintiffs signed a Release (the "Release") in favour of Roxgold.</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July 21, 2011, a Settlement Conference Order (the "Settlement Order") was entered, in which the plaintiffs agreed to dismiss the existing proceeding against Roxgold.</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October 4, 2011 mineral tenures belonging to Roxgold for the TJ Ridge property were transferred to ARR.</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March 20, 2012, MEM wrote to Chief Gwininitxw/Yvonne Lattie to advise that MEM had received a request to assign the MX Permit from Roxgold to ARR, and to extend the timeframe for completion of work that was previously approved on June 8, 2009.</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March 28, 2012, MEM amended the permittee of the MX Permit from Roxgold to ARR, and authorized exploration activities detailed in the Notice of Work and Reclamation program dated May 5, 2009 (completion date extended to March 31,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Matters raised by the Amended Claim and the Position of the Plaintiffs in Relation to Such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plaintiffs' Amended Claim purports to raise several causes of action against each of Roxgold, Mr. Raven, ARR, as well as against the Provincial Crown.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Broadly stated the Amended Claim alleges:</w:t>
      </w:r>
      <w:r>
        <w:rPr>
          <w:rFonts w:ascii="arial" w:eastAsia="arial" w:hAnsi="arial" w:cs="arial"/>
          <w:sz w:val="20"/>
          <w:lang w:val="en-US" w:eastAsia="en-US" w:bidi="ar-SA"/>
        </w:rPr>
        <w:cr/>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Roxgold and Mr. Raven breached various obligations contained in the permits and authorizations that Roxgold received. Many of these breaches are alleged to have occurred before the Release was signed. The breaches, the plaintiffs say, ground actions in trespass, public and private nuisance,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plaintiffs accept that if Roxgold (and Mr. Raven) had complied with the terms of the permits it received there would be no basis for these actions. The plaintiffs allege, however, that Roxgold exceeded the terms of such permits at different times and in different ways. The plaintiffs accept that there is no precedent for a First Nation suing a third party in either trespass, or in private or public nuisance, or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harm to its aboriginal lands when its claim for aboriginal title has not yet been established. As a result of the conclusions I have come to, I have not addressed whether such causes of action, in the circumstances of this case, are available to the plaintiffs. I do observe, however, that the plaintiffs accept that such claims would potentially be of remarkable breadth. A claim in trespass, for example, would, it was argued, extend to any member of the public who crossed Crown land that is subject to a claim for aboriginal title.</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Roxgold and Mr. Raven engaged in a conspiracy, together with members of the Gwininitxw House and the MEM, to injure the plaintiffs' aboriginal title claim and its traditional government structure. The events which are alleged to ground this cause of action again appear to predate the signing of the Release.</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ARR and Mr. Raven have engaged in various forms of conduct, subsequent to the signing of the Release, which again underlie and support an action in each of trespass, private and public nuisance,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Provincial Crown, as represented by MEM, failed to consult adequately with the plaintiffs in each of 2007, 2008, 2009 and 2012, with respect to the various permits it issued to Roxgold and with respect to the transfer of these permits to ARR.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Positions of the Proposed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Raven and ARR argue that the plaintiffs cannot meet either requirement under Rule 6-2(7) in that:</w:t>
      </w:r>
      <w:r>
        <w:rPr>
          <w:rFonts w:ascii="arial" w:eastAsia="arial" w:hAnsi="arial" w:cs="arial"/>
          <w:sz w:val="20"/>
          <w:lang w:val="en-US" w:eastAsia="en-US" w:bidi="ar-SA"/>
        </w:rPr>
        <w:cr/>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live question or issue between the plaintiffs and the proposed defendants;</w:t>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 would be unjust or an abuse to add the proposed defendants and to allow the plaintiffs to relitigate their settled claims against Roxgold;</w:t>
      </w:r>
    </w:p>
    <w:p>
      <w:pPr>
        <w:numPr>
          <w:numId w:val="1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 would be unjust and inconvenient to add the proposed defendants to an action that includes a claim for aboriginal title against the Provincial Crown; and</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various of the claims advanced by the plaintiffs are inappropriate in the context of the present action and are more properly brought by way of judicial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Raven and ARR are supported, as I have said, in several of their positions by the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present application raises the following distinct issues:</w:t>
      </w:r>
      <w:r>
        <w:rPr>
          <w:rFonts w:ascii="arial" w:eastAsia="arial" w:hAnsi="arial" w:cs="arial"/>
          <w:sz w:val="20"/>
          <w:lang w:val="en-US" w:eastAsia="en-US" w:bidi="ar-SA"/>
        </w:rPr>
        <w:cr/>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impact do the Release or the Settlement Order have on the causes of action raised in the Amended Claim?</w:t>
      </w:r>
    </w:p>
    <w:p>
      <w:pPr>
        <w:numPr>
          <w:numId w:val="1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claim of an alleged failure to consult, by the Crown, at different points in time, constitutes an impermissible collateral attack on the various permits that MEM granted or assigned?</w:t>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there exists any basis for adding ARR to this action?</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Amended Claim advances any basis for adding Mr. Raven to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Law Relating to the Addition of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Rule 6-2(7) establishes the necessary requirements to add a party to an action. A plaintiff must establish:</w:t>
      </w:r>
      <w:r>
        <w:rPr>
          <w:rFonts w:ascii="arial" w:eastAsia="arial" w:hAnsi="arial" w:cs="arial"/>
          <w:sz w:val="20"/>
          <w:lang w:val="en-US" w:eastAsia="en-US" w:bidi="ar-SA"/>
        </w:rPr>
        <w:cr/>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 question or issue between the plaintiff and the proposed defendants that relates to the relief, remedy, or subject matter of the proceeding, and</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would be just and convenient to decide the issue between the plaintiff and the proposed defendants in this proceeding; </w:t>
      </w:r>
      <w:r>
        <w:rPr>
          <w:rFonts w:ascii="arial" w:eastAsia="arial" w:hAnsi="arial" w:cs="arial"/>
          <w:i/>
          <w:color w:val="000000"/>
          <w:sz w:val="20"/>
          <w:lang w:val="en-US" w:eastAsia="en-US" w:bidi="ar-SA"/>
        </w:rPr>
        <w:t>Strata Plan No. VIS3578 v. Canan Investment Group Ltd,</w:t>
      </w:r>
      <w:r>
        <w:rPr>
          <w:rFonts w:ascii="arial" w:eastAsia="arial" w:hAnsi="arial" w:cs="arial"/>
          <w:color w:val="000000"/>
          <w:sz w:val="20"/>
          <w:lang w:val="en-US" w:eastAsia="en-US" w:bidi="ar-SA"/>
        </w:rPr>
        <w:t xml:space="preserve"> </w:t>
      </w:r>
      <w:hyperlink r:id="rId587" w:history="1">
        <w:r>
          <w:rPr>
            <w:rFonts w:ascii="arial" w:eastAsia="arial" w:hAnsi="arial" w:cs="arial"/>
            <w:i/>
            <w:color w:val="0077CC"/>
            <w:sz w:val="20"/>
            <w:u w:val="single"/>
            <w:shd w:val="clear" w:color="auto" w:fill="FFFFFF"/>
            <w:lang w:val="en-US" w:eastAsia="en-US" w:bidi="ar-SA"/>
          </w:rPr>
          <w:t>2010 BCCA 329</w:t>
        </w:r>
      </w:hyperlink>
      <w:r>
        <w:rPr>
          <w:rFonts w:ascii="arial" w:eastAsia="arial" w:hAnsi="arial" w:cs="arial"/>
          <w:color w:val="000000"/>
          <w:sz w:val="20"/>
          <w:lang w:val="en-US" w:eastAsia="en-US" w:bidi="ar-SA"/>
        </w:rPr>
        <w:t>, paras. 45-46.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 decision to add parties under this Rule is subject to the court's discretion: </w:t>
      </w:r>
      <w:r>
        <w:rPr>
          <w:rFonts w:ascii="arial" w:eastAsia="arial" w:hAnsi="arial" w:cs="arial"/>
          <w:i/>
          <w:color w:val="000000"/>
          <w:sz w:val="20"/>
          <w:lang w:val="en-US" w:eastAsia="en-US" w:bidi="ar-SA"/>
        </w:rPr>
        <w:t>Strata Plan No. VIS3578,</w:t>
      </w:r>
      <w:r>
        <w:rPr>
          <w:rFonts w:ascii="arial" w:eastAsia="arial" w:hAnsi="arial" w:cs="arial"/>
          <w:color w:val="000000"/>
          <w:sz w:val="20"/>
          <w:lang w:val="en-US" w:eastAsia="en-US" w:bidi="ar-SA"/>
        </w:rPr>
        <w:t xml:space="preserve"> para. 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 threshold for the first part of the test is low and has been described as whether there is a real issue between the plaintiff and the proposed defendants that is not frivolous, or that the plaintiff has a possible cause of action against the proposed defendants: </w:t>
      </w:r>
      <w:r>
        <w:rPr>
          <w:rFonts w:ascii="arial" w:eastAsia="arial" w:hAnsi="arial" w:cs="arial"/>
          <w:i/>
          <w:color w:val="000000"/>
          <w:sz w:val="20"/>
          <w:lang w:val="en-US" w:eastAsia="en-US" w:bidi="ar-SA"/>
        </w:rPr>
        <w:t>Strata Plan No. VIS3578</w:t>
      </w:r>
      <w:r>
        <w:rPr>
          <w:rFonts w:ascii="arial" w:eastAsia="arial" w:hAnsi="arial" w:cs="arial"/>
          <w:color w:val="000000"/>
          <w:sz w:val="20"/>
          <w:lang w:val="en-US" w:eastAsia="en-US" w:bidi="ar-SA"/>
        </w:rPr>
        <w:t>, para. 45.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Release, the Settlement Order and their Import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Release was signed by the plaintiffs with access to legal advice and, I understand, following an examination of discovery of a representative of Roxgold. The salient portions of the Release provide: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NOW THEREFORE, IN CONSIDERATION OF the Settlement Amount above set out and other good and valuable consideration, the receipt and sufficiency of which is hereby acknowledged, Gwininitxw, for herself and her successors, heirs, executors and assigns, and on behalf of all members of the Gwininitxw House, does hereby RELEASE, REMISE, AND FOREVER DISCHARGE Roxgold and its respective administrators, officers, directors, employees, servants, agents, associated, related, successor and predecessor companies, successors, heirs, executors and assigns, and each of them, from any and all liabilities, causes of action, rights, demands, damages, indemnities, costs, interest, fees, expenses, and claims of any nature or kind whatsoever or wheresoever, whether at law or at equity and whether known or unknown, suspected or unsuspected, that they now have, have had in the past, or shall ever have with respect to all issues arising directly or indirectly from or relating to or connected with of (sic)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pertinent portions of the Settlement Order, signed by counsel for the plaintiffs, state:</w:t>
      </w:r>
      <w:r>
        <w:rPr>
          <w:rFonts w:ascii="arial" w:eastAsia="arial" w:hAnsi="arial" w:cs="arial"/>
          <w:sz w:val="20"/>
          <w:lang w:val="en-US" w:eastAsia="en-US" w:bidi="ar-SA"/>
        </w:rPr>
        <w:cr/>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within proceedings be dismissed against Roxgold Inc., without costs.</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Claims against Roxgold Inc. will be removed from paragraph 58 (d), (e) and (h) of the Plaintiff's Notice of Civil Claim.</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Such dismissal shall be for all purposes of the same force and effect as if judgment had been pronounced at the trial of the proceeding upon its merits.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shall execute a Release in a standard form without a confidentiality clause in favour of Roxgold Inc.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plaintiffs argue that the Release has no application because:</w:t>
      </w:r>
      <w:r>
        <w:rPr>
          <w:rFonts w:ascii="arial" w:eastAsia="arial" w:hAnsi="arial" w:cs="arial"/>
          <w:sz w:val="20"/>
          <w:lang w:val="en-US" w:eastAsia="en-US" w:bidi="ar-SA"/>
        </w:rPr>
        <w:cr/>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they did not, when they signed the Release, understand the full scope of Roxgold's earlier activities;</w:t>
      </w:r>
    </w:p>
    <w:p>
      <w:pPr>
        <w:numPr>
          <w:numId w:val="2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Release does not extend to ARR or Mr. Raven;</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requirements of the permits that were assigned to ARR and which imposed various reclamation obligations on ARR for the work done earlier by Roxgold somehow "refreshed" or "revived" these obligations in a manner that would allow the plaintiffs to sue for those earlier breaches; and</w:t>
      </w:r>
    </w:p>
    <w:p>
      <w:pPr>
        <w:numPr>
          <w:numId w:val="2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some of ARR's activities post-date the Release;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The Plaintiffs did not Appreciate the Scope of Roxgold's Activities when they Signed the Release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This particular thesis is misconceived in several ways. First, if it were sound in principle, and subject to the Settlement Order, one would have thought that the plaintiffs would continue to sue Roxgold for those wrongful acts that Roxgold had participated in and the plaintiffs now say they were unaware of prior to signing of the Release. The plaintiffs, however, concede they have no cause of action against Roxgold available to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Thus, Roxgold is no longer a named defendant in the style of cause of the Amended Claim. Roxgold is, however, referred to throughout the Amended Claim. In addition, the Amended Claim at subparagraphs 58(d) and (e) expressly seeks declaratory and injunctive relief against Roxgold. Further, paragraph 62 of the Amended Claim, under "Part 3: Legal Basis", advances a claim against,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Roxgold for "interfering with the ... political integrity of Gwininitxw House". Thus the position of the plaintiffs, simply on the face of the Amended Claim, is not coherent.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More importantly, the express language of the Release is inconsistent with the plaintiffs' ability to continue to advance a claim for activity which predated the Release and of which, they now say, they were unaware.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In Fred D. Cass, </w:t>
      </w:r>
      <w:r>
        <w:rPr>
          <w:rFonts w:ascii="arial" w:eastAsia="arial" w:hAnsi="arial" w:cs="arial"/>
          <w:i/>
          <w:color w:val="000000"/>
          <w:sz w:val="20"/>
          <w:lang w:val="en-US" w:eastAsia="en-US" w:bidi="ar-SA"/>
        </w:rPr>
        <w:t>The Law of Releases in Canada</w:t>
      </w:r>
      <w:r>
        <w:rPr>
          <w:rFonts w:ascii="arial" w:eastAsia="arial" w:hAnsi="arial" w:cs="arial"/>
          <w:color w:val="000000"/>
          <w:sz w:val="20"/>
          <w:lang w:val="en-US" w:eastAsia="en-US" w:bidi="ar-SA"/>
        </w:rPr>
        <w:t xml:space="preserve"> (Aurora, Ont.: Canada Law Book, 2006) at 180, the author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a general proposition, "[w]hile a settlement extends only to subjects that the parties have in contemplation, a settlement cannot be avoided because the damages arising under one of the headings contemplated is greater than expected" [citing </w:t>
      </w:r>
      <w:r>
        <w:rPr>
          <w:rFonts w:ascii="arial" w:eastAsia="arial" w:hAnsi="arial" w:cs="arial"/>
          <w:i/>
          <w:color w:val="000000"/>
          <w:sz w:val="20"/>
          <w:lang w:val="en-US" w:eastAsia="en-US" w:bidi="ar-SA"/>
        </w:rPr>
        <w:t>Athabasca Realty Co. v. Foster</w:t>
      </w:r>
      <w:r>
        <w:rPr>
          <w:rFonts w:ascii="arial" w:eastAsia="arial" w:hAnsi="arial" w:cs="arial"/>
          <w:color w:val="000000"/>
          <w:sz w:val="20"/>
          <w:lang w:val="en-US" w:eastAsia="en-US" w:bidi="ar-SA"/>
        </w:rPr>
        <w:t xml:space="preserve"> </w:t>
      </w:r>
      <w:hyperlink r:id="rId588" w:history="1">
        <w:r>
          <w:rPr>
            <w:rFonts w:ascii="arial" w:eastAsia="arial" w:hAnsi="arial" w:cs="arial"/>
            <w:i/>
            <w:color w:val="0077CC"/>
            <w:sz w:val="20"/>
            <w:u w:val="single"/>
            <w:shd w:val="clear" w:color="auto" w:fill="FFFFFF"/>
            <w:lang w:val="en-US" w:eastAsia="en-US" w:bidi="ar-SA"/>
          </w:rPr>
          <w:t>(1982), 132 D.L.R. (3d) 556</w:t>
        </w:r>
      </w:hyperlink>
      <w:r>
        <w:rPr>
          <w:rFonts w:ascii="arial" w:eastAsia="arial" w:hAnsi="arial" w:cs="arial"/>
          <w:color w:val="000000"/>
          <w:sz w:val="20"/>
          <w:lang w:val="en-US" w:eastAsia="en-US" w:bidi="ar-SA"/>
        </w:rPr>
        <w:t xml:space="preserve"> at 565 (Alta. C.A.)]. ... Thus, Canadian courts have on many occasions refused to re-open settlements on the sole ground that the releasor underestimated his or her injuries or damages [citing </w:t>
      </w:r>
      <w:r>
        <w:rPr>
          <w:rFonts w:ascii="arial" w:eastAsia="arial" w:hAnsi="arial" w:cs="arial"/>
          <w:i/>
          <w:color w:val="000000"/>
          <w:sz w:val="20"/>
          <w:lang w:val="en-US" w:eastAsia="en-US" w:bidi="ar-SA"/>
        </w:rPr>
        <w:t>Hoyer v. Toronto Transit Commission</w:t>
      </w:r>
      <w:r>
        <w:rPr>
          <w:rFonts w:ascii="arial" w:eastAsia="arial" w:hAnsi="arial" w:cs="arial"/>
          <w:color w:val="000000"/>
          <w:sz w:val="20"/>
          <w:lang w:val="en-US" w:eastAsia="en-US" w:bidi="ar-SA"/>
        </w:rPr>
        <w:t>, [1952] O W N. 261].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foregoing comments appear to be apposite. The assertion of the plaintiffs seems to be that there was more harm to their lands than they had understood. Paragraph 36.4 of the Amended Claim states, in part: "... the participants observed that the scope and extent of adverse effects and damage to Gwininitxw land due to mineral exploration activities was more extensive than previously believed."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Such assertions do not avail the plaintiffs or curtail the efficacy of the Release.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 situation may be somewhat altered if a releasor subsequently sues on a claim of which it was unaware or which was not in the contemplation of the parties at the time of the release </w:t>
      </w:r>
      <w:r>
        <w:rPr>
          <w:rFonts w:ascii="arial" w:eastAsia="arial" w:hAnsi="arial" w:cs="arial"/>
          <w:i/>
          <w:color w:val="000000"/>
          <w:sz w:val="20"/>
          <w:lang w:val="en-US" w:eastAsia="en-US" w:bidi="ar-SA"/>
        </w:rPr>
        <w:t>(Bank of Credit and Commerce International SA (in Liquidation) v. Ali and Others</w:t>
      </w:r>
      <w:r>
        <w:rPr>
          <w:rFonts w:ascii="arial" w:eastAsia="arial" w:hAnsi="arial" w:cs="arial"/>
          <w:color w:val="000000"/>
          <w:sz w:val="20"/>
          <w:lang w:val="en-US" w:eastAsia="en-US" w:bidi="ar-SA"/>
        </w:rPr>
        <w:t xml:space="preserve">, [2001] 1 All E.R. 961 (H.L.) at paras. 19-21, 28-29, and </w:t>
      </w:r>
      <w:r>
        <w:rPr>
          <w:rFonts w:ascii="arial" w:eastAsia="arial" w:hAnsi="arial" w:cs="arial"/>
          <w:i/>
          <w:color w:val="000000"/>
          <w:sz w:val="20"/>
          <w:lang w:val="en-US" w:eastAsia="en-US" w:bidi="ar-SA"/>
        </w:rPr>
        <w:t>Bank of Montreal v. Irwin</w:t>
      </w:r>
      <w:r>
        <w:rPr>
          <w:rFonts w:ascii="arial" w:eastAsia="arial" w:hAnsi="arial" w:cs="arial"/>
          <w:color w:val="000000"/>
          <w:sz w:val="20"/>
          <w:lang w:val="en-US" w:eastAsia="en-US" w:bidi="ar-SA"/>
        </w:rPr>
        <w:t xml:space="preserve"> </w:t>
      </w:r>
      <w:hyperlink r:id="rId589" w:history="1">
        <w:r>
          <w:rPr>
            <w:rFonts w:ascii="arial" w:eastAsia="arial" w:hAnsi="arial" w:cs="arial"/>
            <w:i/>
            <w:color w:val="0077CC"/>
            <w:sz w:val="20"/>
            <w:u w:val="single"/>
            <w:shd w:val="clear" w:color="auto" w:fill="FFFFFF"/>
            <w:lang w:val="en-US" w:eastAsia="en-US" w:bidi="ar-SA"/>
          </w:rPr>
          <w:t>(1995), 124 D.L.R. (4th) 73</w:t>
        </w:r>
      </w:hyperlink>
      <w:r>
        <w:rPr>
          <w:rFonts w:ascii="arial" w:eastAsia="arial" w:hAnsi="arial" w:cs="arial"/>
          <w:color w:val="000000"/>
          <w:sz w:val="20"/>
          <w:lang w:val="en-US" w:eastAsia="en-US" w:bidi="ar-SA"/>
        </w:rPr>
        <w:t xml:space="preserve">, </w:t>
      </w:r>
      <w:hyperlink r:id="rId589" w:history="1">
        <w:r>
          <w:rPr>
            <w:rFonts w:ascii="arial" w:eastAsia="arial" w:hAnsi="arial" w:cs="arial"/>
            <w:i/>
            <w:color w:val="0077CC"/>
            <w:sz w:val="20"/>
            <w:u w:val="single"/>
            <w:shd w:val="clear" w:color="auto" w:fill="FFFFFF"/>
            <w:lang w:val="en-US" w:eastAsia="en-US" w:bidi="ar-SA"/>
          </w:rPr>
          <w:t>[1995] B.C.J. No. 788</w:t>
        </w:r>
      </w:hyperlink>
      <w:r>
        <w:rPr>
          <w:rFonts w:ascii="arial" w:eastAsia="arial" w:hAnsi="arial" w:cs="arial"/>
          <w:color w:val="000000"/>
          <w:sz w:val="20"/>
          <w:lang w:val="en-US" w:eastAsia="en-US" w:bidi="ar-SA"/>
        </w:rPr>
        <w:t xml:space="preserve"> (C.A.) at paras. 25-29.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In such circumstances, the central question is whether the parties intended for unknown claims to be released. As with any contract, the parties' intentions are assessed objectively. In order to release a party from unknown claims the language in a release must be unequivocal. It must be clear that the parties intended the release to cover unknown claims. If the language of the release is considered to extend to or cover unknown claims, the further question becomes: is the claim part of the </w:t>
      </w:r>
      <w:r>
        <w:rPr>
          <w:rFonts w:ascii="arial" w:eastAsia="arial" w:hAnsi="arial" w:cs="arial"/>
          <w:i/>
          <w:color w:val="000000"/>
          <w:sz w:val="20"/>
          <w:lang w:val="en-US" w:eastAsia="en-US" w:bidi="ar-SA"/>
        </w:rPr>
        <w:t>subject matter</w:t>
      </w:r>
      <w:r>
        <w:rPr>
          <w:rFonts w:ascii="arial" w:eastAsia="arial" w:hAnsi="arial" w:cs="arial"/>
          <w:color w:val="000000"/>
          <w:sz w:val="20"/>
          <w:lang w:val="en-US" w:eastAsia="en-US" w:bidi="ar-SA"/>
        </w:rPr>
        <w:t xml:space="preserve"> of the release? If so, the releasor cannot sue on that claim, even if it was unknown at the time the release was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the instant case, the language used in the Release is unequivocal with respect to whether it covers unknown claims. The Release states that the Gwininitxw: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does hereby RELEASE ... Roxgold and its .. .agents ... and assigns ... from any and all ... claims of any nature or kind ... whether at law or at equity and whether known or unknown, suspected or unsuspected, that they now have, have had in the past, or shall ever have with respect to all issues arising directly or indirectly from or relating to or connected with ...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This language mirrors the language of the release addressed in </w:t>
      </w:r>
      <w:r>
        <w:rPr>
          <w:rFonts w:ascii="arial" w:eastAsia="arial" w:hAnsi="arial" w:cs="arial"/>
          <w:i/>
          <w:color w:val="000000"/>
          <w:sz w:val="20"/>
          <w:lang w:val="en-US" w:eastAsia="en-US" w:bidi="ar-SA"/>
        </w:rPr>
        <w:t>Bank of Montreal</w:t>
      </w:r>
      <w:r>
        <w:rPr>
          <w:rFonts w:ascii="arial" w:eastAsia="arial" w:hAnsi="arial" w:cs="arial"/>
          <w:color w:val="000000"/>
          <w:sz w:val="20"/>
          <w:lang w:val="en-US" w:eastAsia="en-US" w:bidi="ar-SA"/>
        </w:rPr>
        <w:t xml:space="preserve"> at para. 23: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undersigned, BANK OF MONTREAL ... RELEASES AND FOREVER DISCHARGES MAUREEN IRWIN, and her ... assigns ... from any and all manner of action ... whether in law or in equity or by statute, or otherwise, and whether known or unknown, suspected or unsuspected, which the Releasor ever had or now has for any reason against the Releasee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The release in </w:t>
      </w:r>
      <w:r>
        <w:rPr>
          <w:rFonts w:ascii="arial" w:eastAsia="arial" w:hAnsi="arial" w:cs="arial"/>
          <w:i/>
          <w:color w:val="000000"/>
          <w:sz w:val="20"/>
          <w:lang w:val="en-US" w:eastAsia="en-US" w:bidi="ar-SA"/>
        </w:rPr>
        <w:t>Bank of Montreal</w:t>
      </w:r>
      <w:r>
        <w:rPr>
          <w:rFonts w:ascii="arial" w:eastAsia="arial" w:hAnsi="arial" w:cs="arial"/>
          <w:color w:val="000000"/>
          <w:sz w:val="20"/>
          <w:lang w:val="en-US" w:eastAsia="en-US" w:bidi="ar-SA"/>
        </w:rPr>
        <w:t xml:space="preserve"> was deemed sufficient to cover unknown claims; indeed, it covered claims which </w:t>
      </w:r>
      <w:r>
        <w:rPr>
          <w:rFonts w:ascii="arial" w:eastAsia="arial" w:hAnsi="arial" w:cs="arial"/>
          <w:i/>
          <w:color w:val="000000"/>
          <w:sz w:val="20"/>
          <w:lang w:val="en-US" w:eastAsia="en-US" w:bidi="ar-SA"/>
        </w:rPr>
        <w:t>did not exist</w:t>
      </w:r>
      <w:r>
        <w:rPr>
          <w:rFonts w:ascii="arial" w:eastAsia="arial" w:hAnsi="arial" w:cs="arial"/>
          <w:color w:val="000000"/>
          <w:sz w:val="20"/>
          <w:lang w:val="en-US" w:eastAsia="en-US" w:bidi="ar-SA"/>
        </w:rPr>
        <w:t xml:space="preserve"> at the time the release was made. In reaching this conclusion, Justice Donald relied on the phrase "whether known or unknown, suspected or unsuspected" (para. 28), a phrase which is reproduced part-and-parcel in the Release.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Since the language in the Release evinces an intention to cover unknown claims, the remaining question is whether the claim now asserted is part of the subject matter of the Release. The Release states that it covers "all issues arising directly or indirectly from or relating to or connected with ... the Action". Moreover, a review of the Amended Claim reveals that the pleading, in numerous paragraphs, simply adds Alan Raven and/or ARR to the paragraph as a party in addition to Roxgold without any other addition or modification to the text of the paragraph. Simply put, the Amended Claim purports, in many instances, to pertain to exactly the same conduct that the plaintiffs originally complained of and attributed to Roxgold before the Release was signed.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Based on </w:t>
      </w:r>
      <w:r>
        <w:rPr>
          <w:rFonts w:ascii="arial" w:eastAsia="arial" w:hAnsi="arial" w:cs="arial"/>
          <w:i/>
          <w:color w:val="000000"/>
          <w:sz w:val="20"/>
          <w:lang w:val="en-US" w:eastAsia="en-US" w:bidi="ar-SA"/>
        </w:rPr>
        <w:t>Bank of Montreal</w:t>
      </w:r>
      <w:r>
        <w:rPr>
          <w:rFonts w:ascii="arial" w:eastAsia="arial" w:hAnsi="arial" w:cs="arial"/>
          <w:color w:val="000000"/>
          <w:sz w:val="20"/>
          <w:lang w:val="en-US" w:eastAsia="en-US" w:bidi="ar-SA"/>
        </w:rPr>
        <w:t xml:space="preserve"> and a review of the Amended Claim, I do not consider that it matters whether the plaintiffs' claim against Roxgold, ARR and Mr. Raven is classified as (1) an attempt to bypass the Release because the damages are now alleged to be more extensive than anticipated or (2) whether they pertain to a claim that was unknown at the time of the Release. The Release is a full answer in either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Furthermore, any claim that has been advanced against Roxgold for conduct that the plaintiff complained of in their earlier pleadings would also be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under the terms of the Settlement Order.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Does the Release Extend to ARR?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ARR is the current holder of the MX Permit formerly held by Roxgold, and as such ARR is the assign of Roxgold. This is consistent with the statutory scheme under which the MX Permit was transferred from ARR to Roxgold and with the correspondence, sent by the Ministry to Mr. Raven on March 28, 2012, enclosing "... your Amended Mines Act permit assigning ARR Mineral Exploration Ltd. as the new permittee".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It is also consistent with the materials filed by the Province. Thus, for example, the Affidavit of Ms. De Hoog, an operations coordinator with MEM, refers to the "</w:t>
      </w:r>
      <w:r>
        <w:rPr>
          <w:rFonts w:ascii="arial" w:eastAsia="arial" w:hAnsi="arial" w:cs="arial"/>
          <w:i/>
          <w:color w:val="000000"/>
          <w:sz w:val="20"/>
          <w:lang w:val="en-US" w:eastAsia="en-US" w:bidi="ar-SA"/>
        </w:rPr>
        <w:t>Mines Act</w:t>
      </w:r>
      <w:r>
        <w:rPr>
          <w:rFonts w:ascii="arial" w:eastAsia="arial" w:hAnsi="arial" w:cs="arial"/>
          <w:color w:val="000000"/>
          <w:sz w:val="20"/>
          <w:lang w:val="en-US" w:eastAsia="en-US" w:bidi="ar-SA"/>
        </w:rPr>
        <w:t xml:space="preserve"> permit assigned to ARR Mineral Explorations Ltd. on March 28, 2012". Furthermore, a comparison of the permit formerly held by Roxgold and the permit that was transferred/assigned to ARR confirms the consistency in the terms of the two permits.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Still further, the letter sent by MEM to Chief Gwininitxw on March 20, 2012 gave notice that MEM had received a request to amend the MX Permit to "[a]ssign ARR Mineral Exploration Ltd. as permitee ...". The letter also advised that ARR had confirmed it "will take over existing and proposed reclamation liabilities on site". The response to MEM's notice, authored by counsel for the plaintiffs, throughout deals with the matter as "an assignment" to ARR. Finally, para. 36.2.1 of the Amended Claim pleads that "MEMNG provided to Alan Raven and ARR Minerals an amended Mines Act permit assigning the Tenures to ARR Minerals".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In this case the language of the Release expressly released "Roxgold and its ... assigns" from all claims that arose directly or indirectly from the then action. In </w:t>
      </w:r>
      <w:r>
        <w:rPr>
          <w:rFonts w:ascii="arial" w:eastAsia="arial" w:hAnsi="arial" w:cs="arial"/>
          <w:i/>
          <w:color w:val="000000"/>
          <w:sz w:val="20"/>
          <w:lang w:val="en-US" w:eastAsia="en-US" w:bidi="ar-SA"/>
        </w:rPr>
        <w:t>Montreal Trust Company of Canada v. Birmingham Lodge Limited</w:t>
      </w:r>
      <w:r>
        <w:rPr>
          <w:rFonts w:ascii="arial" w:eastAsia="arial" w:hAnsi="arial" w:cs="arial"/>
          <w:color w:val="000000"/>
          <w:sz w:val="20"/>
          <w:lang w:val="en-US" w:eastAsia="en-US" w:bidi="ar-SA"/>
        </w:rPr>
        <w:t xml:space="preserve"> </w:t>
      </w:r>
      <w:hyperlink r:id="rId590" w:history="1">
        <w:r>
          <w:rPr>
            <w:rFonts w:ascii="arial" w:eastAsia="arial" w:hAnsi="arial" w:cs="arial"/>
            <w:i/>
            <w:color w:val="0077CC"/>
            <w:sz w:val="20"/>
            <w:u w:val="single"/>
            <w:shd w:val="clear" w:color="auto" w:fill="FFFFFF"/>
            <w:lang w:val="en-US" w:eastAsia="en-US" w:bidi="ar-SA"/>
          </w:rPr>
          <w:t>(1995), 24 O.R. (3d) 97</w:t>
        </w:r>
      </w:hyperlink>
      <w:r>
        <w:rPr>
          <w:rFonts w:ascii="arial" w:eastAsia="arial" w:hAnsi="arial" w:cs="arial"/>
          <w:color w:val="000000"/>
          <w:sz w:val="20"/>
          <w:lang w:val="en-US" w:eastAsia="en-US" w:bidi="ar-SA"/>
        </w:rPr>
        <w:t xml:space="preserve">, </w:t>
      </w:r>
      <w:hyperlink r:id="rId591" w:history="1">
        <w:r>
          <w:rPr>
            <w:rFonts w:ascii="arial" w:eastAsia="arial" w:hAnsi="arial" w:cs="arial"/>
            <w:i/>
            <w:color w:val="0077CC"/>
            <w:sz w:val="20"/>
            <w:u w:val="single"/>
            <w:shd w:val="clear" w:color="auto" w:fill="FFFFFF"/>
            <w:lang w:val="en-US" w:eastAsia="en-US" w:bidi="ar-SA"/>
          </w:rPr>
          <w:t>[1995] O.J. No. 1609</w:t>
        </w:r>
      </w:hyperlink>
      <w:r>
        <w:rPr>
          <w:rFonts w:ascii="arial" w:eastAsia="arial" w:hAnsi="arial" w:cs="arial"/>
          <w:color w:val="000000"/>
          <w:sz w:val="20"/>
          <w:lang w:val="en-US" w:eastAsia="en-US" w:bidi="ar-SA"/>
        </w:rPr>
        <w:t xml:space="preserve"> (C.A.) at 104, citing </w:t>
      </w:r>
      <w:r>
        <w:rPr>
          <w:rFonts w:ascii="arial" w:eastAsia="arial" w:hAnsi="arial" w:cs="arial"/>
          <w:i/>
          <w:color w:val="000000"/>
          <w:sz w:val="20"/>
          <w:lang w:val="en-US" w:eastAsia="en-US" w:bidi="ar-SA"/>
        </w:rPr>
        <w:t>National Trust Co. v. Mead</w:t>
      </w:r>
      <w:r>
        <w:rPr>
          <w:rFonts w:ascii="arial" w:eastAsia="arial" w:hAnsi="arial" w:cs="arial"/>
          <w:color w:val="000000"/>
          <w:sz w:val="20"/>
          <w:lang w:val="en-US" w:eastAsia="en-US" w:bidi="ar-SA"/>
        </w:rPr>
        <w:t xml:space="preserve">, </w:t>
      </w:r>
      <w:hyperlink r:id="rId592" w:history="1">
        <w:r>
          <w:rPr>
            <w:rFonts w:ascii="arial" w:eastAsia="arial" w:hAnsi="arial" w:cs="arial"/>
            <w:i/>
            <w:color w:val="0077CC"/>
            <w:sz w:val="20"/>
            <w:u w:val="single"/>
            <w:shd w:val="clear" w:color="auto" w:fill="FFFFFF"/>
            <w:lang w:val="en-US" w:eastAsia="en-US" w:bidi="ar-SA"/>
          </w:rPr>
          <w:t>[1990] 2 S.C.R. 410</w:t>
        </w:r>
      </w:hyperlink>
      <w:r>
        <w:rPr>
          <w:rFonts w:ascii="arial" w:eastAsia="arial" w:hAnsi="arial" w:cs="arial"/>
          <w:color w:val="000000"/>
          <w:sz w:val="20"/>
          <w:lang w:val="en-US" w:eastAsia="en-US" w:bidi="ar-SA"/>
        </w:rPr>
        <w:t xml:space="preserve"> at 423,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word "assign" has, of course, a broader meaning [than "successor"]. An "assign" is anyone to whom an assignment is made and presumably, but for the specific reference to "successors", would include both individuals and corporations. As between mortgagors, an assignment would be an agreement between the original mortgagor and his purchaser by which the latter would assume the mortgage debt in exchange for valuable consideration.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plaintiffs' claims are barred by the Release and ARR, as Roxgold's assign, cannot, therefore, be added as a party to the Action for any of the conduct of Roxgold that preceded the execution of the Release.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Does the Release Extend to Mr. Raven?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Counsel for Mr. Raven argued that he was a director and officer of Roxgold at the time of the alleged conduct that is the subject of this Action, which is the relevant time period. Although not an officer or director at the time the Release was signed, the plaintiffs' claims were based, it was argued, on the actions of Mr. Raven at the time he held those positions. He was thus covered by the Release. I do not consider that I need address this particular submission as there is a more precise basis upon which to determine whether the Release extends to Mr. Raven.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Raven's affidavit of June 14, 2012 described his relationship and role with Roxgold as "registered agent" of its tenures with the Mineral Titles Branch:</w:t>
      </w:r>
      <w:r>
        <w:rPr>
          <w:rFonts w:ascii="arial" w:eastAsia="arial" w:hAnsi="arial" w:cs="arial"/>
          <w:sz w:val="20"/>
          <w:lang w:val="en-US" w:eastAsia="en-US" w:bidi="ar-SA"/>
        </w:rPr>
        <w:cr/>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I resigned as president and director from Roxgold in October 2010, I continued to manage the Mineral Tenures for Roxgold. I was Roxgold's registered agent with the Mineral Titles Branch (MTO) with access to MTO'S online registry, run through the BCeID system. I was the only person who had the authority and the password to manage the Mineral Tenures on MTO's online registry on behalf of Roxgold.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No part of the foregoing description is contested by the plaintiffs. Further, parts of the plaintiffs' Amended Claim accept that Mr. Raven's conduct, or at least aspects of it, were undertaken "on behalf" of Roxgold (see for example para. 27 ). Other parts of the Amended Claim identify Mr. Raven as the "registered agent" of the tenures with the Mineral Titles Branch (see for example paras. 15 and 36.1.3). Therefore, the scope of the term "agent' in the context of the Release will determine whether the Release extends to Mr. Raven as Roxgold's agent at the time the Release was signed.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The proper interpretation of contracts was recently addressed by the Supreme Court of Canada in the case of </w:t>
      </w:r>
      <w:r>
        <w:rPr>
          <w:rFonts w:ascii="arial" w:eastAsia="arial" w:hAnsi="arial" w:cs="arial"/>
          <w:i/>
          <w:color w:val="000000"/>
          <w:sz w:val="20"/>
          <w:lang w:val="en-US" w:eastAsia="en-US" w:bidi="ar-SA"/>
        </w:rPr>
        <w:t>Tercon Contractors v. B.C. (Transportation and Highways)</w:t>
      </w:r>
      <w:r>
        <w:rPr>
          <w:rFonts w:ascii="arial" w:eastAsia="arial" w:hAnsi="arial" w:cs="arial"/>
          <w:color w:val="000000"/>
          <w:sz w:val="20"/>
          <w:lang w:val="en-US" w:eastAsia="en-US" w:bidi="ar-SA"/>
        </w:rPr>
        <w:t xml:space="preserve">, </w:t>
      </w:r>
      <w:hyperlink r:id="rId593" w:history="1">
        <w:r>
          <w:rPr>
            <w:rFonts w:ascii="arial" w:eastAsia="arial" w:hAnsi="arial" w:cs="arial"/>
            <w:i/>
            <w:color w:val="0077CC"/>
            <w:sz w:val="20"/>
            <w:u w:val="single"/>
            <w:shd w:val="clear" w:color="auto" w:fill="FFFFFF"/>
            <w:lang w:val="en-US" w:eastAsia="en-US" w:bidi="ar-SA"/>
          </w:rPr>
          <w:t>2010 SCC 4</w:t>
        </w:r>
      </w:hyperlink>
      <w:r>
        <w:rPr>
          <w:rFonts w:ascii="arial" w:eastAsia="arial" w:hAnsi="arial" w:cs="arial"/>
          <w:color w:val="000000"/>
          <w:sz w:val="20"/>
          <w:lang w:val="en-US" w:eastAsia="en-US" w:bidi="ar-SA"/>
        </w:rPr>
        <w:t>. Mr. Justice Cromwell, writing for the majority, held that the key principle of contractual interpretation "is that the words of one provision must not be read in isolation but should be considered in harmony with the rest of the contract and in light of its purposes and commercial context" (at para. 64).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The need to interpret a release contextually was addressed by LaForest J.A., as he then was, in </w:t>
      </w:r>
      <w:r>
        <w:rPr>
          <w:rFonts w:ascii="arial" w:eastAsia="arial" w:hAnsi="arial" w:cs="arial"/>
          <w:i/>
          <w:color w:val="000000"/>
          <w:sz w:val="20"/>
          <w:lang w:val="en-US" w:eastAsia="en-US" w:bidi="ar-SA"/>
        </w:rPr>
        <w:t>White et al. v. Central Trust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Co. et al.</w:t>
      </w:r>
      <w:r>
        <w:rPr>
          <w:rFonts w:ascii="arial" w:eastAsia="arial" w:hAnsi="arial" w:cs="arial"/>
          <w:color w:val="000000"/>
          <w:sz w:val="20"/>
          <w:lang w:val="en-US" w:eastAsia="en-US" w:bidi="ar-SA"/>
        </w:rPr>
        <w:t xml:space="preserve">, </w:t>
      </w:r>
      <w:hyperlink r:id="rId594" w:history="1">
        <w:r>
          <w:rPr>
            <w:rFonts w:ascii="arial" w:eastAsia="arial" w:hAnsi="arial" w:cs="arial"/>
            <w:i/>
            <w:color w:val="0077CC"/>
            <w:sz w:val="20"/>
            <w:u w:val="single"/>
            <w:shd w:val="clear" w:color="auto" w:fill="FFFFFF"/>
            <w:lang w:val="en-US" w:eastAsia="en-US" w:bidi="ar-SA"/>
          </w:rPr>
          <w:t>(1984), 7 D.L.R. (4th) 236</w:t>
        </w:r>
      </w:hyperlink>
      <w:r>
        <w:rPr>
          <w:rFonts w:ascii="arial" w:eastAsia="arial" w:hAnsi="arial" w:cs="arial"/>
          <w:color w:val="000000"/>
          <w:sz w:val="20"/>
          <w:lang w:val="en-US" w:eastAsia="en-US" w:bidi="ar-SA"/>
        </w:rPr>
        <w:t xml:space="preserve">, </w:t>
      </w:r>
      <w:hyperlink r:id="rId594" w:history="1">
        <w:r>
          <w:rPr>
            <w:rFonts w:ascii="arial" w:eastAsia="arial" w:hAnsi="arial" w:cs="arial"/>
            <w:i/>
            <w:color w:val="0077CC"/>
            <w:sz w:val="20"/>
            <w:u w:val="single"/>
            <w:shd w:val="clear" w:color="auto" w:fill="FFFFFF"/>
            <w:lang w:val="en-US" w:eastAsia="en-US" w:bidi="ar-SA"/>
          </w:rPr>
          <w:t>[1984] N.B.J. No. 147</w:t>
        </w:r>
      </w:hyperlink>
      <w:r>
        <w:rPr>
          <w:rFonts w:ascii="arial" w:eastAsia="arial" w:hAnsi="arial" w:cs="arial"/>
          <w:color w:val="000000"/>
          <w:sz w:val="20"/>
          <w:lang w:val="en-US" w:eastAsia="en-US" w:bidi="ar-SA"/>
        </w:rPr>
        <w:t xml:space="preserve"> (C.A.) at 248: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What the statement quoted means is that in determining what was contemplated by the parties, the words used in a document need not be looked at in a vacuum. The specific context in which a document was executed may well assist in understanding the words used. It is perfectly proper, and indeed may be necessary, to look at the surrounding circumstances in order to ascertain what the parties were really contracting about.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The principles of interpretation outlined by LaForest J.A. in </w:t>
      </w:r>
      <w:r>
        <w:rPr>
          <w:rFonts w:ascii="arial" w:eastAsia="arial" w:hAnsi="arial" w:cs="arial"/>
          <w:i/>
          <w:color w:val="000000"/>
          <w:sz w:val="20"/>
          <w:lang w:val="en-US" w:eastAsia="en-US" w:bidi="ar-SA"/>
        </w:rPr>
        <w:t>White</w:t>
      </w:r>
      <w:r>
        <w:rPr>
          <w:rFonts w:ascii="arial" w:eastAsia="arial" w:hAnsi="arial" w:cs="arial"/>
          <w:color w:val="000000"/>
          <w:sz w:val="20"/>
          <w:lang w:val="en-US" w:eastAsia="en-US" w:bidi="ar-SA"/>
        </w:rPr>
        <w:t xml:space="preserve"> have been applied and cited with approval by the Supreme Court of Canada in </w:t>
      </w:r>
      <w:r>
        <w:rPr>
          <w:rFonts w:ascii="arial" w:eastAsia="arial" w:hAnsi="arial" w:cs="arial"/>
          <w:i/>
          <w:color w:val="000000"/>
          <w:sz w:val="20"/>
          <w:lang w:val="en-US" w:eastAsia="en-US" w:bidi="ar-SA"/>
        </w:rPr>
        <w:t>Hill v. Nova Scotia (AG)</w:t>
      </w:r>
      <w:r>
        <w:rPr>
          <w:rFonts w:ascii="arial" w:eastAsia="arial" w:hAnsi="arial" w:cs="arial"/>
          <w:color w:val="000000"/>
          <w:sz w:val="20"/>
          <w:lang w:val="en-US" w:eastAsia="en-US" w:bidi="ar-SA"/>
        </w:rPr>
        <w:t xml:space="preserve">, </w:t>
      </w:r>
      <w:hyperlink r:id="rId595" w:history="1">
        <w:r>
          <w:rPr>
            <w:rFonts w:ascii="arial" w:eastAsia="arial" w:hAnsi="arial" w:cs="arial"/>
            <w:i/>
            <w:color w:val="0077CC"/>
            <w:sz w:val="20"/>
            <w:u w:val="single"/>
            <w:shd w:val="clear" w:color="auto" w:fill="FFFFFF"/>
            <w:lang w:val="en-US" w:eastAsia="en-US" w:bidi="ar-SA"/>
          </w:rPr>
          <w:t>[1997] 1 S.C.R. 69</w:t>
        </w:r>
      </w:hyperlink>
      <w:r>
        <w:rPr>
          <w:rFonts w:ascii="arial" w:eastAsia="arial" w:hAnsi="arial" w:cs="arial"/>
          <w:color w:val="000000"/>
          <w:sz w:val="20"/>
          <w:lang w:val="en-US" w:eastAsia="en-US" w:bidi="ar-SA"/>
        </w:rPr>
        <w:t xml:space="preserve">, as well as by the Court of Appeal of this province in </w:t>
      </w:r>
      <w:r>
        <w:rPr>
          <w:rFonts w:ascii="arial" w:eastAsia="arial" w:hAnsi="arial" w:cs="arial"/>
          <w:i/>
          <w:color w:val="000000"/>
          <w:sz w:val="20"/>
          <w:lang w:val="en-US" w:eastAsia="en-US" w:bidi="ar-SA"/>
        </w:rPr>
        <w:t>Hannan v. Methanex Corp.,</w:t>
      </w:r>
      <w:r>
        <w:rPr>
          <w:rFonts w:ascii="arial" w:eastAsia="arial" w:hAnsi="arial" w:cs="arial"/>
          <w:color w:val="000000"/>
          <w:sz w:val="20"/>
          <w:lang w:val="en-US" w:eastAsia="en-US" w:bidi="ar-SA"/>
        </w:rPr>
        <w:t xml:space="preserve"> </w:t>
      </w:r>
      <w:hyperlink r:id="rId596" w:history="1">
        <w:r>
          <w:rPr>
            <w:rFonts w:ascii="arial" w:eastAsia="arial" w:hAnsi="arial" w:cs="arial"/>
            <w:i/>
            <w:color w:val="0077CC"/>
            <w:sz w:val="20"/>
            <w:u w:val="single"/>
            <w:shd w:val="clear" w:color="auto" w:fill="FFFFFF"/>
            <w:lang w:val="en-US" w:eastAsia="en-US" w:bidi="ar-SA"/>
          </w:rPr>
          <w:t>[1998] 7 W.W.R. 619</w:t>
        </w:r>
      </w:hyperlink>
      <w:r>
        <w:rPr>
          <w:rFonts w:ascii="arial" w:eastAsia="arial" w:hAnsi="arial" w:cs="arial"/>
          <w:color w:val="000000"/>
          <w:sz w:val="20"/>
          <w:lang w:val="en-US" w:eastAsia="en-US" w:bidi="ar-SA"/>
        </w:rPr>
        <w:t xml:space="preserve"> at para. 39, and recently by this court in </w:t>
      </w:r>
      <w:r>
        <w:rPr>
          <w:rFonts w:ascii="arial" w:eastAsia="arial" w:hAnsi="arial" w:cs="arial"/>
          <w:i/>
          <w:color w:val="000000"/>
          <w:sz w:val="20"/>
          <w:lang w:val="en-US" w:eastAsia="en-US" w:bidi="ar-SA"/>
        </w:rPr>
        <w:t>Dawson v. Tolko Industries Ltd.</w:t>
      </w:r>
      <w:r>
        <w:rPr>
          <w:rFonts w:ascii="arial" w:eastAsia="arial" w:hAnsi="arial" w:cs="arial"/>
          <w:color w:val="000000"/>
          <w:sz w:val="20"/>
          <w:lang w:val="en-US" w:eastAsia="en-US" w:bidi="ar-SA"/>
        </w:rPr>
        <w:t xml:space="preserve">, </w:t>
      </w:r>
      <w:hyperlink r:id="rId597" w:history="1">
        <w:r>
          <w:rPr>
            <w:rFonts w:ascii="arial" w:eastAsia="arial" w:hAnsi="arial" w:cs="arial"/>
            <w:i/>
            <w:color w:val="0077CC"/>
            <w:sz w:val="20"/>
            <w:u w:val="single"/>
            <w:shd w:val="clear" w:color="auto" w:fill="FFFFFF"/>
            <w:lang w:val="en-US" w:eastAsia="en-US" w:bidi="ar-SA"/>
          </w:rPr>
          <w:t>2010 BCSC 346</w:t>
        </w:r>
      </w:hyperlink>
      <w:r>
        <w:rPr>
          <w:rFonts w:ascii="arial" w:eastAsia="arial" w:hAnsi="arial" w:cs="arial"/>
          <w:color w:val="000000"/>
          <w:sz w:val="20"/>
          <w:lang w:val="en-US" w:eastAsia="en-US" w:bidi="ar-SA"/>
        </w:rPr>
        <w:t xml:space="preserve"> at para. 21, and </w:t>
      </w:r>
      <w:r>
        <w:rPr>
          <w:rFonts w:ascii="arial" w:eastAsia="arial" w:hAnsi="arial" w:cs="arial"/>
          <w:i/>
          <w:color w:val="000000"/>
          <w:sz w:val="20"/>
          <w:lang w:val="en-US" w:eastAsia="en-US" w:bidi="ar-SA"/>
        </w:rPr>
        <w:t>Beck Estate v. Johnston, Meier Insurance Agencies Ltd.</w:t>
      </w:r>
      <w:r>
        <w:rPr>
          <w:rFonts w:ascii="arial" w:eastAsia="arial" w:hAnsi="arial" w:cs="arial"/>
          <w:color w:val="000000"/>
          <w:sz w:val="20"/>
          <w:lang w:val="en-US" w:eastAsia="en-US" w:bidi="ar-SA"/>
        </w:rPr>
        <w:t xml:space="preserve">, </w:t>
      </w:r>
      <w:hyperlink r:id="rId598" w:history="1">
        <w:r>
          <w:rPr>
            <w:rFonts w:ascii="arial" w:eastAsia="arial" w:hAnsi="arial" w:cs="arial"/>
            <w:i/>
            <w:color w:val="0077CC"/>
            <w:sz w:val="20"/>
            <w:u w:val="single"/>
            <w:shd w:val="clear" w:color="auto" w:fill="FFFFFF"/>
            <w:lang w:val="en-US" w:eastAsia="en-US" w:bidi="ar-SA"/>
          </w:rPr>
          <w:t>2010 BCSC 719</w:t>
        </w:r>
      </w:hyperlink>
      <w:r>
        <w:rPr>
          <w:rFonts w:ascii="arial" w:eastAsia="arial" w:hAnsi="arial" w:cs="arial"/>
          <w:color w:val="000000"/>
          <w:sz w:val="20"/>
          <w:lang w:val="en-US" w:eastAsia="en-US" w:bidi="ar-SA"/>
        </w:rPr>
        <w:t xml:space="preserve"> at para. 95, aff'd </w:t>
      </w:r>
      <w:hyperlink r:id="rId599" w:history="1">
        <w:r>
          <w:rPr>
            <w:rFonts w:ascii="arial" w:eastAsia="arial" w:hAnsi="arial" w:cs="arial"/>
            <w:i/>
            <w:color w:val="0077CC"/>
            <w:sz w:val="20"/>
            <w:u w:val="single"/>
            <w:shd w:val="clear" w:color="auto" w:fill="FFFFFF"/>
            <w:lang w:val="en-US" w:eastAsia="en-US" w:bidi="ar-SA"/>
          </w:rPr>
          <w:t>2011 BCCA 250</w:t>
        </w:r>
      </w:hyperlink>
      <w:r>
        <w:rPr>
          <w:rFonts w:ascii="arial" w:eastAsia="arial" w:hAnsi="arial" w:cs="arial"/>
          <w:color w:val="000000"/>
          <w:sz w:val="20"/>
          <w:lang w:val="en-US" w:eastAsia="en-US" w:bidi="ar-SA"/>
        </w:rPr>
        <w:t>. Each of the foregoing decisions deals with the interpretation of a release.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The recent case of </w:t>
      </w:r>
      <w:r>
        <w:rPr>
          <w:rFonts w:ascii="arial" w:eastAsia="arial" w:hAnsi="arial" w:cs="arial"/>
          <w:i/>
          <w:color w:val="000000"/>
          <w:sz w:val="20"/>
          <w:lang w:val="en-US" w:eastAsia="en-US" w:bidi="ar-SA"/>
        </w:rPr>
        <w:t>Dawson</w:t>
      </w:r>
      <w:r>
        <w:rPr>
          <w:rFonts w:ascii="arial" w:eastAsia="arial" w:hAnsi="arial" w:cs="arial"/>
          <w:color w:val="000000"/>
          <w:sz w:val="20"/>
          <w:lang w:val="en-US" w:eastAsia="en-US" w:bidi="ar-SA"/>
        </w:rPr>
        <w:t xml:space="preserve"> is particularly pertinent in that it discusses the intended scope of a release through examination of the term "agent". In that case, a release was signed following the termination of employment contracts, and the issue before the court was whether the term "agent" extended the benefit of the release to the defendants as actuaries and pension consultants to the employer. Mr. Justice Butler identified two distinct definitions of agency that emerge from the jurisprudence, a broad definition where "anyone who does something for another is for that very limited purpose an "agent"" (at para. 31, citing Southin J.A. in</w:t>
      </w:r>
      <w:r>
        <w:rPr>
          <w:rFonts w:ascii="arial" w:eastAsia="arial" w:hAnsi="arial" w:cs="arial"/>
          <w:i/>
          <w:color w:val="000000"/>
          <w:sz w:val="20"/>
          <w:lang w:val="en-US" w:eastAsia="en-US" w:bidi="ar-SA"/>
        </w:rPr>
        <w:t xml:space="preserve"> Penderville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Apts. Development Partnership v. Cressey Development Corp.</w:t>
      </w:r>
      <w:r>
        <w:rPr>
          <w:rFonts w:ascii="arial" w:eastAsia="arial" w:hAnsi="arial" w:cs="arial"/>
          <w:color w:val="000000"/>
          <w:sz w:val="20"/>
          <w:lang w:val="en-US" w:eastAsia="en-US" w:bidi="ar-SA"/>
        </w:rPr>
        <w:t xml:space="preserve"> </w:t>
      </w:r>
      <w:hyperlink r:id="rId600" w:history="1">
        <w:r>
          <w:rPr>
            <w:rFonts w:ascii="arial" w:eastAsia="arial" w:hAnsi="arial" w:cs="arial"/>
            <w:i/>
            <w:color w:val="0077CC"/>
            <w:sz w:val="20"/>
            <w:u w:val="single"/>
            <w:shd w:val="clear" w:color="auto" w:fill="FFFFFF"/>
            <w:lang w:val="en-US" w:eastAsia="en-US" w:bidi="ar-SA"/>
          </w:rPr>
          <w:t>(1990) 43 B.C.L.R. (2d) 57</w:t>
        </w:r>
      </w:hyperlink>
      <w:r>
        <w:rPr>
          <w:rFonts w:ascii="arial" w:eastAsia="arial" w:hAnsi="arial" w:cs="arial"/>
          <w:color w:val="000000"/>
          <w:sz w:val="20"/>
          <w:lang w:val="en-US" w:eastAsia="en-US" w:bidi="ar-SA"/>
        </w:rPr>
        <w:t xml:space="preserve"> (C.A)), and the legal concept of agency as described in G.H.L. Fridman, </w:t>
      </w:r>
      <w:r>
        <w:rPr>
          <w:rFonts w:ascii="arial" w:eastAsia="arial" w:hAnsi="arial" w:cs="arial"/>
          <w:i/>
          <w:color w:val="000000"/>
          <w:sz w:val="20"/>
          <w:lang w:val="en-US" w:eastAsia="en-US" w:bidi="ar-SA"/>
        </w:rPr>
        <w:t>Canadian Agency Law,</w:t>
      </w:r>
      <w:r>
        <w:rPr>
          <w:rFonts w:ascii="arial" w:eastAsia="arial" w:hAnsi="arial" w:cs="arial"/>
          <w:color w:val="000000"/>
          <w:sz w:val="20"/>
          <w:lang w:val="en-US" w:eastAsia="en-US" w:bidi="ar-SA"/>
        </w:rPr>
        <w:t xml:space="preserve"> 2d ed. (Markham: LexisNexis Canada Inc., 2012) at para. 34 (emphasis in original):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Agency is the relationship that exists between two persons when one, called the </w:t>
      </w:r>
      <w:r>
        <w:rPr>
          <w:rFonts w:ascii="arial" w:eastAsia="arial" w:hAnsi="arial" w:cs="arial"/>
          <w:i/>
          <w:color w:val="000000"/>
          <w:sz w:val="20"/>
          <w:lang w:val="en-US" w:eastAsia="en-US" w:bidi="ar-SA"/>
        </w:rPr>
        <w:t>agent</w:t>
      </w:r>
      <w:r>
        <w:rPr>
          <w:rFonts w:ascii="arial" w:eastAsia="arial" w:hAnsi="arial" w:cs="arial"/>
          <w:color w:val="000000"/>
          <w:sz w:val="20"/>
          <w:lang w:val="en-US" w:eastAsia="en-US" w:bidi="ar-SA"/>
        </w:rPr>
        <w:t xml:space="preserve">, is considered in law to represent the other, called the </w:t>
      </w:r>
      <w:r>
        <w:rPr>
          <w:rFonts w:ascii="arial" w:eastAsia="arial" w:hAnsi="arial" w:cs="arial"/>
          <w:i/>
          <w:color w:val="000000"/>
          <w:sz w:val="20"/>
          <w:lang w:val="en-US" w:eastAsia="en-US" w:bidi="ar-SA"/>
        </w:rPr>
        <w:t>principal</w:t>
      </w:r>
      <w:r>
        <w:rPr>
          <w:rFonts w:ascii="arial" w:eastAsia="arial" w:hAnsi="arial" w:cs="arial"/>
          <w:color w:val="000000"/>
          <w:sz w:val="20"/>
          <w:lang w:val="en-US" w:eastAsia="en-US" w:bidi="ar-SA"/>
        </w:rPr>
        <w:t>, in such a way as to be able to affect the principal's legal position in respect of strangers to the relationship by the making of contracts or the disposition of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In the context of the contractual relationship between the parties in </w:t>
      </w:r>
      <w:r>
        <w:rPr>
          <w:rFonts w:ascii="arial" w:eastAsia="arial" w:hAnsi="arial" w:cs="arial"/>
          <w:i/>
          <w:color w:val="000000"/>
          <w:sz w:val="20"/>
          <w:lang w:val="en-US" w:eastAsia="en-US" w:bidi="ar-SA"/>
        </w:rPr>
        <w:t>Dawson</w:t>
      </w:r>
      <w:r>
        <w:rPr>
          <w:rFonts w:ascii="arial" w:eastAsia="arial" w:hAnsi="arial" w:cs="arial"/>
          <w:color w:val="000000"/>
          <w:sz w:val="20"/>
          <w:lang w:val="en-US" w:eastAsia="en-US" w:bidi="ar-SA"/>
        </w:rPr>
        <w:t xml:space="preserve">, Butler J. determined that the broad definition of agent cited above was beyond the reasonable contemplation of the parties, as this definition would necessarily and unreasonably include an indemnity for negligent acts done by anyone hired by the employer that could possibly harm the plaintiffs, including reckless couriers and plumbers. This reasoning was cited with approval by this court in </w:t>
      </w:r>
      <w:r>
        <w:rPr>
          <w:rFonts w:ascii="arial" w:eastAsia="arial" w:hAnsi="arial" w:cs="arial"/>
          <w:i/>
          <w:color w:val="000000"/>
          <w:sz w:val="20"/>
          <w:lang w:val="en-US" w:eastAsia="en-US" w:bidi="ar-SA"/>
        </w:rPr>
        <w:t>Beck Estate</w:t>
      </w:r>
      <w:r>
        <w:rPr>
          <w:rFonts w:ascii="arial" w:eastAsia="arial" w:hAnsi="arial" w:cs="arial"/>
          <w:color w:val="000000"/>
          <w:sz w:val="20"/>
          <w:lang w:val="en-US" w:eastAsia="en-US" w:bidi="ar-SA"/>
        </w:rPr>
        <w:t>, where Griffin J. wrote, "if you interpret the concept of the releasee's agent so widely that it covers all claims against anyone who in some capacity acts as agent for the releasor, it would have absurd effects" (at para. 109).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Butler J. concluded that the definition intended by the parties was necessarily limited to agents who represented the employer and were able to affect the employer's legal position in respect of strangers to the relationship (at para. 36). This definition was consistent with the employer's intention to be released from activities undertaken on its own behalf through employees and legal representatives, as well as the employees' intention to grant a full release to the employer without limiting its right to sue unintended actors (</w:t>
      </w:r>
      <w:r>
        <w:rPr>
          <w:rFonts w:ascii="arial" w:eastAsia="arial" w:hAnsi="arial" w:cs="arial"/>
          <w:i/>
          <w:color w:val="000000"/>
          <w:sz w:val="20"/>
          <w:lang w:val="en-US" w:eastAsia="en-US" w:bidi="ar-SA"/>
        </w:rPr>
        <w:t>ibid</w:t>
      </w:r>
      <w:r>
        <w:rPr>
          <w:rFonts w:ascii="arial" w:eastAsia="arial" w:hAnsi="arial" w:cs="arial"/>
          <w:color w:val="000000"/>
          <w:sz w:val="20"/>
          <w:lang w:val="en-US" w:eastAsia="en-US" w:bidi="ar-SA"/>
        </w:rPr>
        <w:t xml:space="preserve">). The case of </w:t>
      </w:r>
      <w:r>
        <w:rPr>
          <w:rFonts w:ascii="arial" w:eastAsia="arial" w:hAnsi="arial" w:cs="arial"/>
          <w:i/>
          <w:color w:val="000000"/>
          <w:sz w:val="20"/>
          <w:lang w:val="en-US" w:eastAsia="en-US" w:bidi="ar-SA"/>
        </w:rPr>
        <w:t>Sheriff v. Apps,</w:t>
      </w:r>
      <w:r>
        <w:rPr>
          <w:rFonts w:ascii="arial" w:eastAsia="arial" w:hAnsi="arial" w:cs="arial"/>
          <w:color w:val="000000"/>
          <w:sz w:val="20"/>
          <w:lang w:val="en-US" w:eastAsia="en-US" w:bidi="ar-SA"/>
        </w:rPr>
        <w:t xml:space="preserve"> </w:t>
      </w:r>
      <w:hyperlink r:id="rId601" w:history="1">
        <w:r>
          <w:rPr>
            <w:rFonts w:ascii="arial" w:eastAsia="arial" w:hAnsi="arial" w:cs="arial"/>
            <w:i/>
            <w:color w:val="0077CC"/>
            <w:sz w:val="20"/>
            <w:u w:val="single"/>
            <w:shd w:val="clear" w:color="auto" w:fill="FFFFFF"/>
            <w:lang w:val="en-US" w:eastAsia="en-US" w:bidi="ar-SA"/>
          </w:rPr>
          <w:t>2012 ONSC 565</w:t>
        </w:r>
      </w:hyperlink>
      <w:r>
        <w:rPr>
          <w:rFonts w:ascii="arial" w:eastAsia="arial" w:hAnsi="arial" w:cs="arial"/>
          <w:color w:val="000000"/>
          <w:sz w:val="20"/>
          <w:lang w:val="en-US" w:eastAsia="en-US" w:bidi="ar-SA"/>
        </w:rPr>
        <w:t>, relied on by counsel for Mr. Raven, engages in a similar interpretative exercise. There the court concluded that the parties to the release reasonably expected that the term "agent" would apply to the defendant as at the relevant time he was acting in his capacity as agent for the releasee.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With the foregoing framework in mind, the question becomes whether, at the time the Release was signed, Mr. Raven fell within the definition of agent intended by the parties, such that he had the authority to change Roxgold's legal position and should therefore be covered by the Release.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 have referred to the portion of Mr. Raven's affidavit of June 14, 2013 which states that, though he was no longer employed as a director or officer of Roxgold at the time the Release was signed, he was throughout registered as Roxgold's authorized representative through the Mineral Titles Branch's online registry, an online administrative system for mineral titles which facilitates the acquisition and maintenance of mineral titles. The online registry can only be accessed with a BCeID. Mr. Raven deposes that at the relevant time he was the only person with access to Roxgold's BCeID, and therefore the only representative of Roxgold that could sign on to the online registry and manage or transfer the mineral tenures owned by Roxgold.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Mr. Raven has further deposed that he was asked by Barry Girling, Roxgold's director, to transfer Roxgold's Mineral Tenures to ARR, which Mr. Raven accomplished in October 2011 because of his position as Roxgold's authorized representative on the Mineral Titles Branch's online registry. This transfer and the authority given to Mr. Raven in respect of it, places Mr. Raven continually within the definition of agent examined above, as someone able to affect the legal position of Roxgold through the disposition of Roxgold's property. Accordingly, I consider that Mr. Raven fell within the intended scope of the term "agent" when the Release was executed. Accordingly, any claim against Mr. Raven for conduct that preceded the signing of the Release cannot be advanced.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d)</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Does the Release Act to Release Claims Against Alan Raven as a joint tortfeasor?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Counsel for Mr. Raven argued that the plaintiffs' claims against Mr. Raven personally are also not sustainable by virtue of the common law doctrine that a release extinguishes claim against joint tortfeasors. Counsel for Mr. Raven argues that this doctrine extends to officers and directors acting on behalf of a corporation and further argues that s. 53 of the </w:t>
      </w:r>
      <w:r>
        <w:rPr>
          <w:rFonts w:ascii="arial" w:eastAsia="arial" w:hAnsi="arial" w:cs="arial"/>
          <w:i/>
          <w:color w:val="000000"/>
          <w:sz w:val="20"/>
          <w:lang w:val="en-US" w:eastAsia="en-US" w:bidi="ar-SA"/>
        </w:rPr>
        <w:t>Law and Equity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253</w:t>
      </w:r>
      <w:r>
        <w:rPr>
          <w:rFonts w:ascii="arial" w:eastAsia="arial" w:hAnsi="arial" w:cs="arial"/>
          <w:color w:val="000000"/>
          <w:sz w:val="20"/>
          <w:lang w:val="en-US" w:eastAsia="en-US" w:bidi="ar-SA"/>
        </w:rPr>
        <w:t>, which modifies this doctrine to some extent, does not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 do not accept the foregoing submission and certainly not as broadly as it was expressed.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In the case </w:t>
      </w:r>
      <w:r>
        <w:rPr>
          <w:rFonts w:ascii="arial" w:eastAsia="arial" w:hAnsi="arial" w:cs="arial"/>
          <w:i/>
          <w:color w:val="000000"/>
          <w:sz w:val="20"/>
          <w:lang w:val="en-US" w:eastAsia="en-US" w:bidi="ar-SA"/>
        </w:rPr>
        <w:t>ScotiaMcLeod v. Peoples Jewellers Ltd.,</w:t>
      </w:r>
      <w:r>
        <w:rPr>
          <w:rFonts w:ascii="arial" w:eastAsia="arial" w:hAnsi="arial" w:cs="arial"/>
          <w:color w:val="000000"/>
          <w:sz w:val="20"/>
          <w:lang w:val="en-US" w:eastAsia="en-US" w:bidi="ar-SA"/>
        </w:rPr>
        <w:t xml:space="preserve"> </w:t>
      </w:r>
      <w:hyperlink r:id="rId602" w:history="1">
        <w:r>
          <w:rPr>
            <w:rFonts w:ascii="arial" w:eastAsia="arial" w:hAnsi="arial" w:cs="arial"/>
            <w:i/>
            <w:color w:val="0077CC"/>
            <w:sz w:val="20"/>
            <w:u w:val="single"/>
            <w:shd w:val="clear" w:color="auto" w:fill="FFFFFF"/>
            <w:lang w:val="en-US" w:eastAsia="en-US" w:bidi="ar-SA"/>
          </w:rPr>
          <w:t>129 D.L.R. (4th) 711</w:t>
        </w:r>
      </w:hyperlink>
      <w:r>
        <w:rPr>
          <w:rFonts w:ascii="arial" w:eastAsia="arial" w:hAnsi="arial" w:cs="arial"/>
          <w:color w:val="000000"/>
          <w:sz w:val="20"/>
          <w:lang w:val="en-US" w:eastAsia="en-US" w:bidi="ar-SA"/>
        </w:rPr>
        <w:t xml:space="preserve">, </w:t>
      </w:r>
      <w:hyperlink r:id="rId603" w:history="1">
        <w:r>
          <w:rPr>
            <w:rFonts w:ascii="arial" w:eastAsia="arial" w:hAnsi="arial" w:cs="arial"/>
            <w:i/>
            <w:color w:val="0077CC"/>
            <w:sz w:val="20"/>
            <w:u w:val="single"/>
            <w:shd w:val="clear" w:color="auto" w:fill="FFFFFF"/>
            <w:lang w:val="en-US" w:eastAsia="en-US" w:bidi="ar-SA"/>
          </w:rPr>
          <w:t>[1995] O.J. No. 3556</w:t>
        </w:r>
      </w:hyperlink>
      <w:r>
        <w:rPr>
          <w:rFonts w:ascii="arial" w:eastAsia="arial" w:hAnsi="arial" w:cs="arial"/>
          <w:color w:val="000000"/>
          <w:sz w:val="20"/>
          <w:lang w:val="en-US" w:eastAsia="en-US" w:bidi="ar-SA"/>
        </w:rPr>
        <w:t xml:space="preserve"> (C.A.), claims were raised against the directors of the defendant corporation as joint tortfeasors for negligent misrepresentations made by the corporation. The Ontario Court of Appeal held that the attempt to hold directors vicariously liable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a corporation for their conduct as "directors simpliciter" (at para. 18), without any allegation of tortious conduct made against them personally, was founded on a theory of liability which does not exist in law" (at para. 37). The conclusions of the court in </w:t>
      </w:r>
      <w:r>
        <w:rPr>
          <w:rFonts w:ascii="arial" w:eastAsia="arial" w:hAnsi="arial" w:cs="arial"/>
          <w:i/>
          <w:color w:val="000000"/>
          <w:sz w:val="20"/>
          <w:lang w:val="en-US" w:eastAsia="en-US" w:bidi="ar-SA"/>
        </w:rPr>
        <w:t>Peoples</w:t>
      </w:r>
      <w:r>
        <w:rPr>
          <w:rFonts w:ascii="arial" w:eastAsia="arial" w:hAnsi="arial" w:cs="arial"/>
          <w:color w:val="000000"/>
          <w:sz w:val="20"/>
          <w:lang w:val="en-US" w:eastAsia="en-US" w:bidi="ar-SA"/>
        </w:rPr>
        <w:t xml:space="preserve"> in relation to the liability of corporate directors were cited with approval by the British Columbia Court of Appeal in the case </w:t>
      </w:r>
      <w:r>
        <w:rPr>
          <w:rFonts w:ascii="arial" w:eastAsia="arial" w:hAnsi="arial" w:cs="arial"/>
          <w:i/>
          <w:color w:val="000000"/>
          <w:sz w:val="20"/>
          <w:lang w:val="en-US" w:eastAsia="en-US" w:bidi="ar-SA"/>
        </w:rPr>
        <w:t>XY, LLC v. Zhu</w:t>
      </w:r>
      <w:r>
        <w:rPr>
          <w:rFonts w:ascii="arial" w:eastAsia="arial" w:hAnsi="arial" w:cs="arial"/>
          <w:color w:val="000000"/>
          <w:sz w:val="20"/>
          <w:lang w:val="en-US" w:eastAsia="en-US" w:bidi="ar-SA"/>
        </w:rPr>
        <w:t xml:space="preserve">, </w:t>
      </w:r>
      <w:hyperlink r:id="rId604" w:history="1">
        <w:r>
          <w:rPr>
            <w:rFonts w:ascii="arial" w:eastAsia="arial" w:hAnsi="arial" w:cs="arial"/>
            <w:i/>
            <w:color w:val="0077CC"/>
            <w:sz w:val="20"/>
            <w:u w:val="single"/>
            <w:shd w:val="clear" w:color="auto" w:fill="FFFFFF"/>
            <w:lang w:val="en-US" w:eastAsia="en-US" w:bidi="ar-SA"/>
          </w:rPr>
          <w:t>2013 BCCA 352</w:t>
        </w:r>
      </w:hyperlink>
      <w:r>
        <w:rPr>
          <w:rFonts w:ascii="arial" w:eastAsia="arial" w:hAnsi="arial" w:cs="arial"/>
          <w:color w:val="000000"/>
          <w:sz w:val="20"/>
          <w:lang w:val="en-US" w:eastAsia="en-US" w:bidi="ar-SA"/>
        </w:rPr>
        <w:t xml:space="preserve"> at para. 60. In that case the court concluded that in order for a director to be held liable for tortious conduct committed in the course of his/her employment, the tortious conduct of the director must be "properly pleaded and proven as an "independent" tort" committed by the director (at para. 73).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Claims arising out of activities that postdate the Release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Amended Claim discloses two distinct sets of events or circumstances that postdate the Release and that are said to ground the various claims advanced by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Inadequate Consultation or Accommodation Relating to the Amendment/Assignment of the MX Permit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ARR received the relevant mineral tenures from Roxgold on October 4, 2011. That transfer was effected electronically. On March 20, 2012, as I have said, MEM wrote to Gwininitxw House advising it had received a request to assign the MX Permit and other authorizations to ARR. The Amended Claim (at para. 36.2.1) alleges that on March 28, 2012, ARR was provided the amended MX Permit and that the government's purported consultation was both inadequate and conducted in bad faith. Paragraph 16 of the Amended Claim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MEMNG has not adequately consulted with the Gwininitxw House or accommodated the interests of Gwininitxw House with respect to the use of Maxhla Didaat by Alan Raven or companies controlled and operated by Alan Raven, including the defendant ARR Minerals. Work Plans for development and exploration of the Exploration Site were submitted pursuant to s. 10 of the </w:t>
      </w:r>
      <w:r>
        <w:rPr>
          <w:rFonts w:ascii="arial" w:eastAsia="arial" w:hAnsi="arial" w:cs="arial"/>
          <w:i/>
          <w:color w:val="000000"/>
          <w:sz w:val="20"/>
          <w:lang w:val="en-US" w:eastAsia="en-US" w:bidi="ar-SA"/>
        </w:rPr>
        <w:t>Mines Act</w:t>
      </w:r>
      <w:r>
        <w:rPr>
          <w:rFonts w:ascii="arial" w:eastAsia="arial" w:hAnsi="arial" w:cs="arial"/>
          <w:color w:val="000000"/>
          <w:sz w:val="20"/>
          <w:lang w:val="en-US" w:eastAsia="en-US" w:bidi="ar-SA"/>
        </w:rPr>
        <w:t xml:space="preserve"> by Roxgold and approved by MEMNG in 2006, 2007, 2008, and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Both the Province and ARR argued that this pleading and the relief sought as a result of it, which I will come to, constitutes an impermissible collateral attack on the exercise of a statutory power. Both argue that this misuse of the court's procedure also constitutes an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Toronto (City) v. C.U.P.E., Local 79,</w:t>
      </w:r>
      <w:r>
        <w:rPr>
          <w:rFonts w:ascii="arial" w:eastAsia="arial" w:hAnsi="arial" w:cs="arial"/>
          <w:color w:val="000000"/>
          <w:sz w:val="20"/>
          <w:lang w:val="en-US" w:eastAsia="en-US" w:bidi="ar-SA"/>
        </w:rPr>
        <w:t xml:space="preserve"> </w:t>
      </w:r>
      <w:hyperlink r:id="rId605" w:history="1">
        <w:r>
          <w:rPr>
            <w:rFonts w:ascii="arial" w:eastAsia="arial" w:hAnsi="arial" w:cs="arial"/>
            <w:i/>
            <w:color w:val="0077CC"/>
            <w:sz w:val="20"/>
            <w:u w:val="single"/>
            <w:shd w:val="clear" w:color="auto" w:fill="FFFFFF"/>
            <w:lang w:val="en-US" w:eastAsia="en-US" w:bidi="ar-SA"/>
          </w:rPr>
          <w:t>2003 SCC 63</w:t>
        </w:r>
      </w:hyperlink>
      <w:r>
        <w:rPr>
          <w:rFonts w:ascii="arial" w:eastAsia="arial" w:hAnsi="arial" w:cs="arial"/>
          <w:color w:val="000000"/>
          <w:sz w:val="20"/>
          <w:lang w:val="en-US" w:eastAsia="en-US" w:bidi="ar-SA"/>
        </w:rPr>
        <w:t>, at para. 37, the court commented that an "abuse of process" is the "misuse of [the Court's] procedure, in a way that would be manifestly unfair to a party to the litigation before it or would in some other way bring the administration of justice into disrepute" (see also para. 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More recently, in </w:t>
      </w:r>
      <w:r>
        <w:rPr>
          <w:rFonts w:ascii="arial" w:eastAsia="arial" w:hAnsi="arial" w:cs="arial"/>
          <w:i/>
          <w:color w:val="000000"/>
          <w:sz w:val="20"/>
          <w:lang w:val="en-US" w:eastAsia="en-US" w:bidi="ar-SA"/>
        </w:rPr>
        <w:t>Behn v. Moulton Contracting Ltd.</w:t>
      </w:r>
      <w:r>
        <w:rPr>
          <w:rFonts w:ascii="arial" w:eastAsia="arial" w:hAnsi="arial" w:cs="arial"/>
          <w:color w:val="000000"/>
          <w:sz w:val="20"/>
          <w:lang w:val="en-US" w:eastAsia="en-US" w:bidi="ar-SA"/>
        </w:rPr>
        <w:t xml:space="preserve">, </w:t>
      </w:r>
      <w:hyperlink r:id="rId606" w:history="1">
        <w:r>
          <w:rPr>
            <w:rFonts w:ascii="arial" w:eastAsia="arial" w:hAnsi="arial" w:cs="arial"/>
            <w:i/>
            <w:color w:val="0077CC"/>
            <w:sz w:val="20"/>
            <w:u w:val="single"/>
            <w:shd w:val="clear" w:color="auto" w:fill="FFFFFF"/>
            <w:lang w:val="en-US" w:eastAsia="en-US" w:bidi="ar-SA"/>
          </w:rPr>
          <w:t>2013 SCC 26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Behn</w:t>
      </w:r>
      <w:r>
        <w:rPr>
          <w:rFonts w:ascii="arial" w:eastAsia="arial" w:hAnsi="arial" w:cs="arial"/>
          <w:color w:val="000000"/>
          <w:sz w:val="20"/>
          <w:lang w:val="en-US" w:eastAsia="en-US" w:bidi="ar-SA"/>
        </w:rPr>
        <w:t xml:space="preserve"> SCC], Justice LeBel, writing for the Court, observed at para. 40, that "[t]he doctrine of abuse of process is characterized by its flexibility" (see also para. 41). </w:t>
      </w:r>
      <w:r>
        <w:rPr>
          <w:rFonts w:ascii="arial" w:eastAsia="arial" w:hAnsi="arial" w:cs="arial"/>
          <w:i/>
          <w:color w:val="000000"/>
          <w:sz w:val="20"/>
          <w:lang w:val="en-US" w:eastAsia="en-US" w:bidi="ar-SA"/>
        </w:rPr>
        <w:t>Behn</w:t>
      </w:r>
      <w:r>
        <w:rPr>
          <w:rFonts w:ascii="arial" w:eastAsia="arial" w:hAnsi="arial" w:cs="arial"/>
          <w:color w:val="000000"/>
          <w:sz w:val="20"/>
          <w:lang w:val="en-US" w:eastAsia="en-US" w:bidi="ar-SA"/>
        </w:rPr>
        <w:t xml:space="preserve"> is a case where the plaintiff was issued various logging permits or licenses. The defendants did not initially seek to challenge those licenses. Instead they blockaded the plaintiff's access to its camp. The plaintiff sued the defendants at which point the defendants argued, in their defense, that the licenses were void because they had been issued in breach of the duty to consult and in violation of their treaty rights. In such circumstances Justice LeBel held that allowing the defendants to raise these issues "would be tantamount to condoning self-help remedies and would bring the administration of justice into disrepute" and that "the doctrine of abuse of process applies" (at para. 42).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Canadian Forest Products Ltd. v. Sam</w:t>
      </w:r>
      <w:r>
        <w:rPr>
          <w:rFonts w:ascii="arial" w:eastAsia="arial" w:hAnsi="arial" w:cs="arial"/>
          <w:color w:val="000000"/>
          <w:sz w:val="20"/>
          <w:lang w:val="en-US" w:eastAsia="en-US" w:bidi="ar-SA"/>
        </w:rPr>
        <w:t xml:space="preserve">, </w:t>
      </w:r>
      <w:hyperlink r:id="rId607" w:history="1">
        <w:r>
          <w:rPr>
            <w:rFonts w:ascii="arial" w:eastAsia="arial" w:hAnsi="arial" w:cs="arial"/>
            <w:i/>
            <w:color w:val="0077CC"/>
            <w:sz w:val="20"/>
            <w:u w:val="single"/>
            <w:shd w:val="clear" w:color="auto" w:fill="FFFFFF"/>
            <w:lang w:val="en-US" w:eastAsia="en-US" w:bidi="ar-SA"/>
          </w:rPr>
          <w:t>2013 BCCA 58</w:t>
        </w:r>
      </w:hyperlink>
      <w:r>
        <w:rPr>
          <w:rFonts w:ascii="arial" w:eastAsia="arial" w:hAnsi="arial" w:cs="arial"/>
          <w:color w:val="000000"/>
          <w:sz w:val="20"/>
          <w:lang w:val="en-US" w:eastAsia="en-US" w:bidi="ar-SA"/>
        </w:rPr>
        <w:t xml:space="preserve">, leave to appeal ref'd </w:t>
      </w:r>
      <w:hyperlink r:id="rId608" w:history="1">
        <w:r>
          <w:rPr>
            <w:rFonts w:ascii="arial" w:eastAsia="arial" w:hAnsi="arial" w:cs="arial"/>
            <w:i/>
            <w:color w:val="0077CC"/>
            <w:sz w:val="20"/>
            <w:u w:val="single"/>
            <w:shd w:val="clear" w:color="auto" w:fill="FFFFFF"/>
            <w:lang w:val="en-US" w:eastAsia="en-US" w:bidi="ar-SA"/>
          </w:rPr>
          <w:t>[2013] S.C.C.A. No. 146</w:t>
        </w:r>
      </w:hyperlink>
      <w:r>
        <w:rPr>
          <w:rFonts w:ascii="arial" w:eastAsia="arial" w:hAnsi="arial" w:cs="arial"/>
          <w:color w:val="000000"/>
          <w:sz w:val="20"/>
          <w:lang w:val="en-US" w:eastAsia="en-US" w:bidi="ar-SA"/>
        </w:rPr>
        <w:t>, the court addressed two actions. One was brought by the forest company and the other by the respondent First Nations group. Each sought injunctive relief. The First Nations group advanced claims of aboriginal rights and title to various areas including those covered by the cutting permits the company had received. It also challenged the right of the forest company, or its agent, to conduct logging operations under the permit it had received and argued that the permit was invalid. Both the logging company and the Province argued that the First Nation group's challenge to the validity of the cutting permit, under the rubric of the action it had brought, constituted an impermissible collateral attack on the process leading to the issuance of the permit and the permit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Though Hall J.A., for the court, considered that the action commenced by the First Nations group "savours of abuse of process based on the reasoning in cases such as </w:t>
      </w:r>
      <w:r>
        <w:rPr>
          <w:rFonts w:ascii="arial" w:eastAsia="arial" w:hAnsi="arial" w:cs="arial"/>
          <w:i/>
          <w:color w:val="000000"/>
          <w:sz w:val="20"/>
          <w:lang w:val="en-US" w:eastAsia="en-US" w:bidi="ar-SA"/>
        </w:rPr>
        <w:t>Moulton Contracting</w:t>
      </w:r>
      <w:r>
        <w:rPr>
          <w:rFonts w:ascii="arial" w:eastAsia="arial" w:hAnsi="arial" w:cs="arial"/>
          <w:color w:val="000000"/>
          <w:sz w:val="20"/>
          <w:lang w:val="en-US" w:eastAsia="en-US" w:bidi="ar-SA"/>
        </w:rPr>
        <w:t>" (at para. 28), his analysis, as well as the analysis in the cases he referred to, focuses on the doctrine of collateral attack.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In addressing the "process by which differing legal issues ought most properly be addressed by courts" (at para. 17), Hall J.A. referred to </w:t>
      </w:r>
      <w:r>
        <w:rPr>
          <w:rFonts w:ascii="arial" w:eastAsia="arial" w:hAnsi="arial" w:cs="arial"/>
          <w:i/>
          <w:color w:val="000000"/>
          <w:sz w:val="20"/>
          <w:lang w:val="en-US" w:eastAsia="en-US" w:bidi="ar-SA"/>
        </w:rPr>
        <w:t>Canada (Attorney General) v. TeleZone Inc</w:t>
      </w:r>
      <w:r>
        <w:rPr>
          <w:rFonts w:ascii="arial" w:eastAsia="arial" w:hAnsi="arial" w:cs="arial"/>
          <w:color w:val="000000"/>
          <w:sz w:val="20"/>
          <w:lang w:val="en-US" w:eastAsia="en-US" w:bidi="ar-SA"/>
        </w:rPr>
        <w:t xml:space="preserve">., </w:t>
      </w:r>
      <w:hyperlink r:id="rId609" w:history="1">
        <w:r>
          <w:rPr>
            <w:rFonts w:ascii="arial" w:eastAsia="arial" w:hAnsi="arial" w:cs="arial"/>
            <w:i/>
            <w:color w:val="0077CC"/>
            <w:sz w:val="20"/>
            <w:u w:val="single"/>
            <w:shd w:val="clear" w:color="auto" w:fill="FFFFFF"/>
            <w:lang w:val="en-US" w:eastAsia="en-US" w:bidi="ar-SA"/>
          </w:rPr>
          <w:t>2010 SCC 62</w:t>
        </w:r>
      </w:hyperlink>
      <w:r>
        <w:rPr>
          <w:rFonts w:ascii="arial" w:eastAsia="arial" w:hAnsi="arial" w:cs="arial"/>
          <w:color w:val="000000"/>
          <w:sz w:val="20"/>
          <w:lang w:val="en-US" w:eastAsia="en-US" w:bidi="ar-SA"/>
        </w:rPr>
        <w:t>. In that case, the defendant Crown had argued that the plaintiff should seek judicial review of the decision that it said had caused it harm. The Supreme Court, per Binnie J., said at para. 19: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a claimant seeks to set aside the order of a federal decision maker, it will have to proceed by judicial review, as the </w:t>
      </w:r>
      <w:r>
        <w:rPr>
          <w:rFonts w:ascii="arial" w:eastAsia="arial" w:hAnsi="arial" w:cs="arial"/>
          <w:i/>
          <w:color w:val="000000"/>
          <w:sz w:val="20"/>
          <w:lang w:val="en-US" w:eastAsia="en-US" w:bidi="ar-SA"/>
        </w:rPr>
        <w:t>Grenier</w:t>
      </w:r>
      <w:r>
        <w:rPr>
          <w:rFonts w:ascii="arial" w:eastAsia="arial" w:hAnsi="arial" w:cs="arial"/>
          <w:color w:val="000000"/>
          <w:sz w:val="20"/>
          <w:lang w:val="en-US" w:eastAsia="en-US" w:bidi="ar-SA"/>
        </w:rPr>
        <w:t xml:space="preserve"> court held. However, if the claimant is content to let the order stand and instead seeks compensation for alleged losses (as here), there is no principled reason why it should be forced to detour to the Federal Court for the extra step of a judicial review application (itself sometimes a costly undertaking) when that is not the relief it seeks. Access to justice requires that the claimant be permitted to pursue its chosen remedy directly and, to the greatest extent possible, without procedural detours.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Hall J.A. considered, at para. 18, that the </w:t>
      </w:r>
      <w:r>
        <w:rPr>
          <w:rFonts w:ascii="arial" w:eastAsia="arial" w:hAnsi="arial" w:cs="arial"/>
          <w:i/>
          <w:color w:val="000000"/>
          <w:sz w:val="20"/>
          <w:lang w:val="en-US" w:eastAsia="en-US" w:bidi="ar-SA"/>
        </w:rPr>
        <w:t>Canadian Forest Products</w:t>
      </w:r>
      <w:r>
        <w:rPr>
          <w:rFonts w:ascii="arial" w:eastAsia="arial" w:hAnsi="arial" w:cs="arial"/>
          <w:color w:val="000000"/>
          <w:sz w:val="20"/>
          <w:lang w:val="en-US" w:eastAsia="en-US" w:bidi="ar-SA"/>
        </w:rPr>
        <w:t xml:space="preserve">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is rather the obverse of that extant in </w:t>
      </w:r>
      <w:r>
        <w:rPr>
          <w:rFonts w:ascii="arial" w:eastAsia="arial" w:hAnsi="arial" w:cs="arial"/>
          <w:i/>
          <w:color w:val="000000"/>
          <w:sz w:val="20"/>
          <w:lang w:val="en-US" w:eastAsia="en-US" w:bidi="ar-SA"/>
        </w:rPr>
        <w:t>TeleZone</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TeleZone</w:t>
      </w:r>
      <w:r>
        <w:rPr>
          <w:rFonts w:ascii="arial" w:eastAsia="arial" w:hAnsi="arial" w:cs="arial"/>
          <w:color w:val="000000"/>
          <w:sz w:val="20"/>
          <w:lang w:val="en-US" w:eastAsia="en-US" w:bidi="ar-SA"/>
        </w:rPr>
        <w:t>, the plaintiff had no interest in challenging the government decision to refuse a license to it, but rather sought damages under various heads. Here, quite the opposite is the case, because the Kelah respondents are challenging the right of Canfor or its agent to conduct logging operations in a specific area under CP324.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Hall J.A. concluded at para. 30, that "the form of action commenced by the Kelah respondents as it relates to activities authorized by CP324 constitutes an impermissible collateral attack on the issuance of this permit ...". He further said at para. 28: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no reason why the claims for relief in the action commenced by the Kelah respondents relating to Aboriginal rights and title cannot stand and proceed, but it is inappropriate to seek to combine such claims with litigation concerning the validity of CP324. That sort of matter can be and should be dealt with under the judicial review process. Such a process does not foreclose an application for injunctive relief if thought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foregoing comments are directly relevant to the instant case. The plaintiffs are challenging the validity of the tenures and permits that had been issued to Roxgold and that have now been assigned to ARR. Paragraph 58(d) of the Amended Claim, under "Part 2: Relief Sought" seeks: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declaration that no authorization or permit to allow Roxgold, </w:t>
      </w:r>
      <w:r>
        <w:rPr>
          <w:rFonts w:ascii="arial" w:eastAsia="arial" w:hAnsi="arial" w:cs="arial"/>
          <w:color w:val="000000"/>
          <w:sz w:val="20"/>
          <w:u w:val="single"/>
          <w:lang w:val="en-US" w:eastAsia="en-US" w:bidi="ar-SA"/>
        </w:rPr>
        <w:t>Alan Raven, ARR Minerals or any other company owned or controlled by Alan Raven</w:t>
      </w:r>
      <w:r>
        <w:rPr>
          <w:rFonts w:ascii="arial" w:eastAsia="arial" w:hAnsi="arial" w:cs="arial"/>
          <w:color w:val="000000"/>
          <w:sz w:val="20"/>
          <w:lang w:val="en-US" w:eastAsia="en-US" w:bidi="ar-SA"/>
        </w:rPr>
        <w:t xml:space="preserve"> engage in development or exploration activities on or to in any other manner interfere with Maxhla Didaat is of force and effect, </w:t>
      </w:r>
      <w:r>
        <w:rPr>
          <w:rFonts w:ascii="arial" w:eastAsia="arial" w:hAnsi="arial" w:cs="arial"/>
          <w:color w:val="000000"/>
          <w:sz w:val="20"/>
          <w:u w:val="single"/>
          <w:lang w:val="en-US" w:eastAsia="en-US" w:bidi="ar-SA"/>
        </w:rPr>
        <w:t>and an order in the nature of certiorari quashing the transfer of the Tenures to ARR Minerals</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[Underlined portions reflect proposed amendments in the Amended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In this case the proper mechanism or "process" to achieve the object that the plaintiffs advance is by way of judicial review. The attempt to marry these various issues into a claim for aboriginal title is unsound both as a matter of concept and as a matter of practice. In </w:t>
      </w:r>
      <w:r>
        <w:rPr>
          <w:rFonts w:ascii="arial" w:eastAsia="arial" w:hAnsi="arial" w:cs="arial"/>
          <w:i/>
          <w:color w:val="000000"/>
          <w:sz w:val="20"/>
          <w:lang w:val="en-US" w:eastAsia="en-US" w:bidi="ar-SA"/>
        </w:rPr>
        <w:t>Canadian Forest Products,</w:t>
      </w:r>
      <w:r>
        <w:rPr>
          <w:rFonts w:ascii="arial" w:eastAsia="arial" w:hAnsi="arial" w:cs="arial"/>
          <w:color w:val="000000"/>
          <w:sz w:val="20"/>
          <w:lang w:val="en-US" w:eastAsia="en-US" w:bidi="ar-SA"/>
        </w:rPr>
        <w:t xml:space="preserve"> Hall J.A., addressed the pragmatic concerns that would arise from the "process" relied on by the First Nations group in that case and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[24] I consider those comments have application to the situation disclosed in the case at bar. The essence of this dispute is about the lawfulness of Canfor's actions under CP324. To seek to amalgamate this closely focussed issue with litigation seeking declarations of Aboriginal rights and title in the area in question is not a process to be encouraged. Such amalgamation is a recipe for delay and gridlock.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Once again, the foregoing concerns have direct relevance to this case. Accordingly, I consider that those portions of the Amended Claim that seek to challenge the assignment of the MX Permit, or the tenures referred to within it, to ARR have been improperly advanced.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b)</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Failure of ARR to perform the work Required Under the MX Permit and the Doctrine of Collateral Attack</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In March 2012, MEM amended the MX Permit by assigning it to ARR and by requiring ARR to post $45,000 as a security bond for reclamation.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MEM also amended an earlier June 8, 2009 Notice of Work Permit by transferring it to ARR and by extending the timeframe to complete certain approved work to March 31,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In paragraph 36.2.2 of the Amended Claim the plaintiffs allege that ARR breached the various reclamation and other obligations contained in the MX permit and the 2009 Notice of Work Permit. In paragraph 38 the plaintiffs allege that ARR's failure to meet these obligations "caused harm to the plaintiff's territory".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It is important to realize that the harm complained of in these allegations is harm that of necessity was first caused by Roxgold before the Release was executed. It is then conduct or harm to which the Release, in the first instance, pertained.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Counsel for the plaintiffs, in his submissions, argued that the contractual and/or statutory obligations that MEM imposed on ARR after March 2012 somehow "refreshed" or "revived" the plaintiffs' right to claim for the earlier harm that Roxgold had caused. These submissions were not developed any further and they find no support or basis in the Amended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A second way of analyzing this particular subset of allegations is to consider that any failure on the part of ARR to satisfy the obligations in the MX Permit and in the 2009 Notice of Work Permit was a failure that arose under these documents and, of necessity, post-dated the Release. There would, in concept, be nothing to prevent the plaintiffs from advancing a claim which challenged either some act or omission on the part of ARR subsequent to the execution of the Release. The question is whether the civil causes of action advanced by the plaintiffs in the Amended Claim are the correct "process" by which to achieve this object.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 do not consider that they are. Instead, I consider that these various claims again constitute impermissible collateral attacks on a series of statutory decisions or exercises of statutory power.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The backdrop that pertains to this aspect of the plaintiffs' claim is somewhat different from that which pertained to their allegations that the Crown had failed to properly consult with Gwininitxw House prior to either issuing various permits or assigning various permits to ARR. This latter issue, that of adequate consultation or accommodation, engages the question of constitutionally acceptable resource management pending resolution of aboriginal claims. It seeks, as its object, to provide a mechanism by which the Crown and First Nations can engage in respectful and ongoing dialogue: </w:t>
      </w:r>
      <w:r>
        <w:rPr>
          <w:rFonts w:ascii="arial" w:eastAsia="arial" w:hAnsi="arial" w:cs="arial"/>
          <w:i/>
          <w:color w:val="000000"/>
          <w:sz w:val="20"/>
          <w:lang w:val="en-US" w:eastAsia="en-US" w:bidi="ar-SA"/>
        </w:rPr>
        <w:t>Rio Tinto Alcan Inc. v. Carrier Sekani Tribal Council,</w:t>
      </w:r>
      <w:r>
        <w:rPr>
          <w:rFonts w:ascii="arial" w:eastAsia="arial" w:hAnsi="arial" w:cs="arial"/>
          <w:color w:val="000000"/>
          <w:sz w:val="20"/>
          <w:lang w:val="en-US" w:eastAsia="en-US" w:bidi="ar-SA"/>
        </w:rPr>
        <w:t xml:space="preserve"> </w:t>
      </w:r>
      <w:hyperlink r:id="rId610" w:history="1">
        <w:r>
          <w:rPr>
            <w:rFonts w:ascii="arial" w:eastAsia="arial" w:hAnsi="arial" w:cs="arial"/>
            <w:i/>
            <w:color w:val="0077CC"/>
            <w:sz w:val="20"/>
            <w:u w:val="single"/>
            <w:shd w:val="clear" w:color="auto" w:fill="FFFFFF"/>
            <w:lang w:val="en-US" w:eastAsia="en-US" w:bidi="ar-SA"/>
          </w:rPr>
          <w:t>2010 SCC 43</w:t>
        </w:r>
      </w:hyperlink>
      <w:r>
        <w:rPr>
          <w:rFonts w:ascii="arial" w:eastAsia="arial" w:hAnsi="arial" w:cs="arial"/>
          <w:color w:val="000000"/>
          <w:sz w:val="20"/>
          <w:lang w:val="en-US" w:eastAsia="en-US" w:bidi="ar-SA"/>
        </w:rPr>
        <w:t xml:space="preserve"> at paras. 34 and 38: </w:t>
      </w:r>
      <w:r>
        <w:rPr>
          <w:rFonts w:ascii="arial" w:eastAsia="arial" w:hAnsi="arial" w:cs="arial"/>
          <w:i/>
          <w:color w:val="000000"/>
          <w:sz w:val="20"/>
          <w:lang w:val="en-US" w:eastAsia="en-US" w:bidi="ar-SA"/>
        </w:rPr>
        <w:t>Haida Nation v. British Columbia (Minister of Forests)</w:t>
      </w:r>
      <w:r>
        <w:rPr>
          <w:rFonts w:ascii="arial" w:eastAsia="arial" w:hAnsi="arial" w:cs="arial"/>
          <w:color w:val="000000"/>
          <w:sz w:val="20"/>
          <w:lang w:val="en-US" w:eastAsia="en-US" w:bidi="ar-SA"/>
        </w:rPr>
        <w:t xml:space="preserve">, </w:t>
      </w:r>
      <w:hyperlink r:id="rId611" w:history="1">
        <w:r>
          <w:rPr>
            <w:rFonts w:ascii="arial" w:eastAsia="arial" w:hAnsi="arial" w:cs="arial"/>
            <w:i/>
            <w:color w:val="0077CC"/>
            <w:sz w:val="20"/>
            <w:u w:val="single"/>
            <w:shd w:val="clear" w:color="auto" w:fill="FFFFFF"/>
            <w:lang w:val="en-US" w:eastAsia="en-US" w:bidi="ar-SA"/>
          </w:rPr>
          <w:t>2004 SCC 73</w:t>
        </w:r>
      </w:hyperlink>
      <w:r>
        <w:rPr>
          <w:rFonts w:ascii="arial" w:eastAsia="arial" w:hAnsi="arial" w:cs="arial"/>
          <w:color w:val="000000"/>
          <w:sz w:val="20"/>
          <w:lang w:val="en-US" w:eastAsia="en-US" w:bidi="ar-SA"/>
        </w:rPr>
        <w:t xml:space="preserve"> at para. 38.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Having said this it is clear the doctrine of collateral attack, and of abuse of process, are broad in scope and are not confined to questions of constitutional accommodation. The Supreme Court of Canada has described a collateral attack as "an attack made in proceedings other than those whose specific object is the reversal, variation, or nullification of the order or judgment": </w:t>
      </w:r>
      <w:r>
        <w:rPr>
          <w:rFonts w:ascii="arial" w:eastAsia="arial" w:hAnsi="arial" w:cs="arial"/>
          <w:i/>
          <w:color w:val="000000"/>
          <w:sz w:val="20"/>
          <w:lang w:val="en-US" w:eastAsia="en-US" w:bidi="ar-SA"/>
        </w:rPr>
        <w:t>Wilson v. The Queen</w:t>
      </w:r>
      <w:r>
        <w:rPr>
          <w:rFonts w:ascii="arial" w:eastAsia="arial" w:hAnsi="arial" w:cs="arial"/>
          <w:color w:val="000000"/>
          <w:sz w:val="20"/>
          <w:lang w:val="en-US" w:eastAsia="en-US" w:bidi="ar-SA"/>
        </w:rPr>
        <w:t xml:space="preserve">, </w:t>
      </w:r>
      <w:hyperlink r:id="rId612" w:history="1">
        <w:r>
          <w:rPr>
            <w:rFonts w:ascii="arial" w:eastAsia="arial" w:hAnsi="arial" w:cs="arial"/>
            <w:i/>
            <w:color w:val="0077CC"/>
            <w:sz w:val="20"/>
            <w:u w:val="single"/>
            <w:shd w:val="clear" w:color="auto" w:fill="FFFFFF"/>
            <w:lang w:val="en-US" w:eastAsia="en-US" w:bidi="ar-SA"/>
          </w:rPr>
          <w:t>[1983] 2 S.C.R. 594</w:t>
        </w:r>
      </w:hyperlink>
      <w:r>
        <w:rPr>
          <w:rFonts w:ascii="arial" w:eastAsia="arial" w:hAnsi="arial" w:cs="arial"/>
          <w:color w:val="000000"/>
          <w:sz w:val="20"/>
          <w:lang w:val="en-US" w:eastAsia="en-US" w:bidi="ar-SA"/>
        </w:rPr>
        <w:t xml:space="preserve"> at 599.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Furthermore, the ambit of the doctrine is not limited to instances where an applicant seeks nullification of an order or decision. Instead it extends, as the foregoing quote from </w:t>
      </w:r>
      <w:r>
        <w:rPr>
          <w:rFonts w:ascii="arial" w:eastAsia="arial" w:hAnsi="arial" w:cs="arial"/>
          <w:i/>
          <w:color w:val="000000"/>
          <w:sz w:val="20"/>
          <w:lang w:val="en-US" w:eastAsia="en-US" w:bidi="ar-SA"/>
        </w:rPr>
        <w:t>Wilson</w:t>
      </w:r>
      <w:r>
        <w:rPr>
          <w:rFonts w:ascii="arial" w:eastAsia="arial" w:hAnsi="arial" w:cs="arial"/>
          <w:color w:val="000000"/>
          <w:sz w:val="20"/>
          <w:lang w:val="en-US" w:eastAsia="en-US" w:bidi="ar-SA"/>
        </w:rPr>
        <w:t xml:space="preserve"> confirms, to circumstances where a party seeks to vary an order or decision. In </w:t>
      </w:r>
      <w:r>
        <w:rPr>
          <w:rFonts w:ascii="arial" w:eastAsia="arial" w:hAnsi="arial" w:cs="arial"/>
          <w:i/>
          <w:color w:val="000000"/>
          <w:sz w:val="20"/>
          <w:lang w:val="en-US" w:eastAsia="en-US" w:bidi="ar-SA"/>
        </w:rPr>
        <w:t>TeleZone</w:t>
      </w:r>
      <w:r>
        <w:rPr>
          <w:rFonts w:ascii="arial" w:eastAsia="arial" w:hAnsi="arial" w:cs="arial"/>
          <w:color w:val="000000"/>
          <w:sz w:val="20"/>
          <w:lang w:val="en-US" w:eastAsia="en-US" w:bidi="ar-SA"/>
        </w:rPr>
        <w:t xml:space="preserve"> the court described the relevant question as being whether the claimant "is content to let the order stand"; at para. 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The doctrine is designed to maintain the fairness and integrity of the justice system by preventing a party from challenging a decision outside of the proper forum for review of that decision: </w:t>
      </w:r>
      <w:r>
        <w:rPr>
          <w:rFonts w:ascii="arial" w:eastAsia="arial" w:hAnsi="arial" w:cs="arial"/>
          <w:i/>
          <w:color w:val="000000"/>
          <w:sz w:val="20"/>
          <w:lang w:val="en-US" w:eastAsia="en-US" w:bidi="ar-SA"/>
        </w:rPr>
        <w:t>British Columbia (Workers' Compensation Board) v.</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Figliola</w:t>
      </w:r>
      <w:r>
        <w:rPr>
          <w:rFonts w:ascii="arial" w:eastAsia="arial" w:hAnsi="arial" w:cs="arial"/>
          <w:color w:val="000000"/>
          <w:sz w:val="20"/>
          <w:lang w:val="en-US" w:eastAsia="en-US" w:bidi="ar-SA"/>
        </w:rPr>
        <w:t xml:space="preserve">, </w:t>
      </w:r>
      <w:hyperlink r:id="rId613" w:history="1">
        <w:r>
          <w:rPr>
            <w:rFonts w:ascii="arial" w:eastAsia="arial" w:hAnsi="arial" w:cs="arial"/>
            <w:i/>
            <w:color w:val="0077CC"/>
            <w:sz w:val="20"/>
            <w:u w:val="single"/>
            <w:shd w:val="clear" w:color="auto" w:fill="FFFFFF"/>
            <w:lang w:val="en-US" w:eastAsia="en-US" w:bidi="ar-SA"/>
          </w:rPr>
          <w:t>2011 SCC 52</w:t>
        </w:r>
      </w:hyperlink>
      <w:r>
        <w:rPr>
          <w:rFonts w:ascii="arial" w:eastAsia="arial" w:hAnsi="arial" w:cs="arial"/>
          <w:color w:val="000000"/>
          <w:sz w:val="20"/>
          <w:lang w:val="en-US" w:eastAsia="en-US" w:bidi="ar-SA"/>
        </w:rPr>
        <w:t xml:space="preserve"> at para. 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Judicial review is the means by which superior courts supervise those who exercise statutory powers to ensure that they act within their legal and constitutional authority. In </w:t>
      </w:r>
      <w:r>
        <w:rPr>
          <w:rFonts w:ascii="arial" w:eastAsia="arial" w:hAnsi="arial" w:cs="arial"/>
          <w:i/>
          <w:color w:val="000000"/>
          <w:sz w:val="20"/>
          <w:lang w:val="en-US" w:eastAsia="en-US" w:bidi="ar-SA"/>
        </w:rPr>
        <w:t>TeleZone</w:t>
      </w:r>
      <w:r>
        <w:rPr>
          <w:rFonts w:ascii="arial" w:eastAsia="arial" w:hAnsi="arial" w:cs="arial"/>
          <w:color w:val="000000"/>
          <w:sz w:val="20"/>
          <w:lang w:val="en-US" w:eastAsia="en-US" w:bidi="ar-SA"/>
        </w:rPr>
        <w:t xml:space="preserve"> the Court, at para. 24 said, "Judicial review is directed at the legality, reasonableness, and fairness of the procedures employed and actions taken by government decision makers. It is designed to enforce the rule of law and adherence to the Constitution. Its overall objective is good governance."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TeleZone</w:t>
      </w:r>
      <w:r>
        <w:rPr>
          <w:rFonts w:ascii="arial" w:eastAsia="arial" w:hAnsi="arial" w:cs="arial"/>
          <w:color w:val="000000"/>
          <w:sz w:val="20"/>
          <w:lang w:val="en-US" w:eastAsia="en-US" w:bidi="ar-SA"/>
        </w:rPr>
        <w:t>, the Court rejected a rigid approach to determining whether a pleading constitutes an impermissible collateral attack. Instead the Court adopted a pragmatic approach that focuses on the essential character of the claim and the nature of the relief sought; at paras. 18-19, 78.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Court concluded, at para. 80, that TeleZone's claim was "dominated by private law considerations". At para. 78 the court addressed the question of how to determine whether an application for judicial review had been masked as a claim for damages with this guidance: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always a residual discretion in the inherent jurisdiction of the provincial superior court ..., to stay the damages claim because in its essential character, it is a claim for judicial review with only a thin pretense to a private wrong. Generally speaking the fundamental issue will always be whether the claimant has pleaded a reasonable private cause of action for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In applying this guidance I start with the observation that the plaintiffs accept that the various causes of action they wish to bring in respect of ARR's conduct or omissions have not yet, to this point in time and in such circumstances, been advanced in any court. Furthermore, they are causes of action which the plaintiffs accept must await the determination of their title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More importantly, an analysis of the Amended Claim and the material filed by the plaintiffs on this application confirms that the focus of their concerns lies with a series of decisions made and positions taken by MEM.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Paragraph 36.2.2 describes various alleged breaches of the MX Permit, the 2009 Notice of Work Permit, and the </w:t>
      </w:r>
      <w:r>
        <w:rPr>
          <w:rFonts w:ascii="arial" w:eastAsia="arial" w:hAnsi="arial" w:cs="arial"/>
          <w:i/>
          <w:color w:val="000000"/>
          <w:sz w:val="20"/>
          <w:lang w:val="en-US" w:eastAsia="en-US" w:bidi="ar-SA"/>
        </w:rPr>
        <w:t>Health, Safety and Reclamation Code for Mines in British Columbia</w:t>
      </w:r>
      <w:r>
        <w:rPr>
          <w:rFonts w:ascii="arial" w:eastAsia="arial" w:hAnsi="arial" w:cs="arial"/>
          <w:color w:val="000000"/>
          <w:sz w:val="20"/>
          <w:lang w:val="en-US" w:eastAsia="en-US" w:bidi="ar-SA"/>
        </w:rPr>
        <w:t>, 2008 (the "Code") by Mr. Raven and ARR.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Paragraph 36.4.1 of the Amended Claim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After the overflight of August 12, 2012. MEMNG directed or asked Alan Raven and ARR Minerals to remediate the work site. In late August of 2012, Alan Raven attended the work site and engaged in a superficial clean-up of the work site and felled several trees across the access trail, but the work he performed did not comply with the requirements of the Health, Safety and Reclamation Code for Mines in British Columbia, and the trees felled across the access trail are inadequate to prevent ingress to the plaintiff's territory by motor vehicle. Alan Raven and ARR Minerals did not submit a report of reclamation or remediation activities for 2012-2013 to MEMNG. MEMNG did not request that Alan Raven or ARR Minerals submit a report of reclamation or remediation activities for 2012-2013. MEMNG did not conduct a site inspection after August 12, 2012 to verify whether the remediation conducted in late August of 2012 complied with the Health, Safety and Reclamation Code for Mines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Paragraph 36.5 to paragraph 36.8 of the Amended Claim state: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36.5 The authorization to work set out in March 28. 2012 Mines Act permit and the amended 2009 Notice of Work and Reclamation expired on March 31, 2013. As of April 1, 2013, the reclamation work required by the March 28, 2012 Mines Act permit and the reclamation required by the amended 2009 Notice of Work and Reclamation has not been completed. In particular, Alan Raven and Roxgold did not install water control structures or pull back woody debris to block access to the Tenure area, Alan Raven and ARR Minerals did not replant the 4.08 ha of timber felled without a permit, Alan Raven and ARR Minerals did not reclaim the portions of the road network that they were required to reclaim as a condition of the amended 2009 permit, Alan Raven and ARR Minerals did not refurbish the work site and the remediation activities conducted by Alan Raven and ARR Minerals did not comply with the </w:t>
      </w:r>
      <w:r>
        <w:rPr>
          <w:rFonts w:ascii="arial" w:eastAsia="arial" w:hAnsi="arial" w:cs="arial"/>
          <w:i/>
          <w:color w:val="000000"/>
          <w:sz w:val="20"/>
          <w:lang w:val="en-US" w:eastAsia="en-US" w:bidi="ar-SA"/>
        </w:rPr>
        <w:t>Mines Act</w:t>
      </w:r>
      <w:r>
        <w:rPr>
          <w:rFonts w:ascii="arial" w:eastAsia="arial" w:hAnsi="arial" w:cs="arial"/>
          <w:color w:val="000000"/>
          <w:sz w:val="20"/>
          <w:lang w:val="en-US" w:eastAsia="en-US" w:bidi="ar-SA"/>
        </w:rPr>
        <w:t xml:space="preserve"> or the Health, Safety and Reclamation Code for Mines in British Columbia.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36.6 MEMNG was aware of the damage caused by Alan Raven and companies controlled by Alan Raven to Gwininitxw territory and Gwininitxw political structures, but transferred the Tenures to ARR Minerals, knowing it to be a company controlled by Alan Raven, and knowing of the foreseeable risk that Alan Raven and ARR Minerals would continue to cause further damage to Gwininitxw territory and Gwininitxw political structures.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36.7 MEMNG transferred the Tenures to ARR Minerals without requiring the damage to Gwininitxw territory to be remedied, without requiring the remediation work ordered by MEMNG in 2007 and by MFR in 2008 to first be conducted and without requiring ARR Minerals to post an adequate performance bond or requiring ARR Minerals to be placed under the supervision of a third party observer. Furthermore, aside from requiring Alan Raven and ARR Minerals to clean up the work camp after August 12. 2012, MEMNG took no action before or after August of 2012 to require ARR Minerals or Alan Raven to remediate the damage caused by Roxgold and Alan Raven to Gwininitxw territory, including remediation of the network of wide roads on Gwininitxw territory.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36.8 Since 2007, MEMNG has failed to remediate the damage caused to Gwininitxw territory by its tenure holder, failed to impose conditions on the Tenures that will ensure remediation of Gwininitxw territory and failed to redeem the reclamation bond and use the funds to remediate the damage caused to Gwininitxw territory.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In Part 2 of the Amended Claim, at paragraph 58(e) the plaintiffs seek the following relief:</w:t>
      </w:r>
      <w:r>
        <w:rPr>
          <w:rFonts w:ascii="arial" w:eastAsia="arial" w:hAnsi="arial" w:cs="arial"/>
          <w:sz w:val="20"/>
          <w:lang w:val="en-US" w:eastAsia="en-US" w:bidi="ar-SA"/>
        </w:rPr>
        <w:cr/>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permanent, interlocutory and interim injunctions preventing Roxgold, Alan Raven, ARR Minerals or any other company owned or controlled by Alan Raven from engaging in development or exploration activities on or in any other manner interfere with Maxhla Didaat, or, in the alternative, that any permit issued to Alan Raven, ARR Minerals or any other company owned or controlled by Alan Raven be issued on the condition that (a) all specified damage to Gwininitxw territory be remediated prior to the commencement of any work; (b) an adequate reclamation bond be posted prior to the commencement of any work; and (c) all work be supervised by an independent environmental officer who reports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various affidavits filed by the plaintiff in support of its motion to amend and for an injunction all included the following language or language similar to it: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Affidavit is made in support of an application to add ARR and Alan Raven as a defendant to these proceedings and for an injunction requiring the completion of site remediation and posting of an appropriate reclamation bond prior to any further development and construction on Gwininitxw traditional territory.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 have earlier, at paragraph 62 of these reasons for judgment, identified that the plaintiffs also seek a declaration that the authorizations and permits given to ARR are of no force and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Amended Claim does, at paragraph 58(g), seek damages for "physical harm to and loss of use of" the lands claimed by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It is also important to note that the formal position of the Province, as expressed in the Affidavit of Mr. D. Flynn, Senior Inspector of Mines, is that "[t]he progress of the reclamation work at TJ Ridge is satisfactory to MEM, given the current stage of the project" (at para. 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Properly analyzed the plaintiffs seek to contest:</w:t>
      </w:r>
      <w:r>
        <w:rPr>
          <w:rFonts w:ascii="arial" w:eastAsia="arial" w:hAnsi="arial" w:cs="arial"/>
          <w:sz w:val="20"/>
          <w:lang w:val="en-US" w:eastAsia="en-US" w:bidi="ar-SA"/>
        </w:rPr>
        <w:cr/>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initial assignment of the MX Permit and the 2009 Notice of Work Permit to ARR. This is based not only on an allegation of inadequate consultation but also on the inadequacy of the requirements imposed on ARR. The plaintiffs seek to set aside the MX Permit and Notice of Work Permit on this basis;</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ongoing adequacy of the terms, including the adequacy of the reclamation security bond, that were included in the MX Permit. The plaintiffs thus also seek to vary the terms of the MX Permit; and</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MEM's conclusion that ARR's remediation work to date is "satisfactory".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They also advance, as I have said, a claim for damages against both MEM and ARR.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The first two of these issues can be viewed through a constitutional lens and be described and analyzed as a failure to accommodate. As such the comments and analysis in </w:t>
      </w:r>
      <w:r>
        <w:rPr>
          <w:rFonts w:ascii="arial" w:eastAsia="arial" w:hAnsi="arial" w:cs="arial"/>
          <w:i/>
          <w:color w:val="000000"/>
          <w:sz w:val="20"/>
          <w:lang w:val="en-US" w:eastAsia="en-US" w:bidi="ar-SA"/>
        </w:rPr>
        <w:t>Behn SCC</w:t>
      </w:r>
      <w:r>
        <w:rPr>
          <w:rFonts w:ascii="arial" w:eastAsia="arial" w:hAnsi="arial" w:cs="arial"/>
          <w:color w:val="000000"/>
          <w:sz w:val="20"/>
          <w:lang w:val="en-US" w:eastAsia="en-US" w:bidi="ar-SA"/>
        </w:rPr>
        <w:t xml:space="preserve"> and in</w:t>
      </w:r>
      <w:r>
        <w:rPr>
          <w:rFonts w:ascii="arial" w:eastAsia="arial" w:hAnsi="arial" w:cs="arial"/>
          <w:i/>
          <w:color w:val="000000"/>
          <w:sz w:val="20"/>
          <w:lang w:val="en-US" w:eastAsia="en-US" w:bidi="ar-SA"/>
        </w:rPr>
        <w:t xml:space="preserve"> Canadian Forest Products</w:t>
      </w:r>
      <w:r>
        <w:rPr>
          <w:rFonts w:ascii="arial" w:eastAsia="arial" w:hAnsi="arial" w:cs="arial"/>
          <w:color w:val="000000"/>
          <w:sz w:val="20"/>
          <w:lang w:val="en-US" w:eastAsia="en-US" w:bidi="ar-SA"/>
        </w:rPr>
        <w:t xml:space="preserve"> would be directly apposite. So too would be the conclusions I arrived at with respect to the failure to consult on the assignment of the MX Permit and other tenure documents to ARR.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Alternatively the first two of these decisions can be analyzed and addressed in conventional administrative law terms. These first two issues flow directly from the exercise of a "statutory power of decision"; </w:t>
      </w:r>
      <w:r>
        <w:rPr>
          <w:rFonts w:ascii="arial" w:eastAsia="arial" w:hAnsi="arial" w:cs="arial"/>
          <w:i/>
          <w:color w:val="000000"/>
          <w:sz w:val="20"/>
          <w:lang w:val="en-US" w:eastAsia="en-US" w:bidi="ar-SA"/>
        </w:rPr>
        <w:t>Judicial Review Procedure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241</w:t>
      </w:r>
      <w:r>
        <w:rPr>
          <w:rFonts w:ascii="arial" w:eastAsia="arial" w:hAnsi="arial" w:cs="arial"/>
          <w:color w:val="000000"/>
          <w:sz w:val="20"/>
          <w:lang w:val="en-US" w:eastAsia="en-US" w:bidi="ar-SA"/>
        </w:rPr>
        <w:t xml:space="preserve"> ("JRPA"), s.1. They deal with the validity or sufficiency of a formal decision that MEM has made where that decision is readily apparent.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Section 12 of the </w:t>
      </w:r>
      <w:r>
        <w:rPr>
          <w:rFonts w:ascii="arial" w:eastAsia="arial" w:hAnsi="arial" w:cs="arial"/>
          <w:i/>
          <w:color w:val="000000"/>
          <w:sz w:val="20"/>
          <w:lang w:val="en-US" w:eastAsia="en-US" w:bidi="ar-SA"/>
        </w:rPr>
        <w:t>Mineral Tenure Act Regulation</w:t>
      </w:r>
      <w:r>
        <w:rPr>
          <w:rFonts w:ascii="arial" w:eastAsia="arial" w:hAnsi="arial" w:cs="arial"/>
          <w:color w:val="000000"/>
          <w:sz w:val="20"/>
          <w:lang w:val="en-US" w:eastAsia="en-US" w:bidi="ar-SA"/>
        </w:rPr>
        <w:t xml:space="preserve">, </w:t>
      </w:r>
      <w:hyperlink r:id="rId614" w:history="1">
        <w:r>
          <w:rPr>
            <w:rFonts w:ascii="arial" w:eastAsia="arial" w:hAnsi="arial" w:cs="arial"/>
            <w:i/>
            <w:color w:val="0077CC"/>
            <w:sz w:val="20"/>
            <w:u w:val="single"/>
            <w:shd w:val="clear" w:color="auto" w:fill="FFFFFF"/>
            <w:lang w:val="en-US" w:eastAsia="en-US" w:bidi="ar-SA"/>
          </w:rPr>
          <w:t>B.C. Reg. 529/2004</w:t>
        </w:r>
      </w:hyperlink>
      <w:r>
        <w:rPr>
          <w:rFonts w:ascii="arial" w:eastAsia="arial" w:hAnsi="arial" w:cs="arial"/>
          <w:color w:val="000000"/>
          <w:sz w:val="20"/>
          <w:lang w:val="en-US" w:eastAsia="en-US" w:bidi="ar-SA"/>
        </w:rPr>
        <w:t xml:space="preserve"> deals with transferring ownership of mineral titles.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Mines Act</w:t>
      </w:r>
      <w:r>
        <w:rPr>
          <w:rFonts w:ascii="arial" w:eastAsia="arial" w:hAnsi="arial" w:cs="arial"/>
          <w:color w:val="000000"/>
          <w:sz w:val="20"/>
          <w:lang w:val="en-US" w:eastAsia="en-US" w:bidi="ar-SA"/>
        </w:rPr>
        <w:t xml:space="preserve">, </w:t>
      </w:r>
      <w:hyperlink r:id="rId585" w:history="1">
        <w:r>
          <w:rPr>
            <w:rFonts w:ascii="arial" w:eastAsia="arial" w:hAnsi="arial" w:cs="arial"/>
            <w:i/>
            <w:color w:val="0077CC"/>
            <w:sz w:val="20"/>
            <w:u w:val="single"/>
            <w:shd w:val="clear" w:color="auto" w:fill="FFFFFF"/>
            <w:lang w:val="en-US" w:eastAsia="en-US" w:bidi="ar-SA"/>
          </w:rPr>
          <w:t>R.S.B.C. 1996, c. 293 s. 10</w:t>
        </w:r>
      </w:hyperlink>
      <w:r>
        <w:rPr>
          <w:rFonts w:ascii="arial" w:eastAsia="arial" w:hAnsi="arial" w:cs="arial"/>
          <w:color w:val="000000"/>
          <w:sz w:val="20"/>
          <w:lang w:val="en-US" w:eastAsia="en-US" w:bidi="ar-SA"/>
        </w:rPr>
        <w:t xml:space="preserve"> deals with the issuance of permits. The following subsections of section 10 are particularly salient:</w:t>
      </w:r>
      <w:r>
        <w:rPr>
          <w:rFonts w:ascii="arial" w:eastAsia="arial" w:hAnsi="arial" w:cs="arial"/>
          <w:sz w:val="20"/>
          <w:lang w:val="en-US" w:eastAsia="en-US" w:bidi="ar-SA"/>
        </w:rPr>
        <w:cr/>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Before starting any work in, on or about a mine, the owner, agent, manager or any other person must hold a permit issued by the chief inspector and, as part of the application for the permit, there must be filed with an inspector a plan outlining the details of the proposed work and a program for the conservation of cultural heritage resources and for the protection and reclamation of the land, watercourses and cultural heritage resources affected by the mine, including the information, particulars and maps established by the regulations or the code.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chief inspector considers the application for a permit is satisfactory the chief inspector may issue the permit, and the permit may contain conditions that the chief inspector considers necessary.</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chief inspector may, as a condition of issuing a permit under subsection (3), require that the owner, agent, manager or permittee give security in the amount and form, and subject to conditions, specified by the chief inspector</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mine reclamation, and</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provide for protection of, and mitigation of damage to, watercourses and cultural heritage resources affected by the mine.</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required by the chief inspector, the owner, agent, manager or permittee, in each year, must deposit security in an amount and form satisfactory to the chief inspector so that, together with the deposit under subsection (4) and calculated over the estimated life of the mine, there will be money necessary to perform and carry out properly</w:t>
      </w:r>
    </w:p>
    <w:p>
      <w:pPr>
        <w:numPr>
          <w:numId w:val="3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all the conditions of the permit relating to the matters referred to in subsection (4) at the proper time, and</w:t>
      </w:r>
    </w:p>
    <w:p>
      <w:pPr>
        <w:numPr>
          <w:numId w:val="3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all the orders and directions of the chief inspector or an inspector respecting the fulfillment of the conditions relating to the matters referred to in subsection (4).</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owner, agent, manager or permittee fails to perform and complete the program for reclamation or comply with the conditions of the permit to the satisfaction of the chief inspector, the chief inspector, after giving notice to remedy the failure, may do one or more of the following:</w:t>
      </w:r>
    </w:p>
    <w:p>
      <w:pPr>
        <w:numPr>
          <w:numId w:val="3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order the owner, agent, manager or permittee to stop the mining operation;</w:t>
      </w:r>
    </w:p>
    <w:p>
      <w:pPr>
        <w:numPr>
          <w:numId w:val="3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apply all or part of the security toward payment of the cost of the work required to be performed or completed;</w:t>
      </w:r>
    </w:p>
    <w:p>
      <w:pPr>
        <w:numPr>
          <w:numId w:val="3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close the mine;</w:t>
      </w:r>
    </w:p>
    <w:p>
      <w:pPr>
        <w:numPr>
          <w:numId w:val="3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cancel the permit.</w:t>
      </w:r>
    </w:p>
    <w:p>
      <w:pPr>
        <w:numPr>
          <w:numId w:val="3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owner, agent, manager or permittee must</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hold and maintain a permit for the mine,</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ensure that no work takes place in, on or about the mine, except under and in accordance with a permit, and</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comply with all the conditions of the permit.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 note that under the </w:t>
      </w:r>
      <w:r>
        <w:rPr>
          <w:rFonts w:ascii="arial" w:eastAsia="arial" w:hAnsi="arial" w:cs="arial"/>
          <w:i/>
          <w:color w:val="000000"/>
          <w:sz w:val="20"/>
          <w:lang w:val="en-US" w:eastAsia="en-US" w:bidi="ar-SA"/>
        </w:rPr>
        <w:t>Mines Act</w:t>
      </w:r>
      <w:r>
        <w:rPr>
          <w:rFonts w:ascii="arial" w:eastAsia="arial" w:hAnsi="arial" w:cs="arial"/>
          <w:color w:val="000000"/>
          <w:sz w:val="20"/>
          <w:lang w:val="en-US" w:eastAsia="en-US" w:bidi="ar-SA"/>
        </w:rPr>
        <w:t xml:space="preserve">, the term "mine" is given a broad definition and relates to a variety of activities including "exploratory drilling, excavation, processing, concentrating, waste disposal and site reclamation" (s. 1 of the </w:t>
      </w:r>
      <w:r>
        <w:rPr>
          <w:rFonts w:ascii="arial" w:eastAsia="arial" w:hAnsi="arial" w:cs="arial"/>
          <w:i/>
          <w:color w:val="000000"/>
          <w:sz w:val="20"/>
          <w:lang w:val="en-US" w:eastAsia="en-US" w:bidi="ar-SA"/>
        </w:rPr>
        <w:t>Mines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It seems clear that many of the concerns raised by the plaintiffs, in relation to the first two categories of issue I have identified, arise directly from the validity or appropriateness of the decisions made by MEM under section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The third issue, whether ARR has properly complied with the obligations required of it or, more specifically, MEM's conclusion that ARR's performance is satisfactory, involves the exercise of a "statutory power" but that exercise did not give rise to any formal order or decision. A "statutory power" is defined in s. 1 of the </w:t>
      </w:r>
      <w:r>
        <w:rPr>
          <w:rFonts w:ascii="arial" w:eastAsia="arial" w:hAnsi="arial" w:cs="arial"/>
          <w:i/>
          <w:color w:val="000000"/>
          <w:sz w:val="20"/>
          <w:lang w:val="en-US" w:eastAsia="en-US" w:bidi="ar-SA"/>
        </w:rPr>
        <w:t>JRPA</w:t>
      </w:r>
      <w:r>
        <w:rPr>
          <w:rFonts w:ascii="arial" w:eastAsia="arial" w:hAnsi="arial" w:cs="arial"/>
          <w:color w:val="000000"/>
          <w:sz w:val="20"/>
          <w:lang w:val="en-US" w:eastAsia="en-US" w:bidi="ar-SA"/>
        </w:rPr>
        <w:t xml:space="preserve"> to include,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"statutory power"</w:t>
      </w:r>
      <w:r>
        <w:rPr>
          <w:rFonts w:ascii="arial" w:eastAsia="arial" w:hAnsi="arial" w:cs="arial"/>
          <w:color w:val="000000"/>
          <w:sz w:val="20"/>
          <w:lang w:val="en-US" w:eastAsia="en-US" w:bidi="ar-SA"/>
        </w:rPr>
        <w:t xml:space="preserve"> means a power or right conferred by an enactment</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make a regulation, rule, bylaw or order,</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exercise a statutory power of decision,</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require a person to do or to refrain from doing an act or thing that, but for that requirement, the person would not be required by law to do or to refrain from doing,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Under the </w:t>
      </w:r>
      <w:r>
        <w:rPr>
          <w:rFonts w:ascii="arial" w:eastAsia="arial" w:hAnsi="arial" w:cs="arial"/>
          <w:i/>
          <w:color w:val="000000"/>
          <w:sz w:val="20"/>
          <w:lang w:val="en-US" w:eastAsia="en-US" w:bidi="ar-SA"/>
        </w:rPr>
        <w:t>Mines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inspectors have the power to inspect a mine at any time to ensure compliance with,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Mines Act</w:t>
      </w:r>
      <w:r>
        <w:rPr>
          <w:rFonts w:ascii="arial" w:eastAsia="arial" w:hAnsi="arial" w:cs="arial"/>
          <w:color w:val="000000"/>
          <w:sz w:val="20"/>
          <w:lang w:val="en-US" w:eastAsia="en-US" w:bidi="ar-SA"/>
        </w:rPr>
        <w:t xml:space="preserve"> and the Code (s. 15(1)(a)), and can order remedial action if a contravention exists (s. 15(4.1)). Neither the</w:t>
      </w:r>
      <w:r>
        <w:rPr>
          <w:rFonts w:ascii="arial" w:eastAsia="arial" w:hAnsi="arial" w:cs="arial"/>
          <w:i/>
          <w:color w:val="000000"/>
          <w:sz w:val="20"/>
          <w:lang w:val="en-US" w:eastAsia="en-US" w:bidi="ar-SA"/>
        </w:rPr>
        <w:t xml:space="preserve"> Mines Act</w:t>
      </w:r>
      <w:r>
        <w:rPr>
          <w:rFonts w:ascii="arial" w:eastAsia="arial" w:hAnsi="arial" w:cs="arial"/>
          <w:color w:val="000000"/>
          <w:sz w:val="20"/>
          <w:lang w:val="en-US" w:eastAsia="en-US" w:bidi="ar-SA"/>
        </w:rPr>
        <w:t xml:space="preserve"> nor the Code mandate regular inspections by inspectors, though the </w:t>
      </w:r>
      <w:r>
        <w:rPr>
          <w:rFonts w:ascii="arial" w:eastAsia="arial" w:hAnsi="arial" w:cs="arial"/>
          <w:i/>
          <w:color w:val="000000"/>
          <w:sz w:val="20"/>
          <w:lang w:val="en-US" w:eastAsia="en-US" w:bidi="ar-SA"/>
        </w:rPr>
        <w:t>Mines Regulation,</w:t>
      </w:r>
      <w:r>
        <w:rPr>
          <w:rFonts w:ascii="arial" w:eastAsia="arial" w:hAnsi="arial" w:cs="arial"/>
          <w:color w:val="000000"/>
          <w:sz w:val="20"/>
          <w:lang w:val="en-US" w:eastAsia="en-US" w:bidi="ar-SA"/>
        </w:rPr>
        <w:t xml:space="preserve"> </w:t>
      </w:r>
      <w:hyperlink r:id="rId615" w:history="1">
        <w:r>
          <w:rPr>
            <w:rFonts w:ascii="arial" w:eastAsia="arial" w:hAnsi="arial" w:cs="arial"/>
            <w:i/>
            <w:color w:val="0077CC"/>
            <w:sz w:val="20"/>
            <w:u w:val="single"/>
            <w:shd w:val="clear" w:color="auto" w:fill="FFFFFF"/>
            <w:lang w:val="en-US" w:eastAsia="en-US" w:bidi="ar-SA"/>
          </w:rPr>
          <w:t>B.C. Reg. 126/94</w:t>
        </w:r>
      </w:hyperlink>
      <w:r>
        <w:rPr>
          <w:rFonts w:ascii="arial" w:eastAsia="arial" w:hAnsi="arial" w:cs="arial"/>
          <w:color w:val="000000"/>
          <w:sz w:val="20"/>
          <w:lang w:val="en-US" w:eastAsia="en-US" w:bidi="ar-SA"/>
        </w:rPr>
        <w:t xml:space="preserve"> provides that an inspector may investigate, during the exploration, development, operation, closure, or abandonment of a mine, any matter relating to the health and safety of any person or the public, including investigations with respect to complaints or allegations relating to health or safety (s. 1(d)).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Section 35 of the </w:t>
      </w:r>
      <w:r>
        <w:rPr>
          <w:rFonts w:ascii="arial" w:eastAsia="arial" w:hAnsi="arial" w:cs="arial"/>
          <w:i/>
          <w:color w:val="000000"/>
          <w:sz w:val="20"/>
          <w:lang w:val="en-US" w:eastAsia="en-US" w:bidi="ar-SA"/>
        </w:rPr>
        <w:t>Mines Act</w:t>
      </w:r>
      <w:r>
        <w:rPr>
          <w:rFonts w:ascii="arial" w:eastAsia="arial" w:hAnsi="arial" w:cs="arial"/>
          <w:color w:val="000000"/>
          <w:sz w:val="20"/>
          <w:lang w:val="en-US" w:eastAsia="en-US" w:bidi="ar-SA"/>
        </w:rPr>
        <w:t xml:space="preserve"> addresses enforcement of the </w:t>
      </w:r>
      <w:r>
        <w:rPr>
          <w:rFonts w:ascii="arial" w:eastAsia="arial" w:hAnsi="arial" w:cs="arial"/>
          <w:i/>
          <w:color w:val="000000"/>
          <w:sz w:val="20"/>
          <w:lang w:val="en-US" w:eastAsia="en-US" w:bidi="ar-SA"/>
        </w:rPr>
        <w:t>Mines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and any of its ancillary enactments or orders. Pursuant to s. 35(1), if an inspector finds that a mine is not being operated in accordance with the </w:t>
      </w:r>
      <w:r>
        <w:rPr>
          <w:rFonts w:ascii="arial" w:eastAsia="arial" w:hAnsi="arial" w:cs="arial"/>
          <w:i/>
          <w:color w:val="000000"/>
          <w:sz w:val="20"/>
          <w:lang w:val="en-US" w:eastAsia="en-US" w:bidi="ar-SA"/>
        </w:rPr>
        <w:t>Mines Act,</w:t>
      </w:r>
      <w:r>
        <w:rPr>
          <w:rFonts w:ascii="arial" w:eastAsia="arial" w:hAnsi="arial" w:cs="arial"/>
          <w:color w:val="000000"/>
          <w:sz w:val="20"/>
          <w:lang w:val="en-US" w:eastAsia="en-US" w:bidi="ar-SA"/>
        </w:rPr>
        <w:t xml:space="preserve"> any regulations, the Code, a permit, or an order made pursuant to an inspection, the inspector can order compliance. If an inspector's order under s. 35(1) is not complied with, s. 35(2) gives an inspector the power to apply directly to the Supreme Court for an order directing compliance.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Section 33(1) of the </w:t>
      </w:r>
      <w:r>
        <w:rPr>
          <w:rFonts w:ascii="arial" w:eastAsia="arial" w:hAnsi="arial" w:cs="arial"/>
          <w:i/>
          <w:color w:val="000000"/>
          <w:sz w:val="20"/>
          <w:lang w:val="en-US" w:eastAsia="en-US" w:bidi="ar-SA"/>
        </w:rPr>
        <w:t>Mines Act</w:t>
      </w:r>
      <w:r>
        <w:rPr>
          <w:rFonts w:ascii="arial" w:eastAsia="arial" w:hAnsi="arial" w:cs="arial"/>
          <w:color w:val="000000"/>
          <w:sz w:val="20"/>
          <w:lang w:val="en-US" w:eastAsia="en-US" w:bidi="ar-SA"/>
        </w:rPr>
        <w:t xml:space="preserve"> provides that "any person adversely affected" by a decision, order, or ruling of an inspector may make an appeal in writing to the Chief Inspector of Mines within 30 days. The term "person" is not defined in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and therefore the broad definition of "person" set out in s. 29 of the </w:t>
      </w:r>
      <w:r>
        <w:rPr>
          <w:rFonts w:ascii="arial" w:eastAsia="arial" w:hAnsi="arial" w:cs="arial"/>
          <w:i/>
          <w:color w:val="000000"/>
          <w:sz w:val="20"/>
          <w:lang w:val="en-US" w:eastAsia="en-US" w:bidi="ar-SA"/>
        </w:rPr>
        <w:t>Interpretation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238</w:t>
      </w:r>
      <w:r>
        <w:rPr>
          <w:rFonts w:ascii="arial" w:eastAsia="arial" w:hAnsi="arial" w:cs="arial"/>
          <w:color w:val="000000"/>
          <w:sz w:val="20"/>
          <w:lang w:val="en-US" w:eastAsia="en-US" w:bidi="ar-SA"/>
        </w:rPr>
        <w:t>, applies.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ml:space="preserve">  Formal orders under s. 35(1) of the </w:t>
      </w:r>
      <w:r>
        <w:rPr>
          <w:rFonts w:ascii="arial" w:eastAsia="arial" w:hAnsi="arial" w:cs="arial"/>
          <w:i/>
          <w:color w:val="000000"/>
          <w:sz w:val="20"/>
          <w:lang w:val="en-US" w:eastAsia="en-US" w:bidi="ar-SA"/>
        </w:rPr>
        <w:t>Mines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are only made in cases of non-compliance. It is not clear, on the record before me, when or on what basis MEM determined that ARR's performance was "satisfactory". Nevertheless, that conclusion is one that is subject to judicial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The basis of that review would depend on the theory advanced by the plaintiffs. Before me it was argued that representatives of MEM and ARR were somehow involved improperly with each other. The Amended Claim (at paras. 52-56) makes allegations of serious wrongdoing against MEM representatives. In para. 56, those allegations are extended to Mr. Flynn. Such allegations, if supported, can underlie a claim of bias which, in turn, can be advanced by way of judicial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If the allegation is that the appropriate MEM representatives failed to properly exercise the statutory powers which arise under s. 15 or s. 35(1) of the </w:t>
      </w:r>
      <w:r>
        <w:rPr>
          <w:rFonts w:ascii="arial" w:eastAsia="arial" w:hAnsi="arial" w:cs="arial"/>
          <w:i/>
          <w:color w:val="000000"/>
          <w:sz w:val="20"/>
          <w:lang w:val="en-US" w:eastAsia="en-US" w:bidi="ar-SA"/>
        </w:rPr>
        <w:t>Mines Act,</w:t>
      </w:r>
      <w:r>
        <w:rPr>
          <w:rFonts w:ascii="arial" w:eastAsia="arial" w:hAnsi="arial" w:cs="arial"/>
          <w:color w:val="000000"/>
          <w:sz w:val="20"/>
          <w:lang w:val="en-US" w:eastAsia="en-US" w:bidi="ar-SA"/>
        </w:rPr>
        <w:t xml:space="preserve"> it may be open to the plaintiffs to seek mandamus. Mandamus lies to compel the performance of a public duty. That public duty must arise from statute or common law or in some other manner. Mandamus does not permit interference with a properly exercised discretion. Instead, the </w:t>
      </w:r>
      <w:r>
        <w:rPr>
          <w:rFonts w:ascii="arial" w:eastAsia="arial" w:hAnsi="arial" w:cs="arial"/>
          <w:i/>
          <w:color w:val="000000"/>
          <w:sz w:val="20"/>
          <w:lang w:val="en-US" w:eastAsia="en-US" w:bidi="ar-SA"/>
        </w:rPr>
        <w:t>JRPA</w:t>
      </w:r>
      <w:r>
        <w:rPr>
          <w:rFonts w:ascii="arial" w:eastAsia="arial" w:hAnsi="arial" w:cs="arial"/>
          <w:color w:val="000000"/>
          <w:sz w:val="20"/>
          <w:lang w:val="en-US" w:eastAsia="en-US" w:bidi="ar-SA"/>
        </w:rPr>
        <w:t xml:space="preserve"> and the remedy are intended to secure the proper, honest and good faith exercise of a discretion: </w:t>
      </w:r>
      <w:r>
        <w:rPr>
          <w:rFonts w:ascii="arial" w:eastAsia="arial" w:hAnsi="arial" w:cs="arial"/>
          <w:i/>
          <w:color w:val="000000"/>
          <w:sz w:val="20"/>
          <w:lang w:val="en-US" w:eastAsia="en-US" w:bidi="ar-SA"/>
        </w:rPr>
        <w:t>Sunshine Valley Co-op Soc. v. Grand Forks (1948)</w:t>
      </w:r>
      <w:r>
        <w:rPr>
          <w:rFonts w:ascii="arial" w:eastAsia="arial" w:hAnsi="arial" w:cs="arial"/>
          <w:color w:val="000000"/>
          <w:sz w:val="20"/>
          <w:lang w:val="en-US" w:eastAsia="en-US" w:bidi="ar-SA"/>
        </w:rPr>
        <w:t xml:space="preserve">, </w:t>
      </w:r>
      <w:hyperlink r:id="rId616" w:history="1">
        <w:r>
          <w:rPr>
            <w:rFonts w:ascii="arial" w:eastAsia="arial" w:hAnsi="arial" w:cs="arial"/>
            <w:i/>
            <w:color w:val="0077CC"/>
            <w:sz w:val="20"/>
            <w:u w:val="single"/>
            <w:shd w:val="clear" w:color="auto" w:fill="FFFFFF"/>
            <w:lang w:val="en-US" w:eastAsia="en-US" w:bidi="ar-SA"/>
          </w:rPr>
          <w:t>[1949] 2 D.L.R. 51</w:t>
        </w:r>
      </w:hyperlink>
      <w:r>
        <w:rPr>
          <w:rFonts w:ascii="arial" w:eastAsia="arial" w:hAnsi="arial" w:cs="arial"/>
          <w:color w:val="000000"/>
          <w:sz w:val="20"/>
          <w:lang w:val="en-US" w:eastAsia="en-US" w:bidi="ar-SA"/>
        </w:rPr>
        <w:t xml:space="preserve"> at 54, </w:t>
      </w:r>
      <w:hyperlink r:id="rId616" w:history="1">
        <w:r>
          <w:rPr>
            <w:rFonts w:ascii="arial" w:eastAsia="arial" w:hAnsi="arial" w:cs="arial"/>
            <w:i/>
            <w:color w:val="0077CC"/>
            <w:sz w:val="20"/>
            <w:u w:val="single"/>
            <w:shd w:val="clear" w:color="auto" w:fill="FFFFFF"/>
            <w:lang w:val="en-US" w:eastAsia="en-US" w:bidi="ar-SA"/>
          </w:rPr>
          <w:t>[1948] B.C.J. No. 103</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 fact that it is the plaintiffs' concerns with the sufficiency of the Crown's activities that dominate these claims is also apparent if one examines the plaintiffs' theory of its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The plaintiffs accept that if ARR adhered to the terms of the authorizations provided to it as well as to the relevant regulatory regime, no cause of action in trespass, nuisance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would lie against it. The Crown or its agents, charged under the </w:t>
      </w:r>
      <w:r>
        <w:rPr>
          <w:rFonts w:ascii="arial" w:eastAsia="arial" w:hAnsi="arial" w:cs="arial"/>
          <w:i/>
          <w:color w:val="000000"/>
          <w:sz w:val="20"/>
          <w:lang w:val="en-US" w:eastAsia="en-US" w:bidi="ar-SA"/>
        </w:rPr>
        <w:t>Mines Act</w:t>
      </w:r>
      <w:r>
        <w:rPr>
          <w:rFonts w:ascii="arial" w:eastAsia="arial" w:hAnsi="arial" w:cs="arial"/>
          <w:color w:val="000000"/>
          <w:sz w:val="20"/>
          <w:lang w:val="en-US" w:eastAsia="en-US" w:bidi="ar-SA"/>
        </w:rPr>
        <w:t xml:space="preserve"> with overseeing such compliance, is satisfied with ARR's performance. It is that conclusion, at bottom, which the plaintiffs challenge.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The fact that no formal order has been made directly against the plaintiffs does not detract from the foregoing conclusions. The Court of Appeal in </w:t>
      </w:r>
      <w:r>
        <w:rPr>
          <w:rFonts w:ascii="arial" w:eastAsia="arial" w:hAnsi="arial" w:cs="arial"/>
          <w:i/>
          <w:color w:val="000000"/>
          <w:sz w:val="20"/>
          <w:lang w:val="en-US" w:eastAsia="en-US" w:bidi="ar-SA"/>
        </w:rPr>
        <w:t>Moulton Contracting Ltd. v. Behn</w:t>
      </w:r>
      <w:r>
        <w:rPr>
          <w:rFonts w:ascii="arial" w:eastAsia="arial" w:hAnsi="arial" w:cs="arial"/>
          <w:color w:val="000000"/>
          <w:sz w:val="20"/>
          <w:lang w:val="en-US" w:eastAsia="en-US" w:bidi="ar-SA"/>
        </w:rPr>
        <w:t xml:space="preserve">, </w:t>
      </w:r>
      <w:hyperlink r:id="rId617" w:history="1">
        <w:r>
          <w:rPr>
            <w:rFonts w:ascii="arial" w:eastAsia="arial" w:hAnsi="arial" w:cs="arial"/>
            <w:i/>
            <w:color w:val="0077CC"/>
            <w:sz w:val="20"/>
            <w:u w:val="single"/>
            <w:shd w:val="clear" w:color="auto" w:fill="FFFFFF"/>
            <w:lang w:val="en-US" w:eastAsia="en-US" w:bidi="ar-SA"/>
          </w:rPr>
          <w:t>2011 BCCA 311</w:t>
        </w:r>
      </w:hyperlink>
      <w:r>
        <w:rPr>
          <w:rFonts w:ascii="arial" w:eastAsia="arial" w:hAnsi="arial" w:cs="arial"/>
          <w:color w:val="000000"/>
          <w:sz w:val="20"/>
          <w:lang w:val="en-US" w:eastAsia="en-US" w:bidi="ar-SA"/>
        </w:rPr>
        <w:t xml:space="preserve">, rejected the appellant's arguments that collateral attack principles did not apply to them because they were not parties to, or bound by, the statutory decision they challenged. Madam Justice Saunders accepted at para. 57, that "normally it </w:t>
      </w:r>
      <w:r>
        <w:rPr>
          <w:rFonts w:ascii="arial" w:eastAsia="arial" w:hAnsi="arial" w:cs="arial"/>
          <w:color w:val="000000"/>
          <w:sz w:val="20"/>
          <w:u w:val="single"/>
          <w:lang w:val="en-US" w:eastAsia="en-US" w:bidi="ar-SA"/>
        </w:rPr>
        <w:t>is</w:t>
      </w:r>
      <w:r>
        <w:rPr>
          <w:rFonts w:ascii="arial" w:eastAsia="arial" w:hAnsi="arial" w:cs="arial"/>
          <w:color w:val="000000"/>
          <w:sz w:val="20"/>
          <w:lang w:val="en-US" w:eastAsia="en-US" w:bidi="ar-SA"/>
        </w:rPr>
        <w:t xml:space="preserve"> the party against whom the order is made that is said to be engaging in a collateral attack" (emphasis in original). She concluded, however, that the appellants were part of a collective who "could have challenged the decision, but did not" (at para. 57). The same conclusions pertain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Furthermore, no issue of standing exists. I say this partly because it was the Crown, before me, that argued that these matters should be advanced by judicial review. It would not be open to the Crown to thereafter argue that the plaintiffs lacked the standing to seek judicial review. More importantly, and on a principled basis, there are numerous cases which confirm that a party not formally named in an order or a decision, but nevertheless whose personal rights are at stake or who were specially affected by that order or decision, may have the standing to bring a judicial review proceeding; see for example (</w:t>
      </w:r>
      <w:r>
        <w:rPr>
          <w:rFonts w:ascii="arial" w:eastAsia="arial" w:hAnsi="arial" w:cs="arial"/>
          <w:i/>
          <w:color w:val="000000"/>
          <w:sz w:val="20"/>
          <w:lang w:val="en-US" w:eastAsia="en-US" w:bidi="ar-SA"/>
        </w:rPr>
        <w:t>Canada (AG) v. Downtown Eastside Sex Workers United Against Violence Society,</w:t>
      </w:r>
      <w:r>
        <w:rPr>
          <w:rFonts w:ascii="arial" w:eastAsia="arial" w:hAnsi="arial" w:cs="arial"/>
          <w:color w:val="000000"/>
          <w:sz w:val="20"/>
          <w:lang w:val="en-US" w:eastAsia="en-US" w:bidi="ar-SA"/>
        </w:rPr>
        <w:t xml:space="preserve"> </w:t>
      </w:r>
      <w:hyperlink r:id="rId618" w:history="1">
        <w:r>
          <w:rPr>
            <w:rFonts w:ascii="arial" w:eastAsia="arial" w:hAnsi="arial" w:cs="arial"/>
            <w:i/>
            <w:color w:val="0077CC"/>
            <w:sz w:val="20"/>
            <w:u w:val="single"/>
            <w:shd w:val="clear" w:color="auto" w:fill="FFFFFF"/>
            <w:lang w:val="en-US" w:eastAsia="en-US" w:bidi="ar-SA"/>
          </w:rPr>
          <w:t>2012 SCC 45</w:t>
        </w:r>
      </w:hyperlink>
      <w:r>
        <w:rPr>
          <w:rFonts w:ascii="arial" w:eastAsia="arial" w:hAnsi="arial" w:cs="arial"/>
          <w:color w:val="000000"/>
          <w:sz w:val="20"/>
          <w:lang w:val="en-US" w:eastAsia="en-US" w:bidi="ar-SA"/>
        </w:rPr>
        <w:t xml:space="preserve"> at para. 1; </w:t>
      </w:r>
      <w:r>
        <w:rPr>
          <w:rFonts w:ascii="arial" w:eastAsia="arial" w:hAnsi="arial" w:cs="arial"/>
          <w:i/>
          <w:color w:val="000000"/>
          <w:sz w:val="20"/>
          <w:lang w:val="en-US" w:eastAsia="en-US" w:bidi="ar-SA"/>
        </w:rPr>
        <w:t>Finlay v. Canada,</w:t>
      </w:r>
      <w:r>
        <w:rPr>
          <w:rFonts w:ascii="arial" w:eastAsia="arial" w:hAnsi="arial" w:cs="arial"/>
          <w:color w:val="000000"/>
          <w:sz w:val="20"/>
          <w:lang w:val="en-US" w:eastAsia="en-US" w:bidi="ar-SA"/>
        </w:rPr>
        <w:t xml:space="preserve"> </w:t>
      </w:r>
      <w:hyperlink r:id="rId619" w:history="1">
        <w:r>
          <w:rPr>
            <w:rFonts w:ascii="arial" w:eastAsia="arial" w:hAnsi="arial" w:cs="arial"/>
            <w:i/>
            <w:color w:val="0077CC"/>
            <w:sz w:val="20"/>
            <w:u w:val="single"/>
            <w:shd w:val="clear" w:color="auto" w:fill="FFFFFF"/>
            <w:lang w:val="en-US" w:eastAsia="en-US" w:bidi="ar-SA"/>
          </w:rPr>
          <w:t>[1986] 2 S.C.R. 607</w:t>
        </w:r>
      </w:hyperlink>
      <w:r>
        <w:rPr>
          <w:rFonts w:ascii="arial" w:eastAsia="arial" w:hAnsi="arial" w:cs="arial"/>
          <w:color w:val="000000"/>
          <w:sz w:val="20"/>
          <w:lang w:val="en-US" w:eastAsia="en-US" w:bidi="ar-SA"/>
        </w:rPr>
        <w:t xml:space="preserve"> at paras. 18-19; </w:t>
      </w:r>
      <w:r>
        <w:rPr>
          <w:rFonts w:ascii="arial" w:eastAsia="arial" w:hAnsi="arial" w:cs="arial"/>
          <w:i/>
          <w:color w:val="000000"/>
          <w:sz w:val="20"/>
          <w:lang w:val="en-US" w:eastAsia="en-US" w:bidi="ar-SA"/>
        </w:rPr>
        <w:t>Dragonwood Enterprises Ltd. v. Burnaby (City ),</w:t>
      </w:r>
      <w:r>
        <w:rPr>
          <w:rFonts w:ascii="arial" w:eastAsia="arial" w:hAnsi="arial" w:cs="arial"/>
          <w:color w:val="000000"/>
          <w:sz w:val="20"/>
          <w:lang w:val="en-US" w:eastAsia="en-US" w:bidi="ar-SA"/>
        </w:rPr>
        <w:t xml:space="preserve"> </w:t>
      </w:r>
      <w:hyperlink r:id="rId620" w:history="1">
        <w:r>
          <w:rPr>
            <w:rFonts w:ascii="arial" w:eastAsia="arial" w:hAnsi="arial" w:cs="arial"/>
            <w:i/>
            <w:color w:val="0077CC"/>
            <w:sz w:val="20"/>
            <w:u w:val="single"/>
            <w:shd w:val="clear" w:color="auto" w:fill="FFFFFF"/>
            <w:lang w:val="en-US" w:eastAsia="en-US" w:bidi="ar-SA"/>
          </w:rPr>
          <w:t>2009 BCSC 1236</w:t>
        </w:r>
      </w:hyperlink>
      <w:r>
        <w:rPr>
          <w:rFonts w:ascii="arial" w:eastAsia="arial" w:hAnsi="arial" w:cs="arial"/>
          <w:color w:val="000000"/>
          <w:sz w:val="20"/>
          <w:lang w:val="en-US" w:eastAsia="en-US" w:bidi="ar-SA"/>
        </w:rPr>
        <w:t xml:space="preserve">, where this court found that the petitioners had standing to seek judicial review of the business license applications of third parties; </w:t>
      </w:r>
      <w:r>
        <w:rPr>
          <w:rFonts w:ascii="arial" w:eastAsia="arial" w:hAnsi="arial" w:cs="arial"/>
          <w:i/>
          <w:color w:val="000000"/>
          <w:sz w:val="20"/>
          <w:lang w:val="en-US" w:eastAsia="en-US" w:bidi="ar-SA"/>
        </w:rPr>
        <w:t>Woodman v. Capital (Regional District),</w:t>
      </w:r>
      <w:r>
        <w:rPr>
          <w:rFonts w:ascii="arial" w:eastAsia="arial" w:hAnsi="arial" w:cs="arial"/>
          <w:color w:val="000000"/>
          <w:sz w:val="20"/>
          <w:lang w:val="en-US" w:eastAsia="en-US" w:bidi="ar-SA"/>
        </w:rPr>
        <w:t xml:space="preserve"> </w:t>
      </w:r>
      <w:hyperlink r:id="rId621" w:history="1">
        <w:r>
          <w:rPr>
            <w:rFonts w:ascii="arial" w:eastAsia="arial" w:hAnsi="arial" w:cs="arial"/>
            <w:i/>
            <w:color w:val="0077CC"/>
            <w:sz w:val="20"/>
            <w:u w:val="single"/>
            <w:shd w:val="clear" w:color="auto" w:fill="FFFFFF"/>
            <w:lang w:val="en-US" w:eastAsia="en-US" w:bidi="ar-SA"/>
          </w:rPr>
          <w:t>[1999] B.C.J. No. 2262</w:t>
        </w:r>
      </w:hyperlink>
      <w:r>
        <w:rPr>
          <w:rFonts w:ascii="arial" w:eastAsia="arial" w:hAnsi="arial" w:cs="arial"/>
          <w:color w:val="000000"/>
          <w:sz w:val="20"/>
          <w:lang w:val="en-US" w:eastAsia="en-US" w:bidi="ar-SA"/>
        </w:rPr>
        <w:t xml:space="preserve"> where the petitioner was granted standing to challenge the use of residential land as its immediate neighbour.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xml:space="preserve">  Finally, I consider that the various salutary objectives that are advanced by the doctrine of collateral attack, some of which are identified in each of </w:t>
      </w:r>
      <w:r>
        <w:rPr>
          <w:rFonts w:ascii="arial" w:eastAsia="arial" w:hAnsi="arial" w:cs="arial"/>
          <w:i/>
          <w:color w:val="000000"/>
          <w:sz w:val="20"/>
          <w:lang w:val="en-US" w:eastAsia="en-US" w:bidi="ar-SA"/>
        </w:rPr>
        <w:t>Behn</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Canadian Forest Products</w:t>
      </w:r>
      <w:r>
        <w:rPr>
          <w:rFonts w:ascii="arial" w:eastAsia="arial" w:hAnsi="arial" w:cs="arial"/>
          <w:color w:val="000000"/>
          <w:sz w:val="20"/>
          <w:lang w:val="en-US" w:eastAsia="en-US" w:bidi="ar-SA"/>
        </w:rPr>
        <w:t>, have application in this case:</w:t>
      </w:r>
      <w:r>
        <w:rPr>
          <w:rFonts w:ascii="arial" w:eastAsia="arial" w:hAnsi="arial" w:cs="arial"/>
          <w:sz w:val="20"/>
          <w:lang w:val="en-US" w:eastAsia="en-US" w:bidi="ar-SA"/>
        </w:rPr>
        <w:cr/>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Judicial review provides a relatively speedy and less expensive means for the determination of issues;</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Judicial review prevents the "gridlock" inherent in merging what are truly administrative law issues and remedies with aboriginal title claims;</w:t>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fact that applications for judicial review are normally brought promptly advances the administration of justice as it prompts the crystallization of a dispute at any early stage and reduces the period during which the impugned decision of a public body is of uncertain validity. Here the plaintiffs seek to challenge decisions made by the Crown as far back as 2006 and this action, for all practical purposes, is in its infancy;</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Importantly, the dispute rests where it should. If the MX Permit, for example, ought not to have been assigned or ought to have included additional requirements or safeguards, this is a matter between the plaintiffs and the MEM. Similarly, if ARR's compliance is in fact inadequate, in circumstances where ARR is being advised by the regulator under the </w:t>
      </w:r>
      <w:r>
        <w:rPr>
          <w:rFonts w:ascii="arial" w:eastAsia="arial" w:hAnsi="arial" w:cs="arial"/>
          <w:i/>
          <w:color w:val="000000"/>
          <w:sz w:val="20"/>
          <w:lang w:val="en-US" w:eastAsia="en-US" w:bidi="ar-SA"/>
        </w:rPr>
        <w:t>Mines Act</w:t>
      </w:r>
      <w:r>
        <w:rPr>
          <w:rFonts w:ascii="arial" w:eastAsia="arial" w:hAnsi="arial" w:cs="arial"/>
          <w:color w:val="000000"/>
          <w:sz w:val="20"/>
          <w:lang w:val="en-US" w:eastAsia="en-US" w:bidi="ar-SA"/>
        </w:rPr>
        <w:t xml:space="preserve"> that its performance is satisfactory, that too is a matter between the plaintiffs and the Crown. Judicial review places the onus of defending a decision where it belongs - on the decision maker.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There is no benefit to the public interest in having either the validity or adequacy of a Crown authorization or the adequacy of ARR's compliance under that authorization and the relevant regulatory regime determined as the plaintiffs propose. Instead, the public interest lies in having the plaintiffs' concerns adjudicated efficiently and reasonably promptly in proceedings between the Crown and the plaintiffs that call on the Crown to account directly for its decisions and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Has ARR Undertaken Further Work Without Authorization?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xml:space="preserve">  The Amended Claim alleges that following September 11, 2011, Mr. Raven and ARR, without any formal authorization, entered the plaintiffs' lands, activated access to roads and caused damage to water control structures (see for example, Amended Claim at paras. 36.1.1 and 36.1.2). The Release would have no relevance to these activities. Nor would they engage the </w:t>
      </w:r>
      <w:r>
        <w:rPr>
          <w:rFonts w:ascii="arial" w:eastAsia="arial" w:hAnsi="arial" w:cs="arial"/>
          <w:i/>
          <w:color w:val="000000"/>
          <w:sz w:val="20"/>
          <w:lang w:val="en-US" w:eastAsia="en-US" w:bidi="ar-SA"/>
        </w:rPr>
        <w:t>JRPA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The genesis of these claims is relevant and bears on my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Counsel for Mr. Raven and ARR filed his clients' materials for this application on June 14, 2013. The 4th Affidavit of Mr. Raven, dated June 14, 2013, stated:</w:t>
      </w:r>
      <w:r>
        <w:rPr>
          <w:rFonts w:ascii="arial" w:eastAsia="arial" w:hAnsi="arial" w:cs="arial"/>
          <w:sz w:val="20"/>
          <w:lang w:val="en-US" w:eastAsia="en-US" w:bidi="ar-SA"/>
        </w:rPr>
        <w:cr/>
      </w:r>
    </w:p>
    <w:p>
      <w:pPr>
        <w:numPr>
          <w:numId w:val="4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September 2011, with Roxgold's consent, ARR funded a geochemical survey on the TJ Ridge property that was carried out between September 11-20, 2011. ARR hired High Range Exploration Ltd., a service company that I own, to conduct the survey. High Range contracted with CJL Enterprises who provided a field crew to gather about 600 soil samples in the region. This type of soil survey does not require a Notice of Work permit from the Ministry of Mines, Energy, and Petroleum Resources as the level of ground disturbance is below the threshold that triggers the requirements for a permit. As a courtesy, I informed Doug Flynn, Inspector of Mines, of the work planned before the soil survey was conducted.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It was this assertion that prompted the plaintiffs to further amend their pleadings. This is clear from the fact that the plaintiffs filed the Amended Claim on June 16, 2013 and included a new set of allegations that related to ARR's conduct on and after September 11, 2011. It is also clear from paragraph 36.4(b) of the Amended Claim which states, "The plaintiff learned on June 14, 2013, that Alan Raven and ARR Minerals or their agents or contractors had likely opened the road in September of 2011." These and other amendments on the eve of the application before me caused the hearing of the application to be briefly adjourned so that the defendants/respondents could revise their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It seems equally clear that the plaintiffs' amendments, relating to the September 2011 events, were premised on an erroneous assumption. That factual error was identified in the submissions of counsel for Mr. Raven and ARR and it was confirmed in a further Affidavit of Mr. Raven dated June 18, 2013, that was filed at my insistence:</w:t>
      </w:r>
      <w:r>
        <w:rPr>
          <w:rFonts w:ascii="arial" w:eastAsia="arial" w:hAnsi="arial" w:cs="arial"/>
          <w:sz w:val="20"/>
          <w:lang w:val="en-US" w:eastAsia="en-US" w:bidi="ar-SA"/>
        </w:rPr>
        <w:cr/>
      </w:r>
    </w:p>
    <w:p>
      <w:pPr>
        <w:numPr>
          <w:numId w:val="4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September 2011, ARR hired High Range Exploration Ltd. who contracted with CJL Enterprises to conduct a geochemical survey in the region covered by mineral tenure #514407. CJL provided a field crew to gather soil samples. In order to do this work, the field crew flew in and out of the region by helicopter. None of the access trails in the region were used or disturbed.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Before me it was common ground that such geochemical surveys do not require any special permit or authority. They do not, for example, fall within the definition of "exploration activities" in the Code. Moreover, counsel for the plaintiffs did not, in any way, suggest their clients had any information that was inconsistent with the sworn evidence of Mr. Raven.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In</w:t>
      </w:r>
      <w:r>
        <w:rPr>
          <w:rFonts w:ascii="arial" w:eastAsia="arial" w:hAnsi="arial" w:cs="arial"/>
          <w:i/>
          <w:color w:val="000000"/>
          <w:sz w:val="20"/>
          <w:lang w:val="en-US" w:eastAsia="en-US" w:bidi="ar-SA"/>
        </w:rPr>
        <w:t xml:space="preserve"> Strata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Plan VIS3578,</w:t>
      </w:r>
      <w:r>
        <w:rPr>
          <w:rFonts w:ascii="arial" w:eastAsia="arial" w:hAnsi="arial" w:cs="arial"/>
          <w:color w:val="000000"/>
          <w:sz w:val="20"/>
          <w:lang w:val="en-US" w:eastAsia="en-US" w:bidi="ar-SA"/>
        </w:rPr>
        <w:t xml:space="preserve"> the court, in a portion of the judgment I referred to earlier, said:</w:t>
      </w:r>
      <w:r>
        <w:rPr>
          <w:rFonts w:ascii="arial" w:eastAsia="arial" w:hAnsi="arial" w:cs="arial"/>
          <w:sz w:val="20"/>
          <w:lang w:val="en-US" w:eastAsia="en-US" w:bidi="ar-SA"/>
        </w:rPr>
        <w:cr/>
      </w:r>
    </w:p>
    <w:p>
      <w:pPr>
        <w:numPr>
          <w:numId w:val="4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Subrule 15(5)(a)(iii) thus establishes two requirements that an applicant must prove to succeed in joining a new defendant. First, it must show that there is a question or issue between the plaintiff and the proposed defendant that relates to the relief, remedy, or subject matter of the proceeding. The threshold is low. It has been expressed as establishing simply that there is a real issue between them that is not frivolous, or that the plaintiff has a possible cause of action against the proposed party. This requirement may be met solely on the basis of proposed amendments to the statement of claim, or the parties may provide affidavit evidence addressing it. If evidence is provided, the court is not to weigh it and assess whether the plaintiff could prove the allegations. It is limited to examining the evidence only to the extent necessary to determine if the required issue between the parties exists: </w:t>
      </w:r>
      <w:r>
        <w:rPr>
          <w:rFonts w:ascii="arial" w:eastAsia="arial" w:hAnsi="arial" w:cs="arial"/>
          <w:i/>
          <w:color w:val="000000"/>
          <w:sz w:val="20"/>
          <w:lang w:val="en-US" w:eastAsia="en-US" w:bidi="ar-SA"/>
        </w:rPr>
        <w:t>Strata Plan LMS 1816 v</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Acastina Investments Ltd.,</w:t>
      </w:r>
      <w:r>
        <w:rPr>
          <w:rFonts w:ascii="arial" w:eastAsia="arial" w:hAnsi="arial" w:cs="arial"/>
          <w:color w:val="000000"/>
          <w:sz w:val="20"/>
          <w:lang w:val="en-US" w:eastAsia="en-US" w:bidi="ar-SA"/>
        </w:rPr>
        <w:t xml:space="preserve"> </w:t>
      </w:r>
      <w:hyperlink r:id="rId622" w:history="1">
        <w:r>
          <w:rPr>
            <w:rFonts w:ascii="arial" w:eastAsia="arial" w:hAnsi="arial" w:cs="arial"/>
            <w:i/>
            <w:color w:val="0077CC"/>
            <w:sz w:val="20"/>
            <w:u w:val="single"/>
            <w:shd w:val="clear" w:color="auto" w:fill="FFFFFF"/>
            <w:lang w:val="en-US" w:eastAsia="en-US" w:bidi="ar-SA"/>
          </w:rPr>
          <w:t>2004 BCCA 578</w:t>
        </w:r>
      </w:hyperlink>
      <w:r>
        <w:rPr>
          <w:rFonts w:ascii="arial" w:eastAsia="arial" w:hAnsi="arial" w:cs="arial"/>
          <w:color w:val="000000"/>
          <w:sz w:val="20"/>
          <w:lang w:val="en-US" w:eastAsia="en-US" w:bidi="ar-SA"/>
        </w:rPr>
        <w:t xml:space="preserve">, </w:t>
      </w:r>
      <w:hyperlink r:id="rId622" w:history="1">
        <w:r>
          <w:rPr>
            <w:rFonts w:ascii="arial" w:eastAsia="arial" w:hAnsi="arial" w:cs="arial"/>
            <w:i/>
            <w:color w:val="0077CC"/>
            <w:sz w:val="20"/>
            <w:u w:val="single"/>
            <w:shd w:val="clear" w:color="auto" w:fill="FFFFFF"/>
            <w:lang w:val="en-US" w:eastAsia="en-US" w:bidi="ar-SA"/>
          </w:rPr>
          <w:t>33 B.C.L.R. (4th) 69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MacMillan Bloedel Ltd. v. Binstead et al.</w:t>
      </w:r>
      <w:r>
        <w:rPr>
          <w:rFonts w:ascii="arial" w:eastAsia="arial" w:hAnsi="arial" w:cs="arial"/>
          <w:color w:val="000000"/>
          <w:sz w:val="20"/>
          <w:lang w:val="en-US" w:eastAsia="en-US" w:bidi="ar-SA"/>
        </w:rPr>
        <w:t xml:space="preserve"> </w:t>
      </w:r>
      <w:hyperlink r:id="rId623" w:history="1">
        <w:r>
          <w:rPr>
            <w:rFonts w:ascii="arial" w:eastAsia="arial" w:hAnsi="arial" w:cs="arial"/>
            <w:i/>
            <w:color w:val="0077CC"/>
            <w:sz w:val="20"/>
            <w:u w:val="single"/>
            <w:shd w:val="clear" w:color="auto" w:fill="FFFFFF"/>
            <w:lang w:val="en-US" w:eastAsia="en-US" w:bidi="ar-SA"/>
          </w:rPr>
          <w:t>(1981), 58 B.C.L.R. 173</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The former Rule 15(5)(a)(iii) and the current Rule 6-2(7)(c)(ii) both contemplate the addition of a party where "in the opinion of the court, it would be just and convenient ...". Whether that determination actually requires evidence is not clear.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Michaels v. Dube</w:t>
      </w:r>
      <w:r>
        <w:rPr>
          <w:rFonts w:ascii="arial" w:eastAsia="arial" w:hAnsi="arial" w:cs="arial"/>
          <w:color w:val="000000"/>
          <w:sz w:val="20"/>
          <w:lang w:val="en-US" w:eastAsia="en-US" w:bidi="ar-SA"/>
        </w:rPr>
        <w:t xml:space="preserve">, </w:t>
      </w:r>
      <w:hyperlink r:id="rId624" w:history="1">
        <w:r>
          <w:rPr>
            <w:rFonts w:ascii="arial" w:eastAsia="arial" w:hAnsi="arial" w:cs="arial"/>
            <w:i/>
            <w:color w:val="0077CC"/>
            <w:sz w:val="20"/>
            <w:u w:val="single"/>
            <w:shd w:val="clear" w:color="auto" w:fill="FFFFFF"/>
            <w:lang w:val="en-US" w:eastAsia="en-US" w:bidi="ar-SA"/>
          </w:rPr>
          <w:t>2007 BCSC 747</w:t>
        </w:r>
      </w:hyperlink>
      <w:r>
        <w:rPr>
          <w:rFonts w:ascii="arial" w:eastAsia="arial" w:hAnsi="arial" w:cs="arial"/>
          <w:color w:val="000000"/>
          <w:sz w:val="20"/>
          <w:lang w:val="en-US" w:eastAsia="en-US" w:bidi="ar-SA"/>
        </w:rPr>
        <w:t>, Barrows J, in dealing with the application of the former Rule 15(5)(a)(iii), said at para. 14: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second legal principle of importance is the nature of the evidence that must be adduced to engage either aspect of the rule. It is not enough for the applicant to simply suggest that there is a cause of action or issue between him or her and the party sought to be joined. There must be facts deposed to which support the possible existence of a question or issue, the resolution of which it would be just and convenient to determine as between the existing parties and the person sought to be joined.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[See also paras. 15 and 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Conversely, in </w:t>
      </w:r>
      <w:r>
        <w:rPr>
          <w:rFonts w:ascii="arial" w:eastAsia="arial" w:hAnsi="arial" w:cs="arial"/>
          <w:i/>
          <w:color w:val="000000"/>
          <w:sz w:val="20"/>
          <w:lang w:val="en-US" w:eastAsia="en-US" w:bidi="ar-SA"/>
        </w:rPr>
        <w:t>Traff v. Evancic</w:t>
      </w:r>
      <w:r>
        <w:rPr>
          <w:rFonts w:ascii="arial" w:eastAsia="arial" w:hAnsi="arial" w:cs="arial"/>
          <w:color w:val="000000"/>
          <w:sz w:val="20"/>
          <w:lang w:val="en-US" w:eastAsia="en-US" w:bidi="ar-SA"/>
        </w:rPr>
        <w:t xml:space="preserve">, </w:t>
      </w:r>
      <w:hyperlink r:id="rId625" w:history="1">
        <w:r>
          <w:rPr>
            <w:rFonts w:ascii="arial" w:eastAsia="arial" w:hAnsi="arial" w:cs="arial"/>
            <w:i/>
            <w:color w:val="0077CC"/>
            <w:sz w:val="20"/>
            <w:u w:val="single"/>
            <w:shd w:val="clear" w:color="auto" w:fill="FFFFFF"/>
            <w:lang w:val="en-US" w:eastAsia="en-US" w:bidi="ar-SA"/>
          </w:rPr>
          <w:t>[1995] B.C.J. No. 1192</w:t>
        </w:r>
      </w:hyperlink>
      <w:r>
        <w:rPr>
          <w:rFonts w:ascii="arial" w:eastAsia="arial" w:hAnsi="arial" w:cs="arial"/>
          <w:color w:val="000000"/>
          <w:sz w:val="20"/>
          <w:lang w:val="en-US" w:eastAsia="en-US" w:bidi="ar-SA"/>
        </w:rPr>
        <w:t>, MacDonald J. was satisfied that the discretion under the former Rule 15(5)(a)(iii) could be exercised without affidavit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xml:space="preserve">  Each of </w:t>
      </w:r>
      <w:r>
        <w:rPr>
          <w:rFonts w:ascii="arial" w:eastAsia="arial" w:hAnsi="arial" w:cs="arial"/>
          <w:i/>
          <w:color w:val="000000"/>
          <w:sz w:val="20"/>
          <w:lang w:val="en-US" w:eastAsia="en-US" w:bidi="ar-SA"/>
        </w:rPr>
        <w:t>Strata Plan VIS3578</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Michaels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Traff</w:t>
      </w:r>
      <w:r>
        <w:rPr>
          <w:rFonts w:ascii="arial" w:eastAsia="arial" w:hAnsi="arial" w:cs="arial"/>
          <w:color w:val="000000"/>
          <w:sz w:val="20"/>
          <w:lang w:val="en-US" w:eastAsia="en-US" w:bidi="ar-SA"/>
        </w:rPr>
        <w:t xml:space="preserve"> refer to </w:t>
      </w:r>
      <w:r>
        <w:rPr>
          <w:rFonts w:ascii="arial" w:eastAsia="arial" w:hAnsi="arial" w:cs="arial"/>
          <w:i/>
          <w:color w:val="000000"/>
          <w:sz w:val="20"/>
          <w:lang w:val="en-US" w:eastAsia="en-US" w:bidi="ar-SA"/>
        </w:rPr>
        <w:t>MacMillan Bloedel v. Binstead</w:t>
      </w:r>
      <w:r>
        <w:rPr>
          <w:rFonts w:ascii="arial" w:eastAsia="arial" w:hAnsi="arial" w:cs="arial"/>
          <w:color w:val="000000"/>
          <w:sz w:val="20"/>
          <w:lang w:val="en-US" w:eastAsia="en-US" w:bidi="ar-SA"/>
        </w:rPr>
        <w:t xml:space="preserve"> </w:t>
      </w:r>
      <w:hyperlink r:id="rId623" w:history="1">
        <w:r>
          <w:rPr>
            <w:rFonts w:ascii="arial" w:eastAsia="arial" w:hAnsi="arial" w:cs="arial"/>
            <w:i/>
            <w:color w:val="0077CC"/>
            <w:sz w:val="20"/>
            <w:u w:val="single"/>
            <w:shd w:val="clear" w:color="auto" w:fill="FFFFFF"/>
            <w:lang w:val="en-US" w:eastAsia="en-US" w:bidi="ar-SA"/>
          </w:rPr>
          <w:t>(1981), 58 B.C.L.R. 173</w:t>
        </w:r>
      </w:hyperlink>
      <w:r>
        <w:rPr>
          <w:rFonts w:ascii="arial" w:eastAsia="arial" w:hAnsi="arial" w:cs="arial"/>
          <w:color w:val="000000"/>
          <w:sz w:val="20"/>
          <w:lang w:val="en-US" w:eastAsia="en-US" w:bidi="ar-SA"/>
        </w:rPr>
        <w:t xml:space="preserve"> (C.A.) where the court, at 175,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one of the functions of the chambers judge ... under this rule [15(5)(a)(iii)] must be to decide ..., </w:t>
      </w:r>
      <w:r>
        <w:rPr>
          <w:rFonts w:ascii="arial" w:eastAsia="arial" w:hAnsi="arial" w:cs="arial"/>
          <w:color w:val="000000"/>
          <w:sz w:val="20"/>
          <w:u w:val="single"/>
          <w:lang w:val="en-US" w:eastAsia="en-US" w:bidi="ar-SA"/>
        </w:rPr>
        <w:t>through whatever means, and not necessarily affidavits</w:t>
      </w:r>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that the question or issue is a real one in the sense that it is not entirely frivolous</w:t>
      </w:r>
      <w:r>
        <w:rPr>
          <w:rFonts w:ascii="arial" w:eastAsia="arial" w:hAnsi="arial" w:cs="arial"/>
          <w:color w:val="000000"/>
          <w:sz w:val="20"/>
          <w:lang w:val="en-US" w:eastAsia="en-US" w:bidi="ar-SA"/>
        </w:rPr>
        <w:t xml:space="preserve"> ... It is not the function ... to decide whether on any kind of a balance it is likely that the plaintiff would be able to prove its allegations ...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The plaintiffs have filed nothing in response to the blunt denial contained in Mr. Raven's Affidavit of June 18, 2012. There is then no concern about my weighing competing evidence. Instead, the allegations of wrongdoing by ARR (and Mr. Raven) on and after September 11, 2011 are based on an apparent misapprehension of Mr. Raven's Affidavit of June 14, 2012. In such circumstances I do consider those allegations to be "frivolous". I do not consider that any "real" issue exists between the parties on the basis advanced by the plaintiffs and I do not consider that it would be just and convenient to add ARR to the instant action on this particular aspect of the Amended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 it Just and Convenient to Add ARR?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Though I do not consider, for the reasons I have described that the requirements of Rule 6-2(7) has been satisfied, I wish to make clear that I would not have considered it just and convenient to add ARR and/or Mr. Raven to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xml:space="preserve">  The Amended Claim advances a claim for aboriginal title. In </w:t>
      </w:r>
      <w:r>
        <w:rPr>
          <w:rFonts w:ascii="arial" w:eastAsia="arial" w:hAnsi="arial" w:cs="arial"/>
          <w:i/>
          <w:color w:val="000000"/>
          <w:sz w:val="20"/>
          <w:lang w:val="en-US" w:eastAsia="en-US" w:bidi="ar-SA"/>
        </w:rPr>
        <w:t>Haida Nation</w:t>
      </w:r>
      <w:r>
        <w:rPr>
          <w:rFonts w:ascii="arial" w:eastAsia="arial" w:hAnsi="arial" w:cs="arial"/>
          <w:color w:val="000000"/>
          <w:sz w:val="20"/>
          <w:lang w:val="en-US" w:eastAsia="en-US" w:bidi="ar-SA"/>
        </w:rPr>
        <w:t>, Chief Justice Mclachlin observed that, "Aboriginal claims litigation can be very complex and require years and even decades to resolve in the courts" (at para. 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The plaintiffs' claims against ARR have relatively little to do with their claim for aboriginal title. There are some allegations that the wrongdoing of ARR has interfered with their ability to make out their title claim. These and other areas of intersection are relatively modest and would not, in my view warrant adding ARR to the present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xml:space="preserve">  Each of </w:t>
      </w:r>
      <w:r>
        <w:rPr>
          <w:rFonts w:ascii="arial" w:eastAsia="arial" w:hAnsi="arial" w:cs="arial"/>
          <w:i/>
          <w:color w:val="000000"/>
          <w:sz w:val="20"/>
          <w:lang w:val="en-US" w:eastAsia="en-US" w:bidi="ar-SA"/>
        </w:rPr>
        <w:t>British Columbia (Minister of Forests) v. Okanagan Indian Band</w:t>
      </w:r>
      <w:r>
        <w:rPr>
          <w:rFonts w:ascii="arial" w:eastAsia="arial" w:hAnsi="arial" w:cs="arial"/>
          <w:color w:val="000000"/>
          <w:sz w:val="20"/>
          <w:lang w:val="en-US" w:eastAsia="en-US" w:bidi="ar-SA"/>
        </w:rPr>
        <w:t xml:space="preserve">, </w:t>
      </w:r>
      <w:hyperlink r:id="rId626" w:history="1">
        <w:r>
          <w:rPr>
            <w:rFonts w:ascii="arial" w:eastAsia="arial" w:hAnsi="arial" w:cs="arial"/>
            <w:i/>
            <w:color w:val="0077CC"/>
            <w:sz w:val="20"/>
            <w:u w:val="single"/>
            <w:shd w:val="clear" w:color="auto" w:fill="FFFFFF"/>
            <w:lang w:val="en-US" w:eastAsia="en-US" w:bidi="ar-SA"/>
          </w:rPr>
          <w:t>2008 BCCA 107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Attorney-General of Canada et al. v. Aluminum Co. of Canada</w:t>
      </w:r>
      <w:r>
        <w:rPr>
          <w:rFonts w:ascii="arial" w:eastAsia="arial" w:hAnsi="arial" w:cs="arial"/>
          <w:color w:val="000000"/>
          <w:sz w:val="20"/>
          <w:lang w:val="en-US" w:eastAsia="en-US" w:bidi="ar-SA"/>
        </w:rPr>
        <w:t xml:space="preserve"> et al. </w:t>
      </w:r>
      <w:hyperlink r:id="rId627" w:history="1">
        <w:r>
          <w:rPr>
            <w:rFonts w:ascii="arial" w:eastAsia="arial" w:hAnsi="arial" w:cs="arial"/>
            <w:i/>
            <w:color w:val="0077CC"/>
            <w:sz w:val="20"/>
            <w:u w:val="single"/>
            <w:shd w:val="clear" w:color="auto" w:fill="FFFFFF"/>
            <w:lang w:val="en-US" w:eastAsia="en-US" w:bidi="ar-SA"/>
          </w:rPr>
          <w:t>(1987), 35 D.L.R. (4th) 495</w:t>
        </w:r>
      </w:hyperlink>
      <w:r>
        <w:rPr>
          <w:rFonts w:ascii="arial" w:eastAsia="arial" w:hAnsi="arial" w:cs="arial"/>
          <w:color w:val="000000"/>
          <w:sz w:val="20"/>
          <w:lang w:val="en-US" w:eastAsia="en-US" w:bidi="ar-SA"/>
        </w:rPr>
        <w:t xml:space="preserve">, </w:t>
      </w:r>
      <w:hyperlink r:id="rId627" w:history="1">
        <w:r>
          <w:rPr>
            <w:rFonts w:ascii="arial" w:eastAsia="arial" w:hAnsi="arial" w:cs="arial"/>
            <w:i/>
            <w:color w:val="0077CC"/>
            <w:sz w:val="20"/>
            <w:u w:val="single"/>
            <w:shd w:val="clear" w:color="auto" w:fill="FFFFFF"/>
            <w:lang w:val="en-US" w:eastAsia="en-US" w:bidi="ar-SA"/>
          </w:rPr>
          <w:t>[1987] 3 W.W.R. 193</w:t>
        </w:r>
      </w:hyperlink>
      <w:r>
        <w:rPr>
          <w:rFonts w:ascii="arial" w:eastAsia="arial" w:hAnsi="arial" w:cs="arial"/>
          <w:color w:val="000000"/>
          <w:sz w:val="20"/>
          <w:lang w:val="en-US" w:eastAsia="en-US" w:bidi="ar-SA"/>
        </w:rPr>
        <w:t xml:space="preserve"> (B.C.C.A.), </w:t>
      </w:r>
      <w:r>
        <w:rPr>
          <w:rFonts w:ascii="arial" w:eastAsia="arial" w:hAnsi="arial" w:cs="arial"/>
          <w:i/>
          <w:color w:val="000000"/>
          <w:sz w:val="20"/>
          <w:lang w:val="en-US" w:eastAsia="en-US" w:bidi="ar-SA"/>
        </w:rPr>
        <w:t>Wilson, et al v. British Columbia, et al</w:t>
      </w:r>
      <w:r>
        <w:rPr>
          <w:rFonts w:ascii="arial" w:eastAsia="arial" w:hAnsi="arial" w:cs="arial"/>
          <w:color w:val="000000"/>
          <w:sz w:val="20"/>
          <w:lang w:val="en-US" w:eastAsia="en-US" w:bidi="ar-SA"/>
        </w:rPr>
        <w:t xml:space="preserve">, </w:t>
      </w:r>
      <w:hyperlink r:id="rId628" w:history="1">
        <w:r>
          <w:rPr>
            <w:rFonts w:ascii="arial" w:eastAsia="arial" w:hAnsi="arial" w:cs="arial"/>
            <w:i/>
            <w:color w:val="0077CC"/>
            <w:sz w:val="20"/>
            <w:u w:val="single"/>
            <w:shd w:val="clear" w:color="auto" w:fill="FFFFFF"/>
            <w:lang w:val="en-US" w:eastAsia="en-US" w:bidi="ar-SA"/>
          </w:rPr>
          <w:t>2006 BCSC 1436</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Ahousaht Indian Band and Nation v. Canada (Attorney General)</w:t>
      </w:r>
      <w:r>
        <w:rPr>
          <w:rFonts w:ascii="arial" w:eastAsia="arial" w:hAnsi="arial" w:cs="arial"/>
          <w:color w:val="000000"/>
          <w:sz w:val="20"/>
          <w:lang w:val="en-US" w:eastAsia="en-US" w:bidi="ar-SA"/>
        </w:rPr>
        <w:t xml:space="preserve">, </w:t>
      </w:r>
      <w:hyperlink r:id="rId629" w:history="1">
        <w:r>
          <w:rPr>
            <w:rFonts w:ascii="arial" w:eastAsia="arial" w:hAnsi="arial" w:cs="arial"/>
            <w:i/>
            <w:color w:val="0077CC"/>
            <w:sz w:val="20"/>
            <w:u w:val="single"/>
            <w:shd w:val="clear" w:color="auto" w:fill="FFFFFF"/>
            <w:lang w:val="en-US" w:eastAsia="en-US" w:bidi="ar-SA"/>
          </w:rPr>
          <w:t>2009 BCSC 1494</w:t>
        </w:r>
      </w:hyperlink>
      <w:r>
        <w:rPr>
          <w:rFonts w:ascii="arial" w:eastAsia="arial" w:hAnsi="arial" w:cs="arial"/>
          <w:color w:val="000000"/>
          <w:sz w:val="20"/>
          <w:lang w:val="en-US" w:eastAsia="en-US" w:bidi="ar-SA"/>
        </w:rPr>
        <w:t xml:space="preserve"> is relevant. These cases arise in very different circumstances. Yet they reveal a consistent effort by courts to pare down complex title cases and to prevent those cases from becoming more complex through the addition of either further issues or further parties. Such considerations are directly relevant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Claims Against Mr. Raven Personally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I can deal with this issue succinctly because counsel for the plaintiff accepted that the Amended Claim fails to identify any material facts which would ground a cause of action against Mr. Raven personally. This deficiency exists quite apart from the issue of the extent to which the Release pertains to Mr. Raven.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Strata Plan No. VIS3578,</w:t>
      </w:r>
      <w:r>
        <w:rPr>
          <w:rFonts w:ascii="arial" w:eastAsia="arial" w:hAnsi="arial" w:cs="arial"/>
          <w:color w:val="000000"/>
          <w:sz w:val="20"/>
          <w:lang w:val="en-US" w:eastAsia="en-US" w:bidi="ar-SA"/>
        </w:rPr>
        <w:t xml:space="preserve">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71 ... It is not enough to plead undifferentiated allegations against the corporation and its directors and employees.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72 Here, the chambers judge properly found the owners'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Messrs. Popham, Morris, Tearle, and Sterling are inadequate to support their joinder as defendants. The further amended statement of claim does not set out material facts to support commission of an independent tort. The proposed amendments simply introduce the individuals as directors or employees of their corporate entities and then allege that they owed the same duties, committed the same breaches, and caused the same damages as their companies. Nothing in the pleading indicates why the corporate veil should be pierced to find liability on the part of these four individuals.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xml:space="preserve">  These comments are apposite. The plaintiffs have, as in </w:t>
      </w:r>
      <w:r>
        <w:rPr>
          <w:rFonts w:ascii="arial" w:eastAsia="arial" w:hAnsi="arial" w:cs="arial"/>
          <w:i/>
          <w:color w:val="000000"/>
          <w:sz w:val="20"/>
          <w:lang w:val="en-US" w:eastAsia="en-US" w:bidi="ar-SA"/>
        </w:rPr>
        <w:t>Strata Plan No. VIS3578</w:t>
      </w:r>
      <w:r>
        <w:rPr>
          <w:rFonts w:ascii="arial" w:eastAsia="arial" w:hAnsi="arial" w:cs="arial"/>
          <w:color w:val="000000"/>
          <w:sz w:val="20"/>
          <w:lang w:val="en-US" w:eastAsia="en-US" w:bidi="ar-SA"/>
        </w:rPr>
        <w:t xml:space="preserve">, simply added Mr. Raven in an "undifferentiated manner" to all paragraphs that formerly referred to Roxgold and that now may also include ARR. The mere existence of the relationship between a director and corporation does not in itself create personal liability; </w:t>
      </w:r>
      <w:r>
        <w:rPr>
          <w:rFonts w:ascii="arial" w:eastAsia="arial" w:hAnsi="arial" w:cs="arial"/>
          <w:i/>
          <w:color w:val="000000"/>
          <w:sz w:val="20"/>
          <w:lang w:val="en-US" w:eastAsia="en-US" w:bidi="ar-SA"/>
        </w:rPr>
        <w:t>Blacklaws v. Morrow</w:t>
      </w:r>
      <w:r>
        <w:rPr>
          <w:rFonts w:ascii="arial" w:eastAsia="arial" w:hAnsi="arial" w:cs="arial"/>
          <w:color w:val="000000"/>
          <w:sz w:val="20"/>
          <w:lang w:val="en-US" w:eastAsia="en-US" w:bidi="ar-SA"/>
        </w:rPr>
        <w:t xml:space="preserve">, </w:t>
      </w:r>
      <w:hyperlink r:id="rId630" w:history="1">
        <w:r>
          <w:rPr>
            <w:rFonts w:ascii="arial" w:eastAsia="arial" w:hAnsi="arial" w:cs="arial"/>
            <w:i/>
            <w:color w:val="0077CC"/>
            <w:sz w:val="20"/>
            <w:u w:val="single"/>
            <w:shd w:val="clear" w:color="auto" w:fill="FFFFFF"/>
            <w:lang w:val="en-US" w:eastAsia="en-US" w:bidi="ar-SA"/>
          </w:rPr>
          <w:t>2000 ABCA 175</w:t>
        </w:r>
      </w:hyperlink>
      <w:r>
        <w:rPr>
          <w:rFonts w:ascii="arial" w:eastAsia="arial" w:hAnsi="arial" w:cs="arial"/>
          <w:color w:val="000000"/>
          <w:sz w:val="20"/>
          <w:lang w:val="en-US" w:eastAsia="en-US" w:bidi="ar-SA"/>
        </w:rPr>
        <w:t xml:space="preserve"> at para. 48, appeal ref'd </w:t>
      </w:r>
      <w:hyperlink r:id="rId631" w:history="1">
        <w:r>
          <w:rPr>
            <w:rFonts w:ascii="arial" w:eastAsia="arial" w:hAnsi="arial" w:cs="arial"/>
            <w:i/>
            <w:color w:val="0077CC"/>
            <w:sz w:val="20"/>
            <w:u w:val="single"/>
            <w:shd w:val="clear" w:color="auto" w:fill="FFFFFF"/>
            <w:lang w:val="en-US" w:eastAsia="en-US" w:bidi="ar-SA"/>
          </w:rPr>
          <w:t>[2000] SCCA No 442</w:t>
        </w:r>
      </w:hyperlink>
      <w:r>
        <w:rPr>
          <w:rFonts w:ascii="arial" w:eastAsia="arial" w:hAnsi="arial" w:cs="arial"/>
          <w:color w:val="000000"/>
          <w:sz w:val="20"/>
          <w:lang w:val="en-US" w:eastAsia="en-US" w:bidi="ar-SA"/>
        </w:rPr>
        <w:t xml:space="preserve">. Further, though directors and officers of a corporation can be personally liable for tortious conduct committed in the course of their corporate duties, personal liability requires a finding that the actions undertaken were themselves tortious, or that the director or officer exhibited a separate identity or interest from that of the company thereby making the act or conduct their own: </w:t>
      </w:r>
      <w:r>
        <w:rPr>
          <w:rFonts w:ascii="arial" w:eastAsia="arial" w:hAnsi="arial" w:cs="arial"/>
          <w:i/>
          <w:color w:val="000000"/>
          <w:sz w:val="20"/>
          <w:lang w:val="en-US" w:eastAsia="en-US" w:bidi="ar-SA"/>
        </w:rPr>
        <w:t>ADGA Sytems International Inc. v. Valcom Ltd.</w:t>
      </w:r>
      <w:r>
        <w:rPr>
          <w:rFonts w:ascii="arial" w:eastAsia="arial" w:hAnsi="arial" w:cs="arial"/>
          <w:color w:val="000000"/>
          <w:sz w:val="20"/>
          <w:lang w:val="en-US" w:eastAsia="en-US" w:bidi="ar-SA"/>
        </w:rPr>
        <w:t xml:space="preserve"> </w:t>
      </w:r>
      <w:hyperlink r:id="rId632" w:history="1">
        <w:r>
          <w:rPr>
            <w:rFonts w:ascii="arial" w:eastAsia="arial" w:hAnsi="arial" w:cs="arial"/>
            <w:i/>
            <w:color w:val="0077CC"/>
            <w:sz w:val="20"/>
            <w:u w:val="single"/>
            <w:shd w:val="clear" w:color="auto" w:fill="FFFFFF"/>
            <w:lang w:val="en-US" w:eastAsia="en-US" w:bidi="ar-SA"/>
          </w:rPr>
          <w:t>(1999), 168 D.L.R. (4th) 351</w:t>
        </w:r>
      </w:hyperlink>
      <w:r>
        <w:rPr>
          <w:rFonts w:ascii="arial" w:eastAsia="arial" w:hAnsi="arial" w:cs="arial"/>
          <w:color w:val="000000"/>
          <w:sz w:val="20"/>
          <w:lang w:val="en-US" w:eastAsia="en-US" w:bidi="ar-SA"/>
        </w:rPr>
        <w:t xml:space="preserve"> at paras. 38-39, </w:t>
      </w:r>
      <w:hyperlink r:id="rId633" w:history="1">
        <w:r>
          <w:rPr>
            <w:rFonts w:ascii="arial" w:eastAsia="arial" w:hAnsi="arial" w:cs="arial"/>
            <w:i/>
            <w:color w:val="0077CC"/>
            <w:sz w:val="20"/>
            <w:u w:val="single"/>
            <w:shd w:val="clear" w:color="auto" w:fill="FFFFFF"/>
            <w:lang w:val="en-US" w:eastAsia="en-US" w:bidi="ar-SA"/>
          </w:rPr>
          <w:t>[1999] O.J. No. 27</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Blacklaws, supra</w:t>
      </w:r>
      <w:r>
        <w:rPr>
          <w:rFonts w:ascii="arial" w:eastAsia="arial" w:hAnsi="arial" w:cs="arial"/>
          <w:color w:val="000000"/>
          <w:sz w:val="20"/>
          <w:lang w:val="en-US" w:eastAsia="en-US" w:bidi="ar-SA"/>
        </w:rPr>
        <w:t xml:space="preserve"> at para. 41; see also the cases referred to in para. 51 of these reasons for judgment. None of these requirements are addressed in the Amended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Further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There are a few further discrete issues that arise.</w:t>
      </w:r>
      <w:r>
        <w:rPr>
          <w:rFonts w:ascii="arial" w:eastAsia="arial" w:hAnsi="arial" w:cs="arial"/>
          <w:sz w:val="20"/>
          <w:lang w:val="en-US" w:eastAsia="en-US" w:bidi="ar-SA"/>
        </w:rPr>
        <w:cr/>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have advanced a claim in conspiracy. Paragraph 28 of the Amended Claim suggests that a conspiracy was entered into by Roxgold and members of Gwininitxw House. Paragraph 55 suggests this conspiracy extended to MEM employees. Paragraph 68, in Part 3, confirms that the conspiracy extends to MEM. The conspiracy claim advanced in these paragraphs clearly pre-date the signing of the Release and the Settlement Order. As such my earlier conclusions pertain. It is not open to the plaintiffs to advance this claim against Roxgold or Mr. Raven.</w:t>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parties did not address what influence, if any, the passage of time might have on the plaintiffs' ability to now seek judicial review for activities or decisions that go back in time a number of years. If the parties cannot agree on this issue they can apply to address the matter before me.</w:t>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parties agreed to defer the issue of costs pending receipt of these Reasons. If they cannot agree on the matter they can apply to address the matter before me.</w:t>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Throughout the course of the defendants' submissions there were concerns expressed about the plaintiffs' pleadings. These concerns extended beyond the substantive matters I have addressed. The concerns pertained instead, for example, to a failure to plead material facts in support of certain actions. There is some validity to these concerns. I would add that the plaintiffs' pleadings are prolix. They plead evidence. Having read the Amended Claim numerous times I continue to find it confusing and difficult to work with. These reasons will require the Amended Claim to be fundamentally reworked. I have raised the foregoing matters only because I consider it to be in the interests of the parties and the court that further pleadings properly comport with Rule 3-1(2) and Rule 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w:t>
      </w:r>
      <w:r>
        <w:rPr>
          <w:rFonts w:ascii="arial" w:eastAsia="arial" w:hAnsi="arial" w:cs="arial"/>
          <w:sz w:val="20"/>
          <w:lang w:val="en-US" w:eastAsia="en-US" w:bidi="ar-SA"/>
        </w:rPr>
        <w:cr/>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Release and the Settlement Order prevent any further action against Roxgold for the activities of Roxgold prior to the execution of the Release.</w:t>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Release prevents any further action against ARR or Mr. Raven for the activities of Roxgold prior to the execution of the Release.</w:t>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Those portions of the Amended Claim that advance assertions of inadequate consultation or accommodation in relation to the assignment of the MX Permit to ARR, constitute improper collateral attacks and are claims that should have been advanced by judicial review.</w:t>
      </w:r>
    </w:p>
    <w:p>
      <w:pPr>
        <w:numPr>
          <w:numId w:val="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Those portions of the Amended Claim that challenge either the adequacy or validity of ARR's MX Permit and other authorizations or ARR's compliance with the MX Permit and Code constitute improper collateral attacks and are claims that should have been advanced by judicial review.</w:t>
      </w:r>
    </w:p>
    <w:p>
      <w:pPr>
        <w:numPr>
          <w:numId w:val="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unsupported allegation that ARR engaged in improper and unauthorized activities on the lands claimed by the plaintiffs, in or around September 11, 2011, do not provide a basis for adding ARR to this action.</w:t>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Amended Claim, in any event, advances no material facts which would support a cause of action against Mr. Raven.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P.G. VOITH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37" style="position:absolute;z-index:25187430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34"/>
          <w:headerReference w:type="default" r:id="rId635"/>
          <w:footerReference w:type="even" r:id="rId636"/>
          <w:footerReference w:type="default" r:id="rId637"/>
          <w:headerReference w:type="first" r:id="rId638"/>
          <w:footerReference w:type="first" r:id="rId63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40" w:history="1">
        <w:r>
          <w:rPr>
            <w:rFonts w:ascii="arial" w:eastAsia="arial" w:hAnsi="arial" w:cs="arial"/>
            <w:b/>
            <w:bCs/>
            <w:i/>
            <w:color w:val="0077CC"/>
            <w:kern w:val="32"/>
            <w:sz w:val="28"/>
            <w:szCs w:val="32"/>
            <w:u w:val="single"/>
            <w:shd w:val="clear" w:color="auto" w:fill="FFFFFF"/>
            <w:lang w:val="en-US" w:eastAsia="en-US" w:bidi="ar-SA"/>
          </w:rPr>
          <w:t>Jalbert v. Saanich (District), [2007] B.C.J. No. 1028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Wilson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23 and 24,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15,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Victoria Registry No. 05-1609</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[2007] B.C.J. No. 1028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BCSC 676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33 M.P.L.R. (4th) 259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157 A.C.W.S. (3d) 1063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CarswellBC 1064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Nancy Jalbert, Plaintiff, and The Corporation of the District of Saanich and John Doe,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38" style="position:absolute;z-index:2516828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57" w:name="Keywords_23"/>
      <w:bookmarkEnd w:id="157"/>
      <w:r>
        <w:rPr>
          <w:rFonts w:ascii="arial" w:eastAsia="arial" w:hAnsi="arial" w:cs="arial"/>
          <w:b/>
          <w:color w:val="000000"/>
          <w:sz w:val="20"/>
          <w:lang w:val="en-US" w:eastAsia="en-US" w:bidi="ar-SA"/>
        </w:rPr>
        <w:t xml:space="preserve">Municipal law — Liabilities of municipality — Tortious liability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Action by the plaintiff against the defendant municipality for injuries she sustained at its aquatic centre dismissed — Plaintiff failed to establish that the defendant did not meet the standard of care that was reasonable to see that the plaintiff was reasonably safe in using the centre.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Municipal law — Actions by or against municipalities — Types of actions against municipalities — Action by the plaintiff against the defendant municipality for injuries she sustained at its aquatic centre dismissed — Plaintiff failed to establish that the defendant did not meet the standard of care that was reasonable to see that the plaintiff was reasonably safe in using the centre.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Standard of care — Action by the plaintiff against the defendant municipality for injuries she sustained at its aquatic centre dismissed — Plaintiff failed to establish that the defendant did not meet the standard of care that was reasonable to see that the plaintiff was reasonably safe in using the centre.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Occupiers' liability — Duty of occupier — To invitees — Legislation — Action by the plaintiff against the defendant municipality for injuries she sustained at its aquatic centre dismissed — Plaintiff failed to establish that the defendant did not meet the standard of care that was reasonable to see that the plaintiff was reasonably safe in using the centre.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Torts by the Crown — Municipalities — Action by the plaintiff against the defendant municipality for injuries she sustained at its aquatic centre dismissed — Plaintiff failed to establish that the defendant did not meet the standard of care that was reasonable to see that the plaintiff was reasonably safe in using the centre.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58" w:name="Case Summary_23"/>
            <w:bookmarkEnd w:id="15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Jalbert against the defendant Corporation of the District of Saanich for damages for occupier's liability -- Saanich operated a recreational facility -- Facility contained an aquatic centre -- Centre included a dive tank -- Jalbert stepped off a five-metre platform into the tank -- Before she cleared the area below the platform the 12-year old defendant John Doe stepped off the platform and collided with Jalbert in the water below -- As a result of that collision Jalbert's left arm was injured -- Doe was negligent -- Saanich admitted that it was an occupier of the centre and it owed a duty of care to Jalbert as prescribed by the Occupiers Liability Act -- At issue was whether Saanich failed to comply with the standard of care defined in the Act -- It posted warning signs at the entrance to the diving tower -- Nine uniformed, qualified lifeguards were on duty at the centre on the day of the incident -- There was also a volunteer, apprentice lifeguard on duty -- Saanich sought to achieve a ratio of one qualified lifeguard for every 50 patrons -- HELD: Action dismissed -- Saanich was compliant with the legislative standards that governed swimming facilities -- It was entitled to assume that its patrons, which included 12-year old boys, would exercise reasonable care for their own safety and for the safety of other patrons -- Jalbert failed to establish, on a balance of probabilities, that Saanich did not meet the standard of care -- It could be that Saanich could have done more to prevent the injury -- Court was not persuaded that Saanich did not take reasonable care to see that Jalbert was reasonably safe in using the centre -- It was therefore not liable for Jalbert's injuries.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59" w:name="Legislation Cited_12"/>
      <w:bookmarkEnd w:id="15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39" style="position:absolute;z-index:2517340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Health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Occupiers Liability Act, </w:t>
      </w:r>
      <w:hyperlink r:id="rId641" w:history="1">
        <w:r>
          <w:rPr>
            <w:rFonts w:ascii="arial" w:eastAsia="arial" w:hAnsi="arial" w:cs="arial"/>
            <w:i/>
            <w:color w:val="0077CC"/>
            <w:sz w:val="20"/>
            <w:u w:val="single"/>
            <w:shd w:val="clear" w:color="auto" w:fill="FFFFFF"/>
            <w:lang w:val="en-US" w:eastAsia="en-US" w:bidi="ar-SA"/>
          </w:rPr>
          <w:t>R.S.B.C. 1996, c. 337, s. 3</w:t>
        </w:r>
      </w:hyperlink>
      <w:r>
        <w:rPr>
          <w:rFonts w:ascii="arial" w:eastAsia="arial" w:hAnsi="arial" w:cs="arial"/>
          <w:color w:val="000000"/>
          <w:sz w:val="20"/>
          <w:lang w:val="en-US" w:eastAsia="en-US" w:bidi="ar-SA"/>
        </w:rPr>
        <w:t>(1), s. 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Swimming Pool, Spray Pool and Wading Pool Regulations, </w:t>
      </w:r>
      <w:hyperlink r:id="rId642" w:history="1">
        <w:r>
          <w:rPr>
            <w:rFonts w:ascii="arial" w:eastAsia="arial" w:hAnsi="arial" w:cs="arial"/>
            <w:i/>
            <w:color w:val="0077CC"/>
            <w:sz w:val="20"/>
            <w:u w:val="single"/>
            <w:shd w:val="clear" w:color="auto" w:fill="FFFFFF"/>
            <w:lang w:val="en-US" w:eastAsia="en-US" w:bidi="ar-SA"/>
          </w:rPr>
          <w:t>B.C. Reg. 289/72</w:t>
        </w:r>
      </w:hyperlink>
      <w:r>
        <w:rPr>
          <w:rFonts w:ascii="arial" w:eastAsia="arial" w:hAnsi="arial" w:cs="arial"/>
          <w:color w:val="000000"/>
          <w:sz w:val="20"/>
          <w:lang w:val="en-US" w:eastAsia="en-US" w:bidi="ar-SA"/>
        </w:rPr>
        <w:t>, O.C. 4190/72 and B.C. Reg. 451/2003, s. 57, s. 73(c), s. 74</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60" w:name="Counsel_23"/>
      <w:bookmarkEnd w:id="160"/>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40" style="position:absolute;z-index:2517852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E.Y. Magraken and C.E. York, Articling Student.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A.R. Borzoni.</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61" w:name="Judgment_23"/>
      <w:bookmarkEnd w:id="161"/>
      <w:r>
        <w:pict>
          <v:line id="_x0000_s1141" style="position:absolute;z-index:25183539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80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62" w:name="WILSON J."/>
            <w:bookmarkEnd w:id="162"/>
            <w:r>
              <w:rPr>
                <w:rFonts w:ascii="arial" w:eastAsia="arial" w:hAnsi="arial" w:cs="arial"/>
                <w:b/>
                <w:color w:val="000000"/>
                <w:sz w:val="30"/>
                <w:lang w:val="en-US" w:eastAsia="en-US" w:bidi="ar-SA"/>
              </w:rPr>
              <w:t>WILSON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Corporation of the District of Saanich ("Saanich") operates a recreational facility. An aquatic centre is part of that facility. The aquatic centre contains, among other pools, a "dive tank".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On the afternoon of 1 August 2004, Ms. Jalbert stepped off a 5-metre platform into the dive tank. Before she had cleared the area below the 5-metre platform, the defendant John Doe stepped off the 5-metre platform and collided with Ms. Jalbert in the water below. As a result of that collision, Ms. Jalbert suffered injury to her left 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John Doe was said to be a male person of an estimated age of twelve years. Other than that, nothing is known of Mr. Doe. He was not served with the process in this action, and took no part in this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It is common ground that John Doe was negligent in stepping off the 5-metre platform when Ms. Jalbert was in the path of his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Saanich admits that it was an occupier of the aquatic centre, and owed a duty of care to Ms. Jalbert as prescribed by the </w:t>
      </w:r>
      <w:r>
        <w:rPr>
          <w:rFonts w:ascii="arial" w:eastAsia="arial" w:hAnsi="arial" w:cs="arial"/>
          <w:b/>
          <w:i/>
          <w:color w:val="000000"/>
          <w:sz w:val="20"/>
          <w:lang w:val="en-US" w:eastAsia="en-US" w:bidi="ar-SA"/>
        </w:rPr>
        <w:t>Occupier's Liability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trial is confined to the issue of whether Saanich failed to comply with the standard of care defined in that Act.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aquatic centre was constructed as part of the infrastructure for the hosting of the 1994 Commonwealth Games. In addition to the dive tank, the centre includes a competition pool, a teach pool, a wave pool, a tot pool and a whirl pool.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There is associated with the dive tank the following launching devices: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 spring board, 1 metre above the water surface;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 spring boards and 1 platform, 3 metres above the water surface;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 platform, 5 metres above the water surface;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 platform, 7.5 metres above the water surface; 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 platform, 10 metres above the water surface.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 tower, containing a circular staircase, provides access to the 3-metre platform, the 5-metre platform, the 3-metre spring boards, the 7.5-metre platform and the 10-metre platform. As well, the top of the tower contains the departure point for a waterslide which empties into the wave pool.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Access to the platforms and boards is regulated by a steel gate at the entry point from the tower.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Signs are posted at both entry points into the tower, externally and internally, reading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FOR YOUR SAFETY AND ENJOYMENT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PLEASE FOLLOW THESE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DIVING BOARD &amp; TOWER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GUIDELINES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Only good swimmers and those comfortable with heights should use the boards.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Approach the end of the board in a controlled manner.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Only attempt dives and jumps with which you are comfortable. Seek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instruction from staff.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Ensure water area below is clear before leaving boards and towers.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Exit area immediately after entering water.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Serious injuries may occur on these stairs and towers due to height of this structure.</w:t>
      </w:r>
    </w:p>
    <w:p>
      <w:pPr>
        <w:numPr>
          <w:numId w:val="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Please walk slowly on stairs.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Parents are responsible for children on the stairs and around the railings. Children 7 years and under must be under the direct supervision of an adult in and around the pool.</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Please control your behaviour while using stairs, towers and waterslides.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Additional signage is present on the platforms reading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Reminder: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Platform Divers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[Arrow pointing down]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Exit Under Platform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Immediately After Diving!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DIVING PLATFORM RULES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******PLEASE STOP AND READ******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Only one person at a time on the platform.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Please wait behind line for your turn.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Walk up to end of platform and look below to ensure area is clear before jumping or diving.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Only attempt dives or jumps that you are comfortable with.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Upon entering the water please swim directly back to wall beneath, and exit pool.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Geronimo!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line referred to in the sign above is a vertical red line painted on the wall in the corridor leading to the platform edge.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Metal gates are installed on both sides of the platform extending almost to the edge of the platform.</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On the afternoon of 1 August 2004 nine uniformed, qualified lifeguards were on duty at the aquatic centre. As well, there was one person known as a "shadow lifeguard". A shadow lifeguard is one aspiring to employment with Saanich as a lifeguard in the aquatic complex. Ms. Carmichael, the pool manager, described the position as "... an apprentice-type program. They are not paid. They volunteer." Saanich seeks to achieve a ratio of one qualified lifeguard for every fifty patrons using the aquatic centre.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Lifeguards on the pool deck begin from a central position, and move back and forth during their surveillance of activities in the centre. The lifeguards rotate positions every fifteen minutes.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When the waterslide is open, one lifeguard is dedicated to a position at the entryway to the waterslide at the top of the tower.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When the 7.5-metre and 10-metre platforms are in use, a lifeguard is dedicated to those platforms, to monitor the competence and capabilities of the users and their safe use of the platforms. The use of these two platforms is restricted to adults only, during public, adult swimming sessions.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Saanich maintains a "Lifeguard Policy and Procedural Manual". In that manual, the following policies and procedures are prescribed for the dive tank: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Dive Tank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lifeguard must take up a] position located at the North West corner of the dive tank and mobile along the north and west walls as needed. Most concerned with maintaining a safe diving area as well as a separate leisure area. Ensuring that all of the rules regarding the safe operation of the diving equipment are strictly adhered to. Include point and chair guards in your scan/sweep.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346"/>
        <w:gridCol w:w="543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Intensive Coverage:</w:t>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Dive Tank</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2520"/>
        <w:rPr>
          <w:rFonts w:ascii="arial" w:eastAsia="arial" w:hAnsi="arial" w:cs="arial"/>
          <w:sz w:val="20"/>
          <w:lang w:val="en-US" w:eastAsia="en-US" w:bidi="ar-SA"/>
        </w:rPr>
      </w:pPr>
      <w:r>
        <w:rPr>
          <w:rFonts w:ascii="arial" w:eastAsia="arial" w:hAnsi="arial" w:cs="arial"/>
          <w:color w:val="000000"/>
          <w:sz w:val="20"/>
          <w:lang w:val="en-US" w:eastAsia="en-US" w:bidi="ar-SA"/>
        </w:rPr>
        <w:t>Diving boards/Platforms Surrounding deck area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3819"/>
        <w:gridCol w:w="238"/>
        <w:gridCol w:w="474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Additional Responsibilities:</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7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Ensure the safe usage of diving boards/platforms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Special Notes: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Boards/Platforms typically open during public swims include: outside 1m and 3m springboards, and the 5m platform.</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the 7.5m or 10m platform is in use, a lifeguard must be present to regulate the activity. The guard must summon the user to the edge to ensure for themselves that the area is clear.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Dive Tower Guidelines</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Divers must approach the end of the board/platform in a controlled fashion (no running)</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Divers should only attempt dives or jumps that they feel comfortable with.</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Only one diver may use a board or a platform at one time.</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Divers must ensure the splash down area is clear before diving.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waiting to use the platform, patrons must wait behind the red line.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program Ms. Jalbert attended on the afternoon of 1 August 2004 was known as the "family swim". That is to say, the centre was open to patrons of all ages. The session commenced at 1:00 p.m. and concluded at 5:00 p.m. During that session 390 patrons attended. Ms. Carmichael said that swimmers remained, on average, 1.5 to 2 hours. Additionally, between 1:00 p.m. and 4:00 p.m., private groups attended, with their own supervisors, for one-hour sessions. Nine lifeguards and the shadow lifeguard were on duty throughout the session.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Between December 1994 and December 2006, 4.9 million persons utilized the aquatic centre. Of that number, 2.9 million were public swim attendees.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Over that period, Saanich has recorded thirteen similar incidents before 1 August 2004, and one after that date. The material provisions of the records are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23 February 1996 -- was swimming under 5m tower -- friend jumped landed on M's legs -- sore knees -- no bruising or swelling found.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 August 1996 -- jumped off 5m board and she landed on someone down at the bottom -- some bruising and swelling on right leg just below knee.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23 August 1996 -- jumping off of the 5m platform and landed on another patron's hand (in this incident it was the jumper who was injured).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 April 1997 -- child leaped off 5m tower and hit his father in the pool below causing his dad to put his teeth through his tongue -- split tongue -- end nicked off a tiny bit -- small bump on head.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19 October 1997 -- jumped off of 5m diving board just as he was about to swim back a 12 year old boy jumped onto his arm -- his heel hit his elbow (the inside lower part of his elbow) -- sore arm -- does not hurt to bend it; hurts a bit to touch the area, pain of 3 -- scale of 1 -- 10.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 May 1998 -- jumping off 5m, friend landed on him -- pain on surface (not "inside") of shoulder --some redness on shoulder.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16 July 1998 -- had one of her fellow classmates land on top of her, while practicing her diving off of the 5m platform -- first said that she could not feel her leg -- within five minutes, she was able to stand on the injured leg, and perform a variety of tests.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 December 1998 -- was in dive tank under 5m board when someone landed off the 5, on his left side brushing his shoulder -- pain in left forearm -- pain subsided in about 2 minutes.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31 March 2000 - was landed on by a kid jumping off the 5m platform -- trouble lifting arms above head (pain).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22 July 2001 -- jumped on by another kid from 5m -- winded, some bruising, no pain though, just winded.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 February 2002 --he was landed on off the 5m 15 minutes before he felt his neck feel stiff.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 December 2002 -- went off 5m dive board and was coming to the surface when a boy had jumped off the 5m and landed on his neck and shoulder -- pain in back of neck near shoulders -- no tingling in extremities -- dull pain #6 on scale of 1 -10 -- no nausea -- no jaw pain -- mobility of all extremities.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 March 2004 -- had jumped off of the 5m diving board -- a student not with H's school was pushed off of the 5m diving board and landed on top of H -- swelling over right eye -- headache.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 October 2004 - 2 children jumped off of the 5m platform at the same time, and crash into each other under the water -- one of the kids complained of back pain -- spinal -- sore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foregoing incidents are what the parties have described as incidents -- "involving two people".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contrast, incidents involving two people from other leaps into the dive tank are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From the pool deck -- 15 incidents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From the 1-metre boards -- 9 incidents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From the 3-metre boards -- 7 incidents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From the 7.5 and 20-metre platforms -- 0 incidents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Seemingly, the risk of being jumped on by a fellow swimmer is greater where the jump is from the pool deck than from the 5-metre platform, 3-metre or 1-metre boards.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history of two people incidents involving the 5-metre platform has not led to a change in Saanich's policies and procedures. Ms. Carmichael said that this was a decision based upon the frequency of occurrence and magnitude of injury sustained.</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Legislative standards for the operation of the aquatic centre are governed by the Swimming Pool, Spray Pool and Wading Pool Regulations, </w:t>
      </w:r>
      <w:hyperlink r:id="rId642" w:history="1">
        <w:r>
          <w:rPr>
            <w:rFonts w:ascii="arial" w:eastAsia="arial" w:hAnsi="arial" w:cs="arial"/>
            <w:i/>
            <w:color w:val="0077CC"/>
            <w:sz w:val="20"/>
            <w:u w:val="single"/>
            <w:shd w:val="clear" w:color="auto" w:fill="FFFFFF"/>
            <w:lang w:val="en-US" w:eastAsia="en-US" w:bidi="ar-SA"/>
          </w:rPr>
          <w:t>B.C. Reg. 289/72</w:t>
        </w:r>
      </w:hyperlink>
      <w:r>
        <w:rPr>
          <w:rFonts w:ascii="arial" w:eastAsia="arial" w:hAnsi="arial" w:cs="arial"/>
          <w:color w:val="000000"/>
          <w:sz w:val="20"/>
          <w:lang w:val="en-US" w:eastAsia="en-US" w:bidi="ar-SA"/>
        </w:rPr>
        <w:t xml:space="preserve">, O.C. 4190/72 and B.C. Reg. 451/2003. These are regulations adopted under the </w:t>
      </w:r>
      <w:r>
        <w:rPr>
          <w:rFonts w:ascii="arial" w:eastAsia="arial" w:hAnsi="arial" w:cs="arial"/>
          <w:b/>
          <w:i/>
          <w:color w:val="000000"/>
          <w:sz w:val="20"/>
          <w:lang w:val="en-US" w:eastAsia="en-US" w:bidi="ar-SA"/>
        </w:rPr>
        <w:t>Health Act</w:t>
      </w:r>
      <w:r>
        <w:rPr>
          <w:rFonts w:ascii="arial" w:eastAsia="arial" w:hAnsi="arial" w:cs="arial"/>
          <w:color w:val="000000"/>
          <w:sz w:val="20"/>
          <w:lang w:val="en-US" w:eastAsia="en-US" w:bidi="ar-SA"/>
        </w:rPr>
        <w:t>. The material regulations, for the purposes of this litigation, are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Diving boards and platforms more than 10 feet above the water level shall have the access designed so that it may be controlled.</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Every swimming pool manager shall ensure that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at least one lifeguard is on duty at pool side for each 100 persons or portion thereof within the pool area.</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The use of diving boards and platforms shall be restricted in the interest of safety at the discretion of the swimming pool manager.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There is no dispute that Saanich is compliant with the legislative standards. And was so, on 1 August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Daryl Miller, the Executive Director of the Life Saving Society of British Columbia and Yukon Territory was qualified to give opinion evidence on "custom" and swimming pool operations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a report dated 16 February 2007, Mr. Miller made the following observations: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industry standard is that a lifeguard is not specifically assigned to monitor the use of the 5 m. platform when it is open for public use. It becomes one component within the area of responsibility for the lifeguard assigned to that section of the pool. To the best of my knowledge, no other facility in BC with a 5 meter platform requires that a lifeguard be placed on the 5 meter platform specifically for the purpose of monitoring its use.</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industry standard applied to the use of a 5 meter platform is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Open for public use in the same category as 1 m. and 3 m. diving boards and under similar rules of use such as one user at a time; users must have basic swimming ability to reach pool edge; user to ensure landing area is clear of previous user; no running toward entry; user to clear area immediately after entering the water.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There is some variation in the industry standard related to where the next user is to wait. Some have next user wait at the bottom of the stairs until they see that the previous user has entered the water and cleared the landing area while others allow the next user to be on the platform waiting for the previous user to enter the water and clear the area. In either case, it is the responsibility of the next user to visually ensure that the previous user has left the landing area prior to entry.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Rules applied to use of the 5 m. platform are clearly set out in conspicuous signage visible prior to ascending the stairs to the platform.</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Other diving boards or platforms in close proximity to the 5 meter platform are closed when the 5 meter platform is open for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 accept those observations, (they were not contradicted), and find they accurately define the "custom and practise in the industry". Saanich complied with those customs and practises on 1 August 2004.</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Ms. Jalbert pleads that the cause of her injuries was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Saanich in its failure to observe the requisite standard of care it owed to her as a person lawfully using the public swimming pool.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particularized as follows:</w:t>
      </w:r>
      <w:r>
        <w:rPr>
          <w:rFonts w:ascii="arial" w:eastAsia="arial" w:hAnsi="arial" w:cs="arial"/>
          <w:sz w:val="20"/>
          <w:lang w:val="en-US" w:eastAsia="en-US" w:bidi="ar-SA"/>
        </w:rPr>
        <w:cr/>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failed to take adequate or any action to protect the Plaintiff from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JOHN DOE;</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failed to adequately supervise the premises and to ensure that no hazards occurred as a result of the lack of proper supervision;</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failed to discharge the duty of care to the plaintiff in breach of the </w:t>
      </w:r>
      <w:r>
        <w:rPr>
          <w:rFonts w:ascii="arial" w:eastAsia="arial" w:hAnsi="arial" w:cs="arial"/>
          <w:color w:val="000000"/>
          <w:sz w:val="20"/>
          <w:u w:val="single"/>
          <w:lang w:val="en-US" w:eastAsia="en-US" w:bidi="ar-SA"/>
        </w:rPr>
        <w:t>Occupiers Liability Act</w:t>
      </w:r>
      <w:r>
        <w:rPr>
          <w:rFonts w:ascii="arial" w:eastAsia="arial" w:hAnsi="arial" w:cs="arial"/>
          <w:color w:val="000000"/>
          <w:sz w:val="20"/>
          <w:lang w:val="en-US" w:eastAsia="en-US" w:bidi="ar-SA"/>
        </w:rPr>
        <w:t>;</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failed to properly warn the Plaintiff with respect to the lack of adequate supervision;</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failed to properly maintain its facility and to ensure that no hazards occurred as a result of the lack of proper maintenance;</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such further and other particulars as counsel may advise.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Ms. Jalbert also pleads and "relies upon the </w:t>
      </w:r>
      <w:r>
        <w:rPr>
          <w:rFonts w:ascii="arial" w:eastAsia="arial" w:hAnsi="arial" w:cs="arial"/>
          <w:b/>
          <w:i/>
          <w:color w:val="000000"/>
          <w:sz w:val="20"/>
          <w:lang w:val="en-US" w:eastAsia="en-US" w:bidi="ar-SA"/>
        </w:rPr>
        <w:t>Occupiers Liability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 xml:space="preserve"> and amendments thereto." This latter plea probably subsumes the former.</w:t>
      </w:r>
      <w:bookmarkStart w:id="163" w:name="Backward_fnref_fnr-1_0"/>
      <w:hyperlink w:anchor="Forward_fnref_fnr-1" w:history="1">
        <w:r>
          <w:rPr>
            <w:rFonts w:ascii="arial" w:eastAsia="arial" w:hAnsi="arial" w:cs="arial"/>
            <w:b/>
            <w:color w:val="BE161D"/>
            <w:sz w:val="20"/>
            <w:shd w:val="clear" w:color="auto" w:fill="FFFFFF"/>
            <w:vertAlign w:val="superscript"/>
            <w:lang w:val="en-US" w:eastAsia="en-US" w:bidi="ar-SA"/>
          </w:rPr>
          <w:t>1</w:t>
        </w:r>
      </w:hyperlink>
      <w:bookmarkEnd w:id="163"/>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Occupiers Liability Act</w:t>
      </w:r>
      <w:r>
        <w:rPr>
          <w:rFonts w:ascii="arial" w:eastAsia="arial" w:hAnsi="arial" w:cs="arial"/>
          <w:color w:val="000000"/>
          <w:sz w:val="20"/>
          <w:lang w:val="en-US" w:eastAsia="en-US" w:bidi="ar-SA"/>
        </w:rPr>
        <w:t xml:space="preserve"> prescribes a duty of care and a standard of care for occupiers of premises. For the purpose of this litigation, the operative words of the Act 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(1) An occupier of premises owes a duty to take that care that in all the circumstances of the case is reasonable to see that a person ... on the premises ... will be reasonably safe in using the premises.</w:t>
      </w:r>
    </w:p>
    <w:p>
      <w:pPr>
        <w:numPr>
          <w:numId w:val="1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duty of care referred to in subsection (1) applies in relation to the</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condition of the premises,</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activities on the premises, or</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conduct of third parties on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Ms. Jalbert contends that there was a foreseeable risk of harm. This is manifest from the history of incidents involving injuries connected to the 5-metre platform.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risk is the risk of injury from falling bodies. Ms. Jalbert says the severity of injury increases with the height of the drop. That is to say, the gravity of harm from the 5-metre platform is greater than the gravity of harm from a body falling from the pool deck. Notwithstanding this foreseeability, Saanich did nothing to alter its policies and procedures from the date of commencement of operations in 1994.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Ms. Jalbert argues that injuries from bodies falling from the 5-metre platform could be prevented by Saanich prohibiting use of the 5-metre platform during public swimming sessions. She says this simple measure could be done at no cost to Saanich.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Alternatively, if the 5-metre platform is to be open, then Saanich should designate one lifeguard to the 5-metre platform to control its use, and prohibit patrons from leaving the platform until the water below is clear. Such a procedure would not increase the cost because the designated lifeguard to the 5-metre platform would not compromise the regulation requiring one lifeguard for every 100 persons. As well, designating a lifeguard to the 5-metre platform would be consistent with the policy Saanich now has for the 7.5 and 10-metre platforms.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If, contrary to Ms. Jalbert's argument, a designated lifeguard would result in a cost to Saanich, then Saanich could reduce the hours of operation of the 5-metre platform; or, close the waterslide, and reassign the dedicated lifeguard from the waterslide to the 5-metre platform. The cost ramification would be neutral.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Finally, another reasonable measure Saanich should have taken, to make Ms. Jalbert reasonably safe while using the premises, would be to require patrons using the 5-metre platform to wait at the entry to the tower until the previous swimmer had completed the jump and cleared the water area below.</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defence of Ms. Jalbert's claim, Saanich pleads that it -- "took that care that in all the circumstances of the case was reasonable to see that the Plaintiff was reasonably safe in using the Commonwealth Pool."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Saanich says that closing the 5-metre platform to the swimming public is an unreasonable requirement. It says that the swimming public has a penchant for leaping into water from heights. Better, says Saanich, to provide the swimming public with the opportunity to pursue this activity in a controlled facility, with the presence of lifeguards, than leaps from cliffs in an uncontrolled environment into, for example, Thetis Lake.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Saanich says that a requirement for users of the 5-metre platform to wait at the entry to the tower is also unreasonable. The entry to the tower is used by those seeking to enjoy the waterslide and the 3-metre facilities, as well as the 5-metre platform. Segregating the users of the various facilities would require a designated lifeguard at the entry point. This is contrary to the allocation of lifeguard resources Saanich has decided upon. There is no legislative requirement nor standard practice for a designated lifeguard on a 5-metre platform or for the entry point. Saanich also says that those pools which have a policy of users of a 5-metre platform waiting at the entry point until the area below is clear, are not facilities for which the entry point serves the users of other facilities such as the waterslide and 3-metre platform and boards.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As is the custom in the industry, Saanich relies on the good sense of its patrons to act responsibly; augmented by cautionary signage and lifeguard oversight throughout the complex.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view of the frequency and volume of injury incidents involving the 5-metre pool, and the number of attendees in the aquatic centre, Saanich argues that everyone, "except for an infinitesimally small number of patrons", complies with the rules and regulations of use of the centre, and use common sense when jumping from the various boards, platforms and the pool deck. Based on that notion, Saanich has not changed its policies over the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As well, Saanich says the severity of injuries sustained in the dive pool incidents connected with the 5-metre platform, are not qualitatively different from the injuries sustained in incidents involving the pool deck, the 1-metre board and the 3-metre platform and boards.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Saanich says that it has complied with or exceeded all legislative requirements and industry standards in the operation of an aquatic centre.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Finally, Saanich contends that the cause of Ms. Jalbert's injuries was John Doe's failure to comply with common sense and the posted procedures for use of the 5-metre platform by jumping into the water without looking.</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In support of her position, Ms. Jalbert has referred to this court's decision in </w:t>
      </w:r>
      <w:r>
        <w:rPr>
          <w:rFonts w:ascii="arial" w:eastAsia="arial" w:hAnsi="arial" w:cs="arial"/>
          <w:b/>
          <w:i/>
          <w:color w:val="000000"/>
          <w:sz w:val="20"/>
          <w:lang w:val="en-US" w:eastAsia="en-US" w:bidi="ar-SA"/>
        </w:rPr>
        <w:t>Mulherin v. Mihalick</w:t>
      </w:r>
      <w:r>
        <w:rPr>
          <w:rFonts w:ascii="arial" w:eastAsia="arial" w:hAnsi="arial" w:cs="arial"/>
          <w:color w:val="000000"/>
          <w:sz w:val="20"/>
          <w:lang w:val="en-US" w:eastAsia="en-US" w:bidi="ar-SA"/>
        </w:rPr>
        <w:t>.</w:t>
      </w:r>
      <w:bookmarkStart w:id="164" w:name="Backward_fnref_fnr-2_0"/>
      <w:hyperlink w:anchor="Forward_fnref_fnr-2" w:history="1">
        <w:r>
          <w:rPr>
            <w:rFonts w:ascii="arial" w:eastAsia="arial" w:hAnsi="arial" w:cs="arial"/>
            <w:b/>
            <w:color w:val="BE161D"/>
            <w:sz w:val="20"/>
            <w:shd w:val="clear" w:color="auto" w:fill="FFFFFF"/>
            <w:vertAlign w:val="superscript"/>
            <w:lang w:val="en-US" w:eastAsia="en-US" w:bidi="ar-SA"/>
          </w:rPr>
          <w:t>2</w:t>
        </w:r>
      </w:hyperlink>
      <w:bookmarkEnd w:id="164"/>
      <w:r>
        <w:rPr>
          <w:rFonts w:ascii="arial" w:eastAsia="arial" w:hAnsi="arial" w:cs="arial"/>
          <w:color w:val="000000"/>
          <w:sz w:val="20"/>
          <w:lang w:val="en-US" w:eastAsia="en-US" w:bidi="ar-SA"/>
        </w:rPr>
        <w:t xml:space="preserve"> In that case, the Province of British Columbia was the occupier of a provincial park on Shuswap Lake. The park contained, among other amenities, a picnic area with tables, and a boat launch parking lot. The parking lot was paved, with a one degree grade. The picnic area lay between the parking lot and the lake. The low side of the parking lot abutted the picnic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On the day in question, the plaintiffs were using the picnic area. The defendant Mihalick parked his truck and boat trailer on the parking lot; left the vehicle with the transmission in neutral, and the parking brake not engaged. The truck and trailer rolled over two of the plaintiffs and came to rest in sixty feet of water, three hundred feet from the lake shore. Two of the plaintiffs were seriously injured. After the event, the Province of British Columbia installed no post barriers between the parking lot and the picnic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The court held the Province of British Columbia liable. At para. 20, the court adopted the test in </w:t>
      </w:r>
      <w:r>
        <w:rPr>
          <w:rFonts w:ascii="arial" w:eastAsia="arial" w:hAnsi="arial" w:cs="arial"/>
          <w:b/>
          <w:i/>
          <w:color w:val="000000"/>
          <w:sz w:val="20"/>
          <w:lang w:val="en-US" w:eastAsia="en-US" w:bidi="ar-SA"/>
        </w:rPr>
        <w:t>Ryan v. Victoria (City)</w:t>
      </w:r>
      <w:r>
        <w:rPr>
          <w:rFonts w:ascii="arial" w:eastAsia="arial" w:hAnsi="arial" w:cs="arial"/>
          <w:color w:val="000000"/>
          <w:sz w:val="20"/>
          <w:lang w:val="en-US" w:eastAsia="en-US" w:bidi="ar-SA"/>
        </w:rPr>
        <w:t>:</w:t>
      </w:r>
      <w:bookmarkStart w:id="165" w:name="Backward_fnref_fnr-3"/>
      <w:hyperlink w:anchor="Forward_fnref_fnr-3" w:history="1">
        <w:r>
          <w:rPr>
            <w:rFonts w:ascii="arial" w:eastAsia="arial" w:hAnsi="arial" w:cs="arial"/>
            <w:b/>
            <w:color w:val="BE161D"/>
            <w:sz w:val="20"/>
            <w:shd w:val="clear" w:color="auto" w:fill="FFFFFF"/>
            <w:vertAlign w:val="superscript"/>
            <w:lang w:val="en-US" w:eastAsia="en-US" w:bidi="ar-SA"/>
          </w:rPr>
          <w:t>3</w:t>
        </w:r>
      </w:hyperlink>
      <w:bookmarkEnd w:id="165"/>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Conduct is negligent if it creates an objectively unreasonable risk of harm. To avoid liability, a person must exercise the standard of care that would be expected of an ordinary, reasonable and prudent person in the same circumstances. The measure of what is reasonable depends on the facts of each case, including the likelihood of a known or foreseeable harm, the gravity of that harm, and the burden or cost which would be incurred to prevent the injury. In addition, one may look to external indicators of reasonable conduct, such as custom, industry practice, and statutory or regulatory standards.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Applying that test, the court found that the harm of a vehicle rolling over the picnic area was foreseeable (para. 41); the risk of that harm was great; and the cost of preventing it small (para. 38).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The word "prevent" must be used cautiously. The word does not appear in the Act. The legislature has imposed no duty on Saanich to "prevent" injury, but rather, first to take such care as was </w:t>
      </w:r>
      <w:r>
        <w:rPr>
          <w:rFonts w:ascii="arial" w:eastAsia="arial" w:hAnsi="arial" w:cs="arial"/>
          <w:color w:val="000000"/>
          <w:sz w:val="20"/>
          <w:u w:val="single"/>
          <w:lang w:val="en-US" w:eastAsia="en-US" w:bidi="ar-SA"/>
        </w:rPr>
        <w:t>reasonable</w:t>
      </w:r>
      <w:r>
        <w:rPr>
          <w:rFonts w:ascii="arial" w:eastAsia="arial" w:hAnsi="arial" w:cs="arial"/>
          <w:color w:val="000000"/>
          <w:sz w:val="20"/>
          <w:lang w:val="en-US" w:eastAsia="en-US" w:bidi="ar-SA"/>
        </w:rPr>
        <w:t xml:space="preserve">; and, secondly, to see that a person using the premises was </w:t>
      </w:r>
      <w:r>
        <w:rPr>
          <w:rFonts w:ascii="arial" w:eastAsia="arial" w:hAnsi="arial" w:cs="arial"/>
          <w:color w:val="000000"/>
          <w:sz w:val="20"/>
          <w:u w:val="single"/>
          <w:lang w:val="en-US" w:eastAsia="en-US" w:bidi="ar-SA"/>
        </w:rPr>
        <w:t>reasonably</w:t>
      </w:r>
      <w:r>
        <w:rPr>
          <w:rFonts w:ascii="arial" w:eastAsia="arial" w:hAnsi="arial" w:cs="arial"/>
          <w:color w:val="000000"/>
          <w:sz w:val="20"/>
          <w:lang w:val="en-US" w:eastAsia="en-US" w:bidi="ar-SA"/>
        </w:rPr>
        <w:t xml:space="preserve"> safe.</w:t>
      </w:r>
      <w:bookmarkStart w:id="166" w:name="Backward_fnref_fnr-4"/>
      <w:hyperlink w:anchor="Forward_fnref_fnr-4" w:history="1">
        <w:r>
          <w:rPr>
            <w:rFonts w:ascii="arial" w:eastAsia="arial" w:hAnsi="arial" w:cs="arial"/>
            <w:b/>
            <w:color w:val="BE161D"/>
            <w:sz w:val="20"/>
            <w:shd w:val="clear" w:color="auto" w:fill="FFFFFF"/>
            <w:vertAlign w:val="superscript"/>
            <w:lang w:val="en-US" w:eastAsia="en-US" w:bidi="ar-SA"/>
          </w:rPr>
          <w:t>4</w:t>
        </w:r>
      </w:hyperlink>
      <w:bookmarkEnd w:id="166"/>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essence, Ms. Jalbert's quarrel with Saanich is over its exercise of judgment in the allocation of its lifeguard resources. That is to say, Saanich failed in the duties imposed by the Act by not applying the same policies applicable to the 7.5-metre and 10-metre platforms to the 5-metre platform.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Saanich's judgment however is based upon a consideration of all of the circumstances, including a comparison of the frequency and severity of injuries from the several levels from which a body may be projected into the water, the volume of patronage of the centre and the efficient assignment of personnel to supervise all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Mulherin</w:t>
      </w:r>
      <w:bookmarkStart w:id="167" w:name="Backward_fnref_fnr-5"/>
      <w:hyperlink w:anchor="Forward_fnref_fnr-5" w:history="1">
        <w:r>
          <w:rPr>
            <w:rFonts w:ascii="arial" w:eastAsia="arial" w:hAnsi="arial" w:cs="arial"/>
            <w:b/>
            <w:color w:val="BE161D"/>
            <w:sz w:val="20"/>
            <w:shd w:val="clear" w:color="auto" w:fill="FFFFFF"/>
            <w:vertAlign w:val="superscript"/>
            <w:lang w:val="en-US" w:eastAsia="en-US" w:bidi="ar-SA"/>
          </w:rPr>
          <w:t>5</w:t>
        </w:r>
      </w:hyperlink>
      <w:bookmarkEnd w:id="167"/>
      <w:r>
        <w:rPr>
          <w:rFonts w:ascii="arial" w:eastAsia="arial" w:hAnsi="arial" w:cs="arial"/>
          <w:color w:val="000000"/>
          <w:sz w:val="20"/>
          <w:lang w:val="en-US" w:eastAsia="en-US" w:bidi="ar-SA"/>
        </w:rPr>
        <w:t>, at para. 41, the court said, among other things: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Both courts and scholars have attempted, without success, to reduce questions of this sort to an equation. It remains, however, simply a matter of judgment and not infrequently a difficult matter of judgment.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There is also the matter of the burden of proof.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aquatic centre is a public recreational facility, and a competitive swimming facility. People will congregate. Bodies will fall from varying heights and collide with others. Saanich is entitled to assume that patrons, including 12 year old boys, will exercise reasonable care for their own safety and the safety of other patrons in light of their own knowledge.</w:t>
      </w:r>
      <w:bookmarkStart w:id="168" w:name="Backward_fnref_fnr-6"/>
      <w:hyperlink w:anchor="Forward_fnref_fnr-6" w:history="1">
        <w:r>
          <w:rPr>
            <w:rFonts w:ascii="arial" w:eastAsia="arial" w:hAnsi="arial" w:cs="arial"/>
            <w:b/>
            <w:color w:val="BE161D"/>
            <w:sz w:val="20"/>
            <w:shd w:val="clear" w:color="auto" w:fill="FFFFFF"/>
            <w:vertAlign w:val="superscript"/>
            <w:lang w:val="en-US" w:eastAsia="en-US" w:bidi="ar-SA"/>
          </w:rPr>
          <w:t>6</w:t>
        </w:r>
      </w:hyperlink>
      <w:bookmarkEnd w:id="168"/>
      <w:r>
        <w:rPr>
          <w:rFonts w:ascii="arial" w:eastAsia="arial" w:hAnsi="arial" w:cs="arial"/>
          <w:color w:val="000000"/>
          <w:sz w:val="20"/>
          <w:lang w:val="en-US" w:eastAsia="en-US" w:bidi="ar-SA"/>
        </w:rPr>
        <w:t xml:space="preserve"> What measures must Saanich take to satisfy the law's requirement that it take care to see that those people will be reasonably safe in using the centre?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burden is upon Ms. Jalbert to establish on a balance of probabilities, that Saanich did not meet the standard of care established by the Act. It may be that Saanich could have done more to "prevent" the injury, but I am not persuaded that Saanich did not take that care, that in all the circumstances of the case, was reasonable to see that Ms. Jalbert was reasonably safe in using the aquatic centre. In result, Saanich is not liable for Ms. Jalbert's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WILSON J.</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r>
        <w:pict>
          <v:line id="_x0000_s1142" style="position:absolute;z-index:251875328" from="0,15pt" to="180pt,15pt" strokecolor="#bcbeb0" strokeweight="0.5pt">
            <v:stroke linestyle="single"/>
          </v:line>
        </w:pict>
      </w:r>
    </w:p>
    <w:p>
      <w:pPr>
        <w:rPr>
          <w:rFonts w:ascii="arial" w:eastAsia="arial" w:hAnsi="arial" w:cs="arial"/>
          <w:sz w:val="20"/>
          <w:lang w:val="en-US" w:eastAsia="en-US" w:bidi="ar-SA"/>
        </w:rPr>
      </w:pPr>
    </w:p>
    <w:p>
      <w:pPr>
        <w:spacing w:before="120" w:after="20" w:line="240" w:lineRule="atLeast"/>
        <w:ind w:left="720" w:hanging="360"/>
        <w:jc w:val="both"/>
        <w:rPr>
          <w:rFonts w:ascii="arial" w:eastAsia="arial" w:hAnsi="arial" w:cs="arial"/>
          <w:sz w:val="20"/>
          <w:lang w:val="en-US" w:eastAsia="en-US" w:bidi="ar-SA"/>
        </w:rPr>
      </w:pPr>
      <w:bookmarkStart w:id="169" w:name="Forward_fnref_fnr-1_0"/>
      <w:hyperlink w:anchor="Backward_fnref_fnr-1" w:history="1">
        <w:r>
          <w:rPr>
            <w:rFonts w:ascii="arial" w:eastAsia="arial" w:hAnsi="arial" w:cs="arial"/>
            <w:b/>
            <w:color w:val="BE161D"/>
            <w:sz w:val="18"/>
            <w:shd w:val="clear" w:color="auto" w:fill="FFFFFF"/>
            <w:lang w:val="en-US" w:eastAsia="en-US" w:bidi="ar-SA"/>
          </w:rPr>
          <w:t>1</w:t>
        </w:r>
      </w:hyperlink>
      <w:bookmarkEnd w:id="169"/>
      <w:r>
        <w:rPr>
          <w:rFonts w:ascii="arial" w:eastAsia="arial" w:hAnsi="arial" w:cs="arial"/>
          <w:sz w:val="20"/>
          <w:lang w:val="en-US" w:eastAsia="en-US" w:bidi="ar-SA"/>
        </w:rPr>
        <w:tab/>
      </w:r>
      <w:r>
        <w:rPr>
          <w:rFonts w:ascii="arial" w:eastAsia="arial" w:hAnsi="arial" w:cs="arial"/>
          <w:b/>
          <w:i/>
          <w:color w:val="6D6E71"/>
          <w:sz w:val="18"/>
          <w:lang w:val="en-US" w:eastAsia="en-US" w:bidi="ar-SA"/>
        </w:rPr>
        <w:t>Atley v. Popkum Water Slides Ltd.</w:t>
      </w:r>
      <w:r>
        <w:rPr>
          <w:rFonts w:ascii="arial" w:eastAsia="arial" w:hAnsi="arial" w:cs="arial"/>
          <w:color w:val="6D6E71"/>
          <w:sz w:val="18"/>
          <w:lang w:val="en-US" w:eastAsia="en-US" w:bidi="ar-SA"/>
        </w:rPr>
        <w:t xml:space="preserve"> </w:t>
      </w:r>
      <w:hyperlink r:id="rId643" w:history="1">
        <w:r>
          <w:rPr>
            <w:rFonts w:ascii="arial" w:eastAsia="arial" w:hAnsi="arial" w:cs="arial"/>
            <w:i/>
            <w:color w:val="0077CC"/>
            <w:sz w:val="18"/>
            <w:u w:val="single"/>
            <w:shd w:val="clear" w:color="auto" w:fill="FFFFFF"/>
            <w:lang w:val="en-US" w:eastAsia="en-US" w:bidi="ar-SA"/>
          </w:rPr>
          <w:t>(1992), 64 B.C.L.R. (2d) 1</w:t>
        </w:r>
      </w:hyperlink>
      <w:r>
        <w:rPr>
          <w:rFonts w:ascii="arial" w:eastAsia="arial" w:hAnsi="arial" w:cs="arial"/>
          <w:color w:val="6D6E71"/>
          <w:sz w:val="18"/>
          <w:lang w:val="en-US" w:eastAsia="en-US" w:bidi="ar-SA"/>
        </w:rPr>
        <w:t>, B.C.C.A. per Southin J.A. in dissent, at para. 24, p. 7.</w:t>
      </w:r>
    </w:p>
    <w:p>
      <w:pPr>
        <w:spacing w:before="120" w:after="20" w:line="240" w:lineRule="atLeast"/>
        <w:ind w:left="720" w:hanging="360"/>
        <w:jc w:val="both"/>
        <w:rPr>
          <w:rFonts w:ascii="arial" w:eastAsia="arial" w:hAnsi="arial" w:cs="arial"/>
          <w:sz w:val="20"/>
          <w:lang w:val="en-US" w:eastAsia="en-US" w:bidi="ar-SA"/>
        </w:rPr>
      </w:pPr>
      <w:bookmarkStart w:id="170" w:name="Forward_fnref_fnr-2_0"/>
      <w:hyperlink w:anchor="Backward_fnref_fnr-2" w:history="1">
        <w:r>
          <w:rPr>
            <w:rFonts w:ascii="arial" w:eastAsia="arial" w:hAnsi="arial" w:cs="arial"/>
            <w:b/>
            <w:color w:val="BE161D"/>
            <w:sz w:val="18"/>
            <w:shd w:val="clear" w:color="auto" w:fill="FFFFFF"/>
            <w:lang w:val="en-US" w:eastAsia="en-US" w:bidi="ar-SA"/>
          </w:rPr>
          <w:t>2</w:t>
        </w:r>
      </w:hyperlink>
      <w:bookmarkEnd w:id="170"/>
      <w:r>
        <w:rPr>
          <w:rFonts w:ascii="arial" w:eastAsia="arial" w:hAnsi="arial" w:cs="arial"/>
          <w:sz w:val="20"/>
          <w:lang w:val="en-US" w:eastAsia="en-US" w:bidi="ar-SA"/>
        </w:rPr>
        <w:tab/>
      </w:r>
      <w:hyperlink r:id="rId644" w:history="1">
        <w:r>
          <w:rPr>
            <w:rFonts w:ascii="arial" w:eastAsia="arial" w:hAnsi="arial" w:cs="arial"/>
            <w:i/>
            <w:color w:val="0077CC"/>
            <w:sz w:val="18"/>
            <w:u w:val="single"/>
            <w:shd w:val="clear" w:color="auto" w:fill="FFFFFF"/>
            <w:lang w:val="en-US" w:eastAsia="en-US" w:bidi="ar-SA"/>
          </w:rPr>
          <w:t>[2007] B.C.J. No. 621</w:t>
        </w:r>
      </w:hyperlink>
      <w:r>
        <w:rPr>
          <w:rFonts w:ascii="arial" w:eastAsia="arial" w:hAnsi="arial" w:cs="arial"/>
          <w:color w:val="6D6E71"/>
          <w:sz w:val="18"/>
          <w:lang w:val="en-US" w:eastAsia="en-US" w:bidi="ar-SA"/>
        </w:rPr>
        <w:t xml:space="preserve">, </w:t>
      </w:r>
      <w:hyperlink r:id="rId644" w:history="1">
        <w:r>
          <w:rPr>
            <w:rFonts w:ascii="arial" w:eastAsia="arial" w:hAnsi="arial" w:cs="arial"/>
            <w:i/>
            <w:color w:val="0077CC"/>
            <w:sz w:val="18"/>
            <w:u w:val="single"/>
            <w:shd w:val="clear" w:color="auto" w:fill="FFFFFF"/>
            <w:lang w:val="en-US" w:eastAsia="en-US" w:bidi="ar-SA"/>
          </w:rPr>
          <w:t>2007 BCSC 420</w:t>
        </w:r>
      </w:hyperlink>
      <w:r>
        <w:rPr>
          <w:rFonts w:ascii="arial" w:eastAsia="arial" w:hAnsi="arial" w:cs="arial"/>
          <w:color w:val="6D6E71"/>
          <w:sz w:val="18"/>
          <w:lang w:val="en-US" w:eastAsia="en-US" w:bidi="ar-SA"/>
        </w:rPr>
        <w:t>.</w:t>
      </w:r>
    </w:p>
    <w:p>
      <w:pPr>
        <w:spacing w:before="120" w:after="20" w:line="240" w:lineRule="atLeast"/>
        <w:ind w:left="720" w:hanging="360"/>
        <w:jc w:val="both"/>
        <w:rPr>
          <w:rFonts w:ascii="arial" w:eastAsia="arial" w:hAnsi="arial" w:cs="arial"/>
          <w:sz w:val="20"/>
          <w:lang w:val="en-US" w:eastAsia="en-US" w:bidi="ar-SA"/>
        </w:rPr>
      </w:pPr>
      <w:bookmarkStart w:id="171" w:name="Forward_fnref_fnr-3"/>
      <w:hyperlink w:anchor="Backward_fnref_fnr-3" w:history="1">
        <w:r>
          <w:rPr>
            <w:rFonts w:ascii="arial" w:eastAsia="arial" w:hAnsi="arial" w:cs="arial"/>
            <w:b/>
            <w:color w:val="BE161D"/>
            <w:sz w:val="18"/>
            <w:shd w:val="clear" w:color="auto" w:fill="FFFFFF"/>
            <w:lang w:val="en-US" w:eastAsia="en-US" w:bidi="ar-SA"/>
          </w:rPr>
          <w:t>3</w:t>
        </w:r>
      </w:hyperlink>
      <w:bookmarkEnd w:id="171"/>
      <w:r>
        <w:rPr>
          <w:rFonts w:ascii="arial" w:eastAsia="arial" w:hAnsi="arial" w:cs="arial"/>
          <w:sz w:val="20"/>
          <w:lang w:val="en-US" w:eastAsia="en-US" w:bidi="ar-SA"/>
        </w:rPr>
        <w:tab/>
      </w:r>
      <w:hyperlink r:id="rId645" w:history="1">
        <w:r>
          <w:rPr>
            <w:rFonts w:ascii="arial" w:eastAsia="arial" w:hAnsi="arial" w:cs="arial"/>
            <w:i/>
            <w:color w:val="0077CC"/>
            <w:sz w:val="18"/>
            <w:u w:val="single"/>
            <w:shd w:val="clear" w:color="auto" w:fill="FFFFFF"/>
            <w:lang w:val="en-US" w:eastAsia="en-US" w:bidi="ar-SA"/>
          </w:rPr>
          <w:t>[1999] 1 S.C.R. 201</w:t>
        </w:r>
      </w:hyperlink>
      <w:r>
        <w:rPr>
          <w:rFonts w:ascii="arial" w:eastAsia="arial" w:hAnsi="arial" w:cs="arial"/>
          <w:color w:val="6D6E71"/>
          <w:sz w:val="18"/>
          <w:lang w:val="en-US" w:eastAsia="en-US" w:bidi="ar-SA"/>
        </w:rPr>
        <w:t>.</w:t>
      </w:r>
    </w:p>
    <w:p>
      <w:pPr>
        <w:spacing w:before="120" w:after="20" w:line="240" w:lineRule="atLeast"/>
        <w:ind w:left="720" w:hanging="360"/>
        <w:jc w:val="both"/>
        <w:rPr>
          <w:rFonts w:ascii="arial" w:eastAsia="arial" w:hAnsi="arial" w:cs="arial"/>
          <w:sz w:val="20"/>
          <w:lang w:val="en-US" w:eastAsia="en-US" w:bidi="ar-SA"/>
        </w:rPr>
      </w:pPr>
      <w:bookmarkStart w:id="172" w:name="Forward_fnref_fnr-4"/>
      <w:hyperlink w:anchor="Backward_fnref_fnr-4" w:history="1">
        <w:r>
          <w:rPr>
            <w:rFonts w:ascii="arial" w:eastAsia="arial" w:hAnsi="arial" w:cs="arial"/>
            <w:b/>
            <w:color w:val="BE161D"/>
            <w:sz w:val="18"/>
            <w:shd w:val="clear" w:color="auto" w:fill="FFFFFF"/>
            <w:lang w:val="en-US" w:eastAsia="en-US" w:bidi="ar-SA"/>
          </w:rPr>
          <w:t>4</w:t>
        </w:r>
      </w:hyperlink>
      <w:bookmarkEnd w:id="172"/>
      <w:r>
        <w:rPr>
          <w:rFonts w:ascii="arial" w:eastAsia="arial" w:hAnsi="arial" w:cs="arial"/>
          <w:sz w:val="20"/>
          <w:lang w:val="en-US" w:eastAsia="en-US" w:bidi="ar-SA"/>
        </w:rPr>
        <w:tab/>
      </w:r>
      <w:r>
        <w:rPr>
          <w:rFonts w:ascii="arial" w:eastAsia="arial" w:hAnsi="arial" w:cs="arial"/>
          <w:b/>
          <w:i/>
          <w:color w:val="6D6E71"/>
          <w:sz w:val="18"/>
          <w:lang w:val="en-US" w:eastAsia="en-US" w:bidi="ar-SA"/>
        </w:rPr>
        <w:t>Atley v. Popkum Water Slides Ltd.</w:t>
      </w:r>
      <w:r>
        <w:rPr>
          <w:rFonts w:ascii="arial" w:eastAsia="arial" w:hAnsi="arial" w:cs="arial"/>
          <w:color w:val="6D6E71"/>
          <w:sz w:val="18"/>
          <w:lang w:val="en-US" w:eastAsia="en-US" w:bidi="ar-SA"/>
        </w:rPr>
        <w:t xml:space="preserve"> above, Footnote 1, per Southin, J.A. (in dissent) at para. 34, p. 10.</w:t>
      </w:r>
    </w:p>
    <w:p>
      <w:pPr>
        <w:spacing w:before="120" w:after="20" w:line="240" w:lineRule="atLeast"/>
        <w:ind w:left="720" w:hanging="360"/>
        <w:jc w:val="both"/>
        <w:rPr>
          <w:rFonts w:ascii="arial" w:eastAsia="arial" w:hAnsi="arial" w:cs="arial"/>
          <w:sz w:val="20"/>
          <w:lang w:val="en-US" w:eastAsia="en-US" w:bidi="ar-SA"/>
        </w:rPr>
      </w:pPr>
      <w:bookmarkStart w:id="173" w:name="Forward_fnref_fnr-5"/>
      <w:hyperlink w:anchor="Backward_fnref_fnr-5" w:history="1">
        <w:r>
          <w:rPr>
            <w:rFonts w:ascii="arial" w:eastAsia="arial" w:hAnsi="arial" w:cs="arial"/>
            <w:b/>
            <w:color w:val="BE161D"/>
            <w:sz w:val="18"/>
            <w:shd w:val="clear" w:color="auto" w:fill="FFFFFF"/>
            <w:lang w:val="en-US" w:eastAsia="en-US" w:bidi="ar-SA"/>
          </w:rPr>
          <w:t>5</w:t>
        </w:r>
      </w:hyperlink>
      <w:bookmarkEnd w:id="173"/>
      <w:r>
        <w:rPr>
          <w:rFonts w:ascii="arial" w:eastAsia="arial" w:hAnsi="arial" w:cs="arial"/>
          <w:sz w:val="20"/>
          <w:lang w:val="en-US" w:eastAsia="en-US" w:bidi="ar-SA"/>
        </w:rPr>
        <w:tab/>
      </w:r>
      <w:r>
        <w:rPr>
          <w:rFonts w:ascii="arial" w:eastAsia="arial" w:hAnsi="arial" w:cs="arial"/>
          <w:color w:val="6D6E71"/>
          <w:sz w:val="18"/>
          <w:lang w:val="en-US" w:eastAsia="en-US" w:bidi="ar-SA"/>
        </w:rPr>
        <w:t>Above, at Footnote 2.</w:t>
      </w:r>
    </w:p>
    <w:p>
      <w:pPr>
        <w:spacing w:before="120" w:after="20" w:line="240" w:lineRule="atLeast"/>
        <w:ind w:left="720" w:hanging="360"/>
        <w:jc w:val="both"/>
        <w:rPr>
          <w:rFonts w:ascii="arial" w:eastAsia="arial" w:hAnsi="arial" w:cs="arial"/>
          <w:sz w:val="20"/>
          <w:lang w:val="en-US" w:eastAsia="en-US" w:bidi="ar-SA"/>
        </w:rPr>
      </w:pPr>
      <w:bookmarkStart w:id="174" w:name="Forward_fnref_fnr-6"/>
      <w:hyperlink w:anchor="Backward_fnref_fnr-6" w:history="1">
        <w:r>
          <w:rPr>
            <w:rFonts w:ascii="arial" w:eastAsia="arial" w:hAnsi="arial" w:cs="arial"/>
            <w:b/>
            <w:color w:val="BE161D"/>
            <w:sz w:val="18"/>
            <w:shd w:val="clear" w:color="auto" w:fill="FFFFFF"/>
            <w:lang w:val="en-US" w:eastAsia="en-US" w:bidi="ar-SA"/>
          </w:rPr>
          <w:t>6</w:t>
        </w:r>
      </w:hyperlink>
      <w:bookmarkEnd w:id="174"/>
      <w:r>
        <w:rPr>
          <w:rFonts w:ascii="arial" w:eastAsia="arial" w:hAnsi="arial" w:cs="arial"/>
          <w:sz w:val="20"/>
          <w:lang w:val="en-US" w:eastAsia="en-US" w:bidi="ar-SA"/>
        </w:rPr>
        <w:tab/>
      </w:r>
      <w:r>
        <w:rPr>
          <w:rFonts w:ascii="arial" w:eastAsia="arial" w:hAnsi="arial" w:cs="arial"/>
          <w:b/>
          <w:i/>
          <w:color w:val="6D6E71"/>
          <w:sz w:val="18"/>
          <w:lang w:val="en-US" w:eastAsia="en-US" w:bidi="ar-SA"/>
        </w:rPr>
        <w:t>Laws v. Wright</w:t>
      </w:r>
      <w:r>
        <w:rPr>
          <w:rFonts w:ascii="arial" w:eastAsia="arial" w:hAnsi="arial" w:cs="arial"/>
          <w:color w:val="6D6E71"/>
          <w:sz w:val="18"/>
          <w:lang w:val="en-US" w:eastAsia="en-US" w:bidi="ar-SA"/>
        </w:rPr>
        <w:t xml:space="preserve">, </w:t>
      </w:r>
      <w:hyperlink r:id="rId646" w:history="1">
        <w:r>
          <w:rPr>
            <w:rFonts w:ascii="arial" w:eastAsia="arial" w:hAnsi="arial" w:cs="arial"/>
            <w:i/>
            <w:color w:val="0077CC"/>
            <w:sz w:val="18"/>
            <w:u w:val="single"/>
            <w:shd w:val="clear" w:color="auto" w:fill="FFFFFF"/>
            <w:lang w:val="en-US" w:eastAsia="en-US" w:bidi="ar-SA"/>
          </w:rPr>
          <w:t>[2000] A.J. No. 127</w:t>
        </w:r>
      </w:hyperlink>
      <w:r>
        <w:rPr>
          <w:rFonts w:ascii="arial" w:eastAsia="arial" w:hAnsi="arial" w:cs="arial"/>
          <w:color w:val="6D6E71"/>
          <w:sz w:val="18"/>
          <w:lang w:val="en-US" w:eastAsia="en-US" w:bidi="ar-SA"/>
        </w:rPr>
        <w:t xml:space="preserve">, </w:t>
      </w:r>
      <w:hyperlink r:id="rId646" w:history="1">
        <w:r>
          <w:rPr>
            <w:rFonts w:ascii="arial" w:eastAsia="arial" w:hAnsi="arial" w:cs="arial"/>
            <w:i/>
            <w:color w:val="0077CC"/>
            <w:sz w:val="18"/>
            <w:u w:val="single"/>
            <w:shd w:val="clear" w:color="auto" w:fill="FFFFFF"/>
            <w:lang w:val="en-US" w:eastAsia="en-US" w:bidi="ar-SA"/>
          </w:rPr>
          <w:t>2000 ABQB 49</w:t>
        </w:r>
      </w:hyperlink>
      <w:r>
        <w:rPr>
          <w:rFonts w:ascii="arial" w:eastAsia="arial" w:hAnsi="arial" w:cs="arial"/>
          <w:color w:val="6D6E71"/>
          <w:sz w:val="18"/>
          <w:lang w:val="en-US" w:eastAsia="en-US" w:bidi="ar-SA"/>
        </w:rPr>
        <w:t>, at para. 82.</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43" style="position:absolute;z-index:25189580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47"/>
          <w:headerReference w:type="default" r:id="rId648"/>
          <w:footerReference w:type="even" r:id="rId649"/>
          <w:footerReference w:type="default" r:id="rId650"/>
          <w:headerReference w:type="first" r:id="rId651"/>
          <w:footerReference w:type="first" r:id="rId65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53" w:history="1">
        <w:r>
          <w:rPr>
            <w:rFonts w:ascii="arial" w:eastAsia="arial" w:hAnsi="arial" w:cs="arial"/>
            <w:b/>
            <w:bCs/>
            <w:i/>
            <w:color w:val="0077CC"/>
            <w:kern w:val="32"/>
            <w:sz w:val="28"/>
            <w:szCs w:val="32"/>
            <w:u w:val="single"/>
            <w:shd w:val="clear" w:color="auto" w:fill="FFFFFF"/>
            <w:lang w:val="en-US" w:eastAsia="en-US" w:bidi="ar-SA"/>
          </w:rPr>
          <w:t>Jim Pattison Enterprises v. British Columbia (Workers' Compensation Board), [2009] B.C.J. No. 156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 Lynn Smith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12-16, 2008; written submissions, October</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29, 2008.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2,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S073643, S074852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[2009] B.C.J. No. 156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BCSC 88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93 B.C.L.R. (4th) 131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10 W.W.R. 709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CarswellBC 193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Jim Pattison Enterprises, K. Smith Fishing Ltd., and 289787 B.C. Ltd., Petitioners, and Workers' Compensation Board of British Columbia, Respondent And between Osprey Marine Ltd., Plaintiff, and Workers' Compensation Board, Attorney General for the Province of British Columbia,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(210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44" style="position:absolute;z-index:2516838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75" w:name="Keywords_24"/>
      <w:bookmarkEnd w:id="175"/>
      <w:r>
        <w:rPr>
          <w:rFonts w:ascii="arial" w:eastAsia="arial" w:hAnsi="arial" w:cs="arial"/>
          <w:b/>
          <w:color w:val="000000"/>
          <w:sz w:val="20"/>
          <w:lang w:val="en-US" w:eastAsia="en-US" w:bidi="ar-SA"/>
        </w:rPr>
        <w:t>Maritime and admiralty law — Admiralty jurisdiction and practice — Constitutional issues — Federal v. provincial jurisdiction — Applications by two fishing companies, one for declaration and injunction preventing Workers Compensation Board (WCB) from initiating further health and safety proceedings, other for judicial review on basis WCB lacked jurisdiction over safety and stability — Applications dismissed — WCB made orders regarding knowledge and documentation of stability — Pith and substance of Occupational Health &amp; Safety Act to prevent worker safety risk, so valid provincial legislation — Stability orders did not make it impossible to comply with federal maritime law nor did they undermine federal jurisdiction — Core competence of federal government over navigation and shipping not jeopardized by provincial health and safety legislation.</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Workplace health, safety and compensation law — Workplace health and safety — Legislation — Constitutional issues — Federal v. provincial jurisdiction — Applications by two fishing companies, one for declaration and injunction preventing Workers Compensation Board (WCB) from initiating further health and safety proceedings, other for judicial review on basis WCB lacked jurisdiction over safety and stability — Applications dismissed — WCB made orders regarding knowledge and documentation of stability — Pith and substance of Occupational Health &amp; Safety Act to prevent worker safety risk, so valid provincial legislation — Stability orders did not make it impossible to comply with federal maritime law nor did they undermine federal jurisdiction — Core competence of federal government over navigation and shipping not jeopardized by provincial health and safety legislation.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76" w:name="Case Summary_24"/>
            <w:bookmarkEnd w:id="17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Two applications regarding the constitutional validity of British Columbia Occupational Health &amp; Safety Regulations (OH&amp; SR) related to fishing. One application was by commercial fishing company of which a crew member had been killed by a trawl door. The Workers Compensation Board (WCB) investigated and made several orders with respect to vessel stability. The plaintiff argued the orders, made under the OH&amp;SR, did not apply because fishing was under federal jurisdiction and sought an injunction preventing the WCB from initiating further proceedings against it. The second application was by the petitioner, a provincially incorporated small vessel operation. The WCB issued orders following an inspection in which it alleged the petitioner had violated OH&amp;SR provisions related to stability and safety. The WCB argued that jurisprudence supported a finding that the province had control over all workplace health and safety issues and that it had entered into Memorandums of Understanding with both the Canada Coast Guard and Transport Canada to this effect. The Attorney General declined to appear to make any argument of federal paramountcy. The applicants argued that the pith and substance of s. 24 of the OH&amp;SR was ship safety, which was under the exclusive authority of the federal Parliament.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77" w:name="Holdings of Court_20"/>
            <w:bookmarkEnd w:id="177"/>
            <w:r>
              <w:rPr>
                <w:rFonts w:ascii="arial" w:eastAsia="arial" w:hAnsi="arial" w:cs="arial"/>
                <w:color w:val="000000"/>
                <w:sz w:val="20"/>
                <w:lang w:val="en-US" w:eastAsia="en-US" w:bidi="ar-SA"/>
              </w:rPr>
              <w:t>HELD: The applications were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As this was a question of constitutional validity, the standard of review was correctness. The scope of "navigation and shipping" under s. 91(10) of the Constitution Act, 1867 was to be broadly interpreted. Federal Parliament had exclusive jurisdiction over navigation and shipping because, if regulated by various provinces, confusion would ensue and it would be impossible for Canada to fulfill its international treaty obligations. On the other hand, provinces had jurisdiction over labour relations, including health and safety. S. 24 of the OH&amp;SR did refer to some matters that were the subject of federal maritime law but did so in order to impose workplace safety requirements. Therefore, the pith and substance of the OH&amp;SR was to prevent safety risks to British Columbia Workers on fishing boats. This was valid provincial legislation. While there was considerable overlap between the OH&amp;SR and federal jurisdiction, the applicants had failed to demonstrate that it was impossible to comply with both. The Attorney General declined to appear to argue that the province was undermining its jurisdiction and the applicants did not establish this was the case. The orders made under the OH&amp;SR required the applicants to ensure knowledge and provide documentation, not to impose stability requirements separate from those under federal maritime law. While the applicants used waters other than those of British Columbia, they did not play any role connecting British Columbia to other provinces or countries. The core competence of the federal government over navigation and shipping had not been placed in jeopardy and there had been no infringement of federal jurisdictional immunity, so the legislation was valid.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78" w:name="Legislation Cited_13"/>
      <w:bookmarkEnd w:id="17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45" style="position:absolute;z-index:2517350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Boat and Fire Drill and Means of Exit Regulations, </w:t>
      </w:r>
      <w:hyperlink r:id="rId654" w:history="1">
        <w:r>
          <w:rPr>
            <w:rFonts w:ascii="arial" w:eastAsia="arial" w:hAnsi="arial" w:cs="arial"/>
            <w:i/>
            <w:color w:val="0077CC"/>
            <w:sz w:val="20"/>
            <w:u w:val="single"/>
            <w:shd w:val="clear" w:color="auto" w:fill="FFFFFF"/>
            <w:lang w:val="en-US" w:eastAsia="en-US" w:bidi="ar-SA"/>
          </w:rPr>
          <w:t>SOR/ 2005-288</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Canada Labour Code, </w:t>
      </w:r>
      <w:hyperlink r:id="rId655" w:history="1">
        <w:r>
          <w:rPr>
            <w:rFonts w:ascii="arial" w:eastAsia="arial" w:hAnsi="arial" w:cs="arial"/>
            <w:i/>
            <w:color w:val="0077CC"/>
            <w:sz w:val="20"/>
            <w:u w:val="single"/>
            <w:shd w:val="clear" w:color="auto" w:fill="FFFFFF"/>
            <w:lang w:val="en-US" w:eastAsia="en-US" w:bidi="ar-SA"/>
          </w:rPr>
          <w:t>R.S.C. 1985, c. L-2, s. 2</w:t>
        </w:r>
      </w:hyperlink>
      <w:r>
        <w:rPr>
          <w:rFonts w:ascii="arial" w:eastAsia="arial" w:hAnsi="arial" w:cs="arial"/>
          <w:color w:val="000000"/>
          <w:sz w:val="20"/>
          <w:lang w:val="en-US" w:eastAsia="en-US" w:bidi="ar-SA"/>
        </w:rPr>
        <w:t>, s. 100, s. 109, s. 111, s. 113, s. 120, s. 122.1, s. 124, s. 125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Canada Shipping Act, R.S.C. 1985, c. S-9, s. 6, s. 8, s. 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Constitutional Act, 1867, R.S.C. 1985, App. II, No. 5, s. 91(10), s. 91(12), s. 91(29), s. 92(10)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Federal Court Rules, Rule 18A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Industrial Relations and Disputes Investigation Act, R.S.C. 1952, c. 155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Judicial Review Procedure Act, </w:t>
      </w:r>
      <w:r>
        <w:rPr>
          <w:rFonts w:ascii="arial" w:eastAsia="arial" w:hAnsi="arial" w:cs="arial"/>
          <w:i/>
          <w:color w:val="000000"/>
          <w:sz w:val="20"/>
          <w:lang w:val="en-US" w:eastAsia="en-US" w:bidi="ar-SA"/>
        </w:rPr>
        <w:t>RSBC 1996, CHAPTER 241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Labour Relations Act, R.S.B.C. 1960, c. 205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Large Fishing Vessel Regulations, </w:t>
      </w:r>
      <w:r>
        <w:rPr>
          <w:rFonts w:ascii="arial" w:eastAsia="arial" w:hAnsi="arial" w:cs="arial"/>
          <w:i/>
          <w:color w:val="000000"/>
          <w:sz w:val="20"/>
          <w:lang w:val="en-US" w:eastAsia="en-US" w:bidi="ar-SA"/>
        </w:rPr>
        <w:t>C.R.C. c. 1436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Life Saving Equipment Regulations, </w:t>
      </w:r>
      <w:r>
        <w:rPr>
          <w:rFonts w:ascii="arial" w:eastAsia="arial" w:hAnsi="arial" w:cs="arial"/>
          <w:i/>
          <w:color w:val="000000"/>
          <w:sz w:val="20"/>
          <w:lang w:val="en-US" w:eastAsia="en-US" w:bidi="ar-SA"/>
        </w:rPr>
        <w:t>C.R.C., c. 1436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Marine Occupational Health and Safety Regulations, </w:t>
      </w:r>
      <w:hyperlink r:id="rId656" w:history="1">
        <w:r>
          <w:rPr>
            <w:rFonts w:ascii="arial" w:eastAsia="arial" w:hAnsi="arial" w:cs="arial"/>
            <w:i/>
            <w:color w:val="0077CC"/>
            <w:sz w:val="20"/>
            <w:u w:val="single"/>
            <w:shd w:val="clear" w:color="auto" w:fill="FFFFFF"/>
            <w:lang w:val="en-US" w:eastAsia="en-US" w:bidi="ar-SA"/>
          </w:rPr>
          <w:t>SOR/87-183</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Marine Personnel Regulations, </w:t>
      </w:r>
      <w:hyperlink r:id="rId657" w:history="1">
        <w:r>
          <w:rPr>
            <w:rFonts w:ascii="arial" w:eastAsia="arial" w:hAnsi="arial" w:cs="arial"/>
            <w:i/>
            <w:color w:val="0077CC"/>
            <w:sz w:val="20"/>
            <w:u w:val="single"/>
            <w:shd w:val="clear" w:color="auto" w:fill="FFFFFF"/>
            <w:lang w:val="en-US" w:eastAsia="en-US" w:bidi="ar-SA"/>
          </w:rPr>
          <w:t>SOR/2007-115</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Occupational Health &amp; Safety Regulations, </w:t>
      </w:r>
      <w:hyperlink r:id="rId658" w:history="1">
        <w:r>
          <w:rPr>
            <w:rFonts w:ascii="arial" w:eastAsia="arial" w:hAnsi="arial" w:cs="arial"/>
            <w:i/>
            <w:color w:val="0077CC"/>
            <w:sz w:val="20"/>
            <w:u w:val="single"/>
            <w:shd w:val="clear" w:color="auto" w:fill="FFFFFF"/>
            <w:lang w:val="en-US" w:eastAsia="en-US" w:bidi="ar-SA"/>
          </w:rPr>
          <w:t>B.C. Reg. 296/97, s. 3.1</w:t>
        </w:r>
      </w:hyperlink>
      <w:r>
        <w:rPr>
          <w:rFonts w:ascii="arial" w:eastAsia="arial" w:hAnsi="arial" w:cs="arial"/>
          <w:color w:val="000000"/>
          <w:sz w:val="20"/>
          <w:lang w:val="en-US" w:eastAsia="en-US" w:bidi="ar-SA"/>
        </w:rPr>
        <w:t>, s. 3.15, s. 3.3., s. 24.69, s. 24.70, s. 24.71, s. 24.72, s. 24.75, s. 24.76, s. 24.77, s. 24.78, s. 24.85, s. 24.143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Occupational Health and Safety Act, </w:t>
      </w:r>
      <w:hyperlink r:id="rId659" w:history="1">
        <w:r>
          <w:rPr>
            <w:rFonts w:ascii="arial" w:eastAsia="arial" w:hAnsi="arial" w:cs="arial"/>
            <w:i/>
            <w:color w:val="0077CC"/>
            <w:sz w:val="20"/>
            <w:u w:val="single"/>
            <w:shd w:val="clear" w:color="auto" w:fill="FFFFFF"/>
            <w:lang w:val="en-US" w:eastAsia="en-US" w:bidi="ar-SA"/>
          </w:rPr>
          <w:t>S.N.S. 1996, c. 7</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Safe Work Practices Regulations, </w:t>
      </w:r>
      <w:hyperlink r:id="rId660" w:history="1">
        <w:r>
          <w:rPr>
            <w:rFonts w:ascii="arial" w:eastAsia="arial" w:hAnsi="arial" w:cs="arial"/>
            <w:i/>
            <w:color w:val="0077CC"/>
            <w:sz w:val="20"/>
            <w:u w:val="single"/>
            <w:shd w:val="clear" w:color="auto" w:fill="FFFFFF"/>
            <w:lang w:val="en-US" w:eastAsia="en-US" w:bidi="ar-SA"/>
          </w:rPr>
          <w:t>C.R.C., c. 1467, s. 71</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Small Fishing Vessel Inspection Regulations, </w:t>
      </w:r>
      <w:hyperlink r:id="rId661" w:history="1">
        <w:r>
          <w:rPr>
            <w:rFonts w:ascii="arial" w:eastAsia="arial" w:hAnsi="arial" w:cs="arial"/>
            <w:i/>
            <w:color w:val="0077CC"/>
            <w:sz w:val="20"/>
            <w:u w:val="single"/>
            <w:shd w:val="clear" w:color="auto" w:fill="FFFFFF"/>
            <w:lang w:val="en-US" w:eastAsia="en-US" w:bidi="ar-SA"/>
          </w:rPr>
          <w:t>C.R.C., c. 1486, s. 29</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Wildlife Act, </w:t>
      </w:r>
      <w:hyperlink r:id="rId662" w:history="1">
        <w:r>
          <w:rPr>
            <w:rFonts w:ascii="arial" w:eastAsia="arial" w:hAnsi="arial" w:cs="arial"/>
            <w:i/>
            <w:color w:val="0077CC"/>
            <w:sz w:val="20"/>
            <w:u w:val="single"/>
            <w:shd w:val="clear" w:color="auto" w:fill="FFFFFF"/>
            <w:lang w:val="en-US" w:eastAsia="en-US" w:bidi="ar-SA"/>
          </w:rPr>
          <w:t>RSBC 1996, CHAPTER 488, s. 4</w:t>
        </w:r>
      </w:hyperlink>
      <w:r>
        <w:rPr>
          <w:rFonts w:ascii="arial" w:eastAsia="arial" w:hAnsi="arial" w:cs="arial"/>
          <w:color w:val="000000"/>
          <w:sz w:val="20"/>
          <w:lang w:val="en-US" w:eastAsia="en-US" w:bidi="ar-SA"/>
        </w:rPr>
        <w:t>(2), s. 7(4)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Workers Compensation Act, RSBC 1996, CHAPTER 492, s. 4, s. 71(1), s. 96.2(1)(c), s. 96.3(3)(b), s. 107, s. 108(1)(b), s. 111(2)(k), s. 114</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79" w:name="Counsel_24"/>
      <w:bookmarkEnd w:id="17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46" style="position:absolute;z-index:2517862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Jim Pattison Enterprises: H. Peter Swanson.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Osprey Marine Ltd.: J. William Perrett.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Workers' Compensation Board: Scott A. Nielsen.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Attorney General of British Columbia: Veronica L. Jackson.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80" w:name="Judgment_24"/>
      <w:bookmarkEnd w:id="180"/>
      <w:r>
        <w:pict>
          <v:line id="_x0000_s1147" style="position:absolute;z-index:25183641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81" w:name="C.L. SMITH J."/>
            <w:bookmarkEnd w:id="181"/>
            <w:r>
              <w:rPr>
                <w:rFonts w:ascii="arial" w:eastAsia="arial" w:hAnsi="arial" w:cs="arial"/>
                <w:b/>
                <w:color w:val="000000"/>
                <w:sz w:val="30"/>
                <w:lang w:val="en-US" w:eastAsia="en-US" w:bidi="ar-SA"/>
              </w:rPr>
              <w:t>C.L. SMITH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central issue in these two proceedings is the constitutional validity of British Columbia's occupational health and safety legislation relating to commercial fishing vessels. The provincial legislation under challenge is the </w:t>
      </w:r>
      <w:r>
        <w:rPr>
          <w:rFonts w:ascii="arial" w:eastAsia="arial" w:hAnsi="arial" w:cs="arial"/>
          <w:b/>
          <w:i/>
          <w:color w:val="000000"/>
          <w:sz w:val="20"/>
          <w:lang w:val="en-US" w:eastAsia="en-US" w:bidi="ar-SA"/>
        </w:rPr>
        <w:t>Workers Compensation Act</w:t>
      </w:r>
      <w:r>
        <w:rPr>
          <w:rFonts w:ascii="arial" w:eastAsia="arial" w:hAnsi="arial" w:cs="arial"/>
          <w:color w:val="000000"/>
          <w:sz w:val="20"/>
          <w:lang w:val="en-US" w:eastAsia="en-US" w:bidi="ar-SA"/>
        </w:rPr>
        <w:t>, R.S.B.C. 1996 ("</w:t>
      </w:r>
      <w:r>
        <w:rPr>
          <w:rFonts w:ascii="arial" w:eastAsia="arial" w:hAnsi="arial" w:cs="arial"/>
          <w:b/>
          <w:i/>
          <w:color w:val="000000"/>
          <w:sz w:val="20"/>
          <w:lang w:val="en-US" w:eastAsia="en-US" w:bidi="ar-SA"/>
        </w:rPr>
        <w:t>WCA</w:t>
      </w:r>
      <w:r>
        <w:rPr>
          <w:rFonts w:ascii="arial" w:eastAsia="arial" w:hAnsi="arial" w:cs="arial"/>
          <w:color w:val="000000"/>
          <w:sz w:val="20"/>
          <w:lang w:val="en-US" w:eastAsia="en-US" w:bidi="ar-SA"/>
        </w:rPr>
        <w:t xml:space="preserve">"), c. 492, in particular Part 24 of the </w:t>
      </w:r>
      <w:r>
        <w:rPr>
          <w:rFonts w:ascii="arial" w:eastAsia="arial" w:hAnsi="arial" w:cs="arial"/>
          <w:b/>
          <w:i/>
          <w:color w:val="000000"/>
          <w:sz w:val="20"/>
          <w:lang w:val="en-US" w:eastAsia="en-US" w:bidi="ar-SA"/>
        </w:rPr>
        <w:t>Occupational Health and Safety Regulation</w:t>
      </w:r>
      <w:r>
        <w:rPr>
          <w:rFonts w:ascii="arial" w:eastAsia="arial" w:hAnsi="arial" w:cs="arial"/>
          <w:color w:val="000000"/>
          <w:sz w:val="20"/>
          <w:lang w:val="en-US" w:eastAsia="en-US" w:bidi="ar-SA"/>
        </w:rPr>
        <w:t xml:space="preserve">, </w:t>
      </w:r>
      <w:hyperlink r:id="rId663" w:history="1">
        <w:r>
          <w:rPr>
            <w:rFonts w:ascii="arial" w:eastAsia="arial" w:hAnsi="arial" w:cs="arial"/>
            <w:i/>
            <w:color w:val="0077CC"/>
            <w:sz w:val="20"/>
            <w:u w:val="single"/>
            <w:shd w:val="clear" w:color="auto" w:fill="FFFFFF"/>
            <w:lang w:val="en-US" w:eastAsia="en-US" w:bidi="ar-SA"/>
          </w:rPr>
          <w:t>B.C. Reg. 296/97</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OH&amp;SR</w:t>
      </w:r>
      <w:r>
        <w:rPr>
          <w:rFonts w:ascii="arial" w:eastAsia="arial" w:hAnsi="arial" w:cs="arial"/>
          <w:color w:val="000000"/>
          <w:sz w:val="20"/>
          <w:lang w:val="en-US" w:eastAsia="en-US" w:bidi="ar-SA"/>
        </w:rPr>
        <w:t xml:space="preserve">"), enacted pursuant to the </w:t>
      </w:r>
      <w:r>
        <w:rPr>
          <w:rFonts w:ascii="arial" w:eastAsia="arial" w:hAnsi="arial" w:cs="arial"/>
          <w:b/>
          <w:i/>
          <w:color w:val="000000"/>
          <w:sz w:val="20"/>
          <w:lang w:val="en-US" w:eastAsia="en-US" w:bidi="ar-SA"/>
        </w:rPr>
        <w:t>WCA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challenge is brought by commercial fishing companies, not by the Attorney General of Canada. The federal and provincial governments have reached an accord pursuant to which British Columbia has taken responsibility for regulating and monitoring workplace safety on commercial fishing vessels, while Canada continues to exercise its responsibility for navigation and shipping.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 Notice of Constitutional Question was given in each case to the Attorney General of Canada and the Attorney General of the Province of British Columbia. The Attorney General of Canada did not appear.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petitioners' Amended Notice of Constitutional Question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Petitioners, JIM PATTISON ENTERPRISES LTD., K. SMITH FISHING LTD. and 289787 B.C. LTD., intend to question the jurisdiction and authority of the Respondent in regards to issuing orders pursuant to the </w:t>
      </w:r>
      <w:r>
        <w:rPr>
          <w:rFonts w:ascii="arial" w:eastAsia="arial" w:hAnsi="arial" w:cs="arial"/>
          <w:i/>
          <w:color w:val="000000"/>
          <w:sz w:val="20"/>
          <w:lang w:val="en-US" w:eastAsia="en-US" w:bidi="ar-SA"/>
        </w:rPr>
        <w:t>Workers Compensation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492</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Occupational Health and Safety Regulation</w:t>
      </w:r>
      <w:r>
        <w:rPr>
          <w:rFonts w:ascii="arial" w:eastAsia="arial" w:hAnsi="arial" w:cs="arial"/>
          <w:color w:val="000000"/>
          <w:sz w:val="20"/>
          <w:lang w:val="en-US" w:eastAsia="en-US" w:bidi="ar-SA"/>
        </w:rPr>
        <w:t xml:space="preserve">, </w:t>
      </w:r>
      <w:hyperlink r:id="rId663" w:history="1">
        <w:r>
          <w:rPr>
            <w:rFonts w:ascii="arial" w:eastAsia="arial" w:hAnsi="arial" w:cs="arial"/>
            <w:i/>
            <w:color w:val="0077CC"/>
            <w:sz w:val="20"/>
            <w:u w:val="single"/>
            <w:shd w:val="clear" w:color="auto" w:fill="FFFFFF"/>
            <w:lang w:val="en-US" w:eastAsia="en-US" w:bidi="ar-SA"/>
          </w:rPr>
          <w:t>B.C. Reg 296/97</w:t>
        </w:r>
      </w:hyperlink>
      <w:r>
        <w:rPr>
          <w:rFonts w:ascii="arial" w:eastAsia="arial" w:hAnsi="arial" w:cs="arial"/>
          <w:color w:val="000000"/>
          <w:sz w:val="20"/>
          <w:lang w:val="en-US" w:eastAsia="en-US" w:bidi="ar-SA"/>
        </w:rPr>
        <w:t xml:space="preserve"> as they purport to apply to fishing vessels operating from British Columbia in and/or beyond the territorial sea of Canada.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facts that the Petitioners intend to rely upon are set out in the attached Petition and the supporting affidavit of Pauline Gardikiotis sworn May 28, 2007.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relief sought will be a declaration that neither the March 30, 2007 Review Decision issued by Katherine Crosbie nor the underlying Orders that were contemplated in issuing the Review Decision are valid, in force and binding on the basis that the authority for issuing the Orders namely the </w:t>
      </w:r>
      <w:r>
        <w:rPr>
          <w:rFonts w:ascii="arial" w:eastAsia="arial" w:hAnsi="arial" w:cs="arial"/>
          <w:i/>
          <w:color w:val="000000"/>
          <w:sz w:val="20"/>
          <w:lang w:val="en-US" w:eastAsia="en-US" w:bidi="ar-SA"/>
        </w:rPr>
        <w:t>Workers Compensation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492</w:t>
      </w:r>
      <w:r>
        <w:rPr>
          <w:rFonts w:ascii="arial" w:eastAsia="arial" w:hAnsi="arial" w:cs="arial"/>
          <w:color w:val="000000"/>
          <w:sz w:val="20"/>
          <w:lang w:val="en-US" w:eastAsia="en-US" w:bidi="ar-SA"/>
        </w:rPr>
        <w:t xml:space="preserve"> and sections 24.72 and 24.74 of the </w:t>
      </w:r>
      <w:r>
        <w:rPr>
          <w:rFonts w:ascii="arial" w:eastAsia="arial" w:hAnsi="arial" w:cs="arial"/>
          <w:i/>
          <w:color w:val="000000"/>
          <w:sz w:val="20"/>
          <w:lang w:val="en-US" w:eastAsia="en-US" w:bidi="ar-SA"/>
        </w:rPr>
        <w:t>Occupational Health and Safety Regulation</w:t>
      </w:r>
      <w:r>
        <w:rPr>
          <w:rFonts w:ascii="arial" w:eastAsia="arial" w:hAnsi="arial" w:cs="arial"/>
          <w:color w:val="000000"/>
          <w:sz w:val="20"/>
          <w:lang w:val="en-US" w:eastAsia="en-US" w:bidi="ar-SA"/>
        </w:rPr>
        <w:t xml:space="preserve">, </w:t>
      </w:r>
      <w:hyperlink r:id="rId663" w:history="1">
        <w:r>
          <w:rPr>
            <w:rFonts w:ascii="arial" w:eastAsia="arial" w:hAnsi="arial" w:cs="arial"/>
            <w:i/>
            <w:color w:val="0077CC"/>
            <w:sz w:val="20"/>
            <w:u w:val="single"/>
            <w:shd w:val="clear" w:color="auto" w:fill="FFFFFF"/>
            <w:lang w:val="en-US" w:eastAsia="en-US" w:bidi="ar-SA"/>
          </w:rPr>
          <w:t>B.C. Reg 296/97</w:t>
        </w:r>
      </w:hyperlink>
      <w:r>
        <w:rPr>
          <w:rFonts w:ascii="arial" w:eastAsia="arial" w:hAnsi="arial" w:cs="arial"/>
          <w:color w:val="000000"/>
          <w:sz w:val="20"/>
          <w:lang w:val="en-US" w:eastAsia="en-US" w:bidi="ar-SA"/>
        </w:rPr>
        <w:t xml:space="preserve"> are </w:t>
      </w:r>
      <w:r>
        <w:rPr>
          <w:rFonts w:ascii="arial" w:eastAsia="arial" w:hAnsi="arial" w:cs="arial"/>
          <w:i/>
          <w:color w:val="000000"/>
          <w:sz w:val="20"/>
          <w:lang w:val="en-US" w:eastAsia="en-US" w:bidi="ar-SA"/>
        </w:rPr>
        <w:t>ultra vires</w:t>
      </w:r>
      <w:r>
        <w:rPr>
          <w:rFonts w:ascii="arial" w:eastAsia="arial" w:hAnsi="arial" w:cs="arial"/>
          <w:color w:val="000000"/>
          <w:sz w:val="20"/>
          <w:lang w:val="en-US" w:eastAsia="en-US" w:bidi="ar-SA"/>
        </w:rPr>
        <w:t xml:space="preserve"> the Province of British Columbia or, alternatively have no application to fishing vessels that operate from British Columbia, in and/or beyond the territorial sea of Canada. Such matters are solely under the jurisdiction of the federal government; being matters wholly relating to shipping and navigation pursuant to s. 91(10) or as a federal undertaking pursuant to s. 92(10) of the </w:t>
      </w:r>
      <w:r>
        <w:rPr>
          <w:rFonts w:ascii="arial" w:eastAsia="arial" w:hAnsi="arial" w:cs="arial"/>
          <w:i/>
          <w:color w:val="000000"/>
          <w:sz w:val="20"/>
          <w:lang w:val="en-US" w:eastAsia="en-US" w:bidi="ar-SA"/>
        </w:rPr>
        <w:t>Constitution Act, 1867</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plaintiff's Notice of Constitutional Question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TAKE NOTICE that the Plaintiff in the within proceedings:</w:t>
      </w:r>
    </w:p>
    <w:p>
      <w:pPr>
        <w:numPr>
          <w:numId w:val="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challenges the constitutional validity and/or constitutional applicability of the </w:t>
      </w:r>
      <w:r>
        <w:rPr>
          <w:rFonts w:ascii="arial" w:eastAsia="arial" w:hAnsi="arial" w:cs="arial"/>
          <w:i/>
          <w:color w:val="000000"/>
          <w:sz w:val="20"/>
          <w:lang w:val="en-US" w:eastAsia="en-US" w:bidi="ar-SA"/>
        </w:rPr>
        <w:t>Workers Compensation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492</w:t>
      </w:r>
      <w:r>
        <w:rPr>
          <w:rFonts w:ascii="arial" w:eastAsia="arial" w:hAnsi="arial" w:cs="arial"/>
          <w:color w:val="000000"/>
          <w:sz w:val="20"/>
          <w:lang w:val="en-US" w:eastAsia="en-US" w:bidi="ar-SA"/>
        </w:rPr>
        <w:t xml:space="preserve"> and regulations made thereto, specifically the </w:t>
      </w:r>
      <w:r>
        <w:rPr>
          <w:rFonts w:ascii="arial" w:eastAsia="arial" w:hAnsi="arial" w:cs="arial"/>
          <w:i/>
          <w:color w:val="000000"/>
          <w:sz w:val="20"/>
          <w:lang w:val="en-US" w:eastAsia="en-US" w:bidi="ar-SA"/>
        </w:rPr>
        <w:t>Occupational Health and Safety Regulations</w:t>
      </w:r>
      <w:r>
        <w:rPr>
          <w:rFonts w:ascii="arial" w:eastAsia="arial" w:hAnsi="arial" w:cs="arial"/>
          <w:color w:val="000000"/>
          <w:sz w:val="20"/>
          <w:lang w:val="en-US" w:eastAsia="en-US" w:bidi="ar-SA"/>
        </w:rPr>
        <w:t>, in respect to the fishing vessel "Osprey No. 1";</w:t>
      </w:r>
    </w:p>
    <w:p>
      <w:pPr>
        <w:numPr>
          <w:numId w:val="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says that said act and regulations as they purport to apply to the fishing vessel "Osprey No. 1" are beyond the jurisdiction of the Province of British Columbia and are therefore </w:t>
      </w:r>
      <w:r>
        <w:rPr>
          <w:rFonts w:ascii="arial" w:eastAsia="arial" w:hAnsi="arial" w:cs="arial"/>
          <w:i/>
          <w:color w:val="000000"/>
          <w:sz w:val="20"/>
          <w:lang w:val="en-US" w:eastAsia="en-US" w:bidi="ar-SA"/>
        </w:rPr>
        <w:t>ultra vires</w:t>
      </w:r>
      <w:r>
        <w:rPr>
          <w:rFonts w:ascii="arial" w:eastAsia="arial" w:hAnsi="arial" w:cs="arial"/>
          <w:color w:val="000000"/>
          <w:sz w:val="20"/>
          <w:lang w:val="en-US" w:eastAsia="en-US" w:bidi="ar-SA"/>
        </w:rPr>
        <w:t xml:space="preserve"> of the Province of British Columbia;</w:t>
      </w:r>
    </w:p>
    <w:p>
      <w:pPr>
        <w:numPr>
          <w:numId w:val="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says that the right to have only the laws of Canada with respect to navigation and shipping and the </w:t>
      </w:r>
      <w:r>
        <w:rPr>
          <w:rFonts w:ascii="arial" w:eastAsia="arial" w:hAnsi="arial" w:cs="arial"/>
          <w:i/>
          <w:color w:val="000000"/>
          <w:sz w:val="20"/>
          <w:lang w:val="en-US" w:eastAsia="en-US" w:bidi="ar-SA"/>
        </w:rPr>
        <w:t>Canada Labour Code</w:t>
      </w:r>
      <w:r>
        <w:rPr>
          <w:rFonts w:ascii="arial" w:eastAsia="arial" w:hAnsi="arial" w:cs="arial"/>
          <w:color w:val="000000"/>
          <w:sz w:val="20"/>
          <w:lang w:val="en-US" w:eastAsia="en-US" w:bidi="ar-SA"/>
        </w:rPr>
        <w:t xml:space="preserve"> solely apply to the manning, safety, operation and use of "Osprey No. 1" has been infringed or denied;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Objection was taken to certain evidence tendered by the Workers' Compensation Board ("WCB") regarding an accident on January 7, 2008, involving a different vessel owned by the petitioners, and regarding a Board investigation into the death of a member of the crew of Osprey Marine Ltd.'s vessel. I have disregarded that evidence as irrelevant to the issues I am required to decide.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facts are slightly different in the two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Osprey Marine Ltd.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Osprey Marine Ltd. ("Osprey Marine") is a provincially incorporated company that owns a large fishing vessel (a freezer stern trawler, 57.4 metres long and 2.003 gross registered metres) capable of holding 1,250,000 pounds of frozen fish. The vessel is called the "Osprey No. 1", is registered in the Port of Vancouver and goes on fishing trips of up to 25 days. It fishes in Canada's territorial sea and fishing zones, off the west coast of Vancouver Island in Dixon Entrance and in Queen Charlotte Sound. Osprey Marine also owns and operates a second vessel, the "Point Made", which has fished in the same areas in the past. The evidence indicates that the crew members on "Osprey No. 1" are British Columbia residents.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When the "Osprey No. 1" was imported into Canada in 2005, it was inspected by a Canadian Steamship Inspector on behalf of Transport Canada to ensure that it conformed with the provisions of the </w:t>
      </w:r>
      <w:r>
        <w:rPr>
          <w:rFonts w:ascii="arial" w:eastAsia="arial" w:hAnsi="arial" w:cs="arial"/>
          <w:b/>
          <w:i/>
          <w:color w:val="000000"/>
          <w:sz w:val="20"/>
          <w:lang w:val="en-US" w:eastAsia="en-US" w:bidi="ar-SA"/>
        </w:rPr>
        <w:t>Canada Shipping Act</w:t>
      </w:r>
      <w:r>
        <w:rPr>
          <w:rFonts w:ascii="arial" w:eastAsia="arial" w:hAnsi="arial" w:cs="arial"/>
          <w:color w:val="000000"/>
          <w:sz w:val="20"/>
          <w:lang w:val="en-US" w:eastAsia="en-US" w:bidi="ar-SA"/>
        </w:rPr>
        <w:t>, R.S. 1985, c. S-9 ("</w:t>
      </w:r>
      <w:r>
        <w:rPr>
          <w:rFonts w:ascii="arial" w:eastAsia="arial" w:hAnsi="arial" w:cs="arial"/>
          <w:b/>
          <w:i/>
          <w:color w:val="000000"/>
          <w:sz w:val="20"/>
          <w:lang w:val="en-US" w:eastAsia="en-US" w:bidi="ar-SA"/>
        </w:rPr>
        <w:t>CSA</w:t>
      </w:r>
      <w:r>
        <w:rPr>
          <w:rFonts w:ascii="arial" w:eastAsia="arial" w:hAnsi="arial" w:cs="arial"/>
          <w:color w:val="000000"/>
          <w:sz w:val="20"/>
          <w:lang w:val="en-US" w:eastAsia="en-US" w:bidi="ar-SA"/>
        </w:rPr>
        <w:t xml:space="preserve">") and its regulations. It was approved for offshore fishing and granted an inspection certificate. It is inspected annually by Transport Canada with respect to its condition and crewing. It is classified as a large fishing vessel under the </w:t>
      </w:r>
      <w:r>
        <w:rPr>
          <w:rFonts w:ascii="arial" w:eastAsia="arial" w:hAnsi="arial" w:cs="arial"/>
          <w:b/>
          <w:i/>
          <w:color w:val="000000"/>
          <w:sz w:val="20"/>
          <w:lang w:val="en-US" w:eastAsia="en-US" w:bidi="ar-SA"/>
        </w:rPr>
        <w:t>Large Fishing Vessel Regulations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C.R.C., c. 1436</w:t>
      </w:r>
      <w:r>
        <w:rPr>
          <w:rFonts w:ascii="arial" w:eastAsia="arial" w:hAnsi="arial" w:cs="arial"/>
          <w:color w:val="000000"/>
          <w:sz w:val="20"/>
          <w:lang w:val="en-US" w:eastAsia="en-US" w:bidi="ar-SA"/>
        </w:rPr>
        <w:t xml:space="preserve"> pursuant to the </w:t>
      </w:r>
      <w:r>
        <w:rPr>
          <w:rFonts w:ascii="arial" w:eastAsia="arial" w:hAnsi="arial" w:cs="arial"/>
          <w:b/>
          <w:i/>
          <w:color w:val="000000"/>
          <w:sz w:val="20"/>
          <w:lang w:val="en-US" w:eastAsia="en-US" w:bidi="ar-SA"/>
        </w:rPr>
        <w:t>CSA</w:t>
      </w:r>
      <w:r>
        <w:rPr>
          <w:rFonts w:ascii="arial" w:eastAsia="arial" w:hAnsi="arial" w:cs="arial"/>
          <w:color w:val="000000"/>
          <w:sz w:val="20"/>
          <w:lang w:val="en-US" w:eastAsia="en-US" w:bidi="ar-SA"/>
        </w:rPr>
        <w:t>. The vessel has a crew of 24. The master, mate, chief engineer and second engineer are all certified by Transport Canada. The captain has a fishing master, third class certificate, as required by Transport Canada for large, complex vessels. Crew members are required by Transport Canada to have completed Marine Emergency Duty courses.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Hendrika Mann, a member of the family that owns Osprey Marine, and who is involved in the company's management, deposed that the vessel's master is instructed to conduct the vessel in accordance with the provisions of the </w:t>
      </w:r>
      <w:r>
        <w:rPr>
          <w:rFonts w:ascii="arial" w:eastAsia="arial" w:hAnsi="arial" w:cs="arial"/>
          <w:b/>
          <w:i/>
          <w:color w:val="000000"/>
          <w:sz w:val="20"/>
          <w:lang w:val="en-US" w:eastAsia="en-US" w:bidi="ar-SA"/>
        </w:rPr>
        <w:t>Canada Shipping Act, 2001</w:t>
      </w:r>
      <w:r>
        <w:rPr>
          <w:rFonts w:ascii="arial" w:eastAsia="arial" w:hAnsi="arial" w:cs="arial"/>
          <w:color w:val="000000"/>
          <w:sz w:val="20"/>
          <w:lang w:val="en-US" w:eastAsia="en-US" w:bidi="ar-SA"/>
        </w:rPr>
        <w:t xml:space="preserve">, </w:t>
      </w:r>
      <w:hyperlink r:id="rId664" w:history="1">
        <w:r>
          <w:rPr>
            <w:rFonts w:ascii="arial" w:eastAsia="arial" w:hAnsi="arial" w:cs="arial"/>
            <w:i/>
            <w:color w:val="0077CC"/>
            <w:sz w:val="20"/>
            <w:u w:val="single"/>
            <w:shd w:val="clear" w:color="auto" w:fill="FFFFFF"/>
            <w:lang w:val="en-US" w:eastAsia="en-US" w:bidi="ar-SA"/>
          </w:rPr>
          <w:t>S.C. 2001, c. 26</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CSA, 2001</w:t>
      </w:r>
      <w:r>
        <w:rPr>
          <w:rFonts w:ascii="arial" w:eastAsia="arial" w:hAnsi="arial" w:cs="arial"/>
          <w:color w:val="000000"/>
          <w:sz w:val="20"/>
          <w:lang w:val="en-US" w:eastAsia="en-US" w:bidi="ar-SA"/>
        </w:rPr>
        <w:t xml:space="preserve">") and the </w:t>
      </w:r>
      <w:r>
        <w:rPr>
          <w:rFonts w:ascii="arial" w:eastAsia="arial" w:hAnsi="arial" w:cs="arial"/>
          <w:b/>
          <w:i/>
          <w:color w:val="000000"/>
          <w:sz w:val="20"/>
          <w:lang w:val="en-US" w:eastAsia="en-US" w:bidi="ar-SA"/>
        </w:rPr>
        <w:t>Canada Labour Code</w:t>
      </w:r>
      <w:r>
        <w:rPr>
          <w:rFonts w:ascii="arial" w:eastAsia="arial" w:hAnsi="arial" w:cs="arial"/>
          <w:color w:val="000000"/>
          <w:sz w:val="20"/>
          <w:lang w:val="en-US" w:eastAsia="en-US" w:bidi="ar-SA"/>
        </w:rPr>
        <w:t xml:space="preserve">, </w:t>
      </w:r>
      <w:hyperlink r:id="rId665" w:history="1">
        <w:r>
          <w:rPr>
            <w:rFonts w:ascii="arial" w:eastAsia="arial" w:hAnsi="arial" w:cs="arial"/>
            <w:i/>
            <w:color w:val="0077CC"/>
            <w:sz w:val="20"/>
            <w:u w:val="single"/>
            <w:shd w:val="clear" w:color="auto" w:fill="FFFFFF"/>
            <w:lang w:val="en-US" w:eastAsia="en-US" w:bidi="ar-SA"/>
          </w:rPr>
          <w:t>R.S.C. 1985, c. L-2</w:t>
        </w:r>
      </w:hyperlink>
      <w:r>
        <w:rPr>
          <w:rFonts w:ascii="arial" w:eastAsia="arial" w:hAnsi="arial" w:cs="arial"/>
          <w:color w:val="000000"/>
          <w:sz w:val="20"/>
          <w:lang w:val="en-US" w:eastAsia="en-US" w:bidi="ar-SA"/>
        </w:rPr>
        <w:t xml:space="preserve"> and its regulations (including the </w:t>
      </w:r>
      <w:r>
        <w:rPr>
          <w:rFonts w:ascii="arial" w:eastAsia="arial" w:hAnsi="arial" w:cs="arial"/>
          <w:b/>
          <w:i/>
          <w:color w:val="000000"/>
          <w:sz w:val="20"/>
          <w:lang w:val="en-US" w:eastAsia="en-US" w:bidi="ar-SA"/>
        </w:rPr>
        <w:t>Marine Occupational Health and Safety Regulations</w:t>
      </w:r>
      <w:r>
        <w:rPr>
          <w:rFonts w:ascii="arial" w:eastAsia="arial" w:hAnsi="arial" w:cs="arial"/>
          <w:color w:val="000000"/>
          <w:sz w:val="20"/>
          <w:lang w:val="en-US" w:eastAsia="en-US" w:bidi="ar-SA"/>
        </w:rPr>
        <w:t xml:space="preserve">, </w:t>
      </w:r>
      <w:hyperlink r:id="rId656" w:history="1">
        <w:r>
          <w:rPr>
            <w:rFonts w:ascii="arial" w:eastAsia="arial" w:hAnsi="arial" w:cs="arial"/>
            <w:i/>
            <w:color w:val="0077CC"/>
            <w:sz w:val="20"/>
            <w:u w:val="single"/>
            <w:shd w:val="clear" w:color="auto" w:fill="FFFFFF"/>
            <w:lang w:val="en-US" w:eastAsia="en-US" w:bidi="ar-SA"/>
          </w:rPr>
          <w:t>S.O.R./87-183</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MOSH</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Vessel stability is a complex matter, given that the vessel has a number of tanks that may be empty or loaded at any given time. Transport Canada requires, and the vessel has, a valid stability book prepared by a naval architect. That book outlines procedures to be followed under various load and consumable conditions in order to maintain a safe level of stability. The fuel and water systems are under the control of the master/mate and engineers, and they are the only persons on board during each shift who can control and affect the stability of the vessel. They are certified by Transport Canada as qualified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Deck officers and engineers have copies of the relevant portions of the "Seafarers' Training, Certification and Watchkeeping Code" adopted under the </w:t>
      </w:r>
      <w:r>
        <w:rPr>
          <w:rFonts w:ascii="arial" w:eastAsia="arial" w:hAnsi="arial" w:cs="arial"/>
          <w:b/>
          <w:i/>
          <w:color w:val="000000"/>
          <w:sz w:val="20"/>
          <w:lang w:val="en-US" w:eastAsia="en-US" w:bidi="ar-SA"/>
        </w:rPr>
        <w:t>International Convention on Standards of Training, Certificate and Watchkeeping for Seafarers, 1978</w:t>
      </w:r>
      <w:r>
        <w:rPr>
          <w:rFonts w:ascii="arial" w:eastAsia="arial" w:hAnsi="arial" w:cs="arial"/>
          <w:color w:val="000000"/>
          <w:sz w:val="20"/>
          <w:lang w:val="en-US" w:eastAsia="en-US" w:bidi="ar-SA"/>
        </w:rPr>
        <w:t>, an international code established by convention to which Canada is a signatory. It provides mandatory bridge and engine room procedures, and other guidelines for deck and engine room officers. The vessel also has copies of "Personal Safety on Ships", published by the Marine Safety Directorate of Transport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master has a Marine First Aid Certificate and a first aid attendant is part of each crew.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On February 27, 2007, a crew member on "Osprey No. 1" was struck and killed by a trawl door. On March 7, 2007, a WCB Inspection Officer boarded and inspected the vessel, and the WCB issued an inspection report. It required the establishment of a health and safety program with the following features, among others:</w:t>
      </w:r>
      <w:r>
        <w:rPr>
          <w:rFonts w:ascii="arial" w:eastAsia="arial" w:hAnsi="arial" w:cs="arial"/>
          <w:sz w:val="20"/>
          <w:lang w:val="en-US" w:eastAsia="en-US" w:bidi="ar-SA"/>
        </w:rPr>
        <w:cr/>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establishment of appropriate written procedures, crew training and supervision;</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development of instructions on operational stability, describing the load and ballast criteria limits with such documentation to be made available to the crew (s. 24.72(b) of the </w:t>
      </w:r>
      <w:r>
        <w:rPr>
          <w:rFonts w:ascii="arial" w:eastAsia="arial" w:hAnsi="arial" w:cs="arial"/>
          <w:b/>
          <w:i/>
          <w:color w:val="000000"/>
          <w:sz w:val="20"/>
          <w:lang w:val="en-US" w:eastAsia="en-US" w:bidi="ar-SA"/>
        </w:rPr>
        <w:t>OH&amp;SR</w:t>
      </w:r>
      <w:r>
        <w:rPr>
          <w:rFonts w:ascii="arial" w:eastAsia="arial" w:hAnsi="arial" w:cs="arial"/>
          <w:color w:val="000000"/>
          <w:sz w:val="20"/>
          <w:lang w:val="en-US" w:eastAsia="en-US" w:bidi="ar-SA"/>
        </w:rPr>
        <w:t>);</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Bridge and engine room instructions (s. 24.72(a) of the </w:t>
      </w:r>
      <w:r>
        <w:rPr>
          <w:rFonts w:ascii="arial" w:eastAsia="arial" w:hAnsi="arial" w:cs="arial"/>
          <w:b/>
          <w:i/>
          <w:color w:val="000000"/>
          <w:sz w:val="20"/>
          <w:lang w:val="en-US" w:eastAsia="en-US" w:bidi="ar-SA"/>
        </w:rPr>
        <w:t>OH&amp;SR</w:t>
      </w:r>
      <w:r>
        <w:rPr>
          <w:rFonts w:ascii="arial" w:eastAsia="arial" w:hAnsi="arial" w:cs="arial"/>
          <w:color w:val="000000"/>
          <w:sz w:val="20"/>
          <w:lang w:val="en-US" w:eastAsia="en-US" w:bidi="ar-SA"/>
        </w:rPr>
        <w:t>);</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Personal flotation devices (s. 27.74-1 of the </w:t>
      </w:r>
      <w:r>
        <w:rPr>
          <w:rFonts w:ascii="arial" w:eastAsia="arial" w:hAnsi="arial" w:cs="arial"/>
          <w:b/>
          <w:i/>
          <w:color w:val="000000"/>
          <w:sz w:val="20"/>
          <w:lang w:val="en-US" w:eastAsia="en-US" w:bidi="ar-SA"/>
        </w:rPr>
        <w:t>OH&amp;SR</w:t>
      </w:r>
      <w:r>
        <w:rPr>
          <w:rFonts w:ascii="arial" w:eastAsia="arial" w:hAnsi="arial" w:cs="arial"/>
          <w:color w:val="000000"/>
          <w:sz w:val="20"/>
          <w:lang w:val="en-US" w:eastAsia="en-US" w:bidi="ar-SA"/>
        </w:rPr>
        <w:t>);</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Emergency drill procedures (s. 27.74-1(a) through (e) of the </w:t>
      </w:r>
      <w:r>
        <w:rPr>
          <w:rFonts w:ascii="arial" w:eastAsia="arial" w:hAnsi="arial" w:cs="arial"/>
          <w:b/>
          <w:i/>
          <w:color w:val="000000"/>
          <w:sz w:val="20"/>
          <w:lang w:val="en-US" w:eastAsia="en-US" w:bidi="ar-SA"/>
        </w:rPr>
        <w:t>OH&amp;SR</w:t>
      </w:r>
      <w:r>
        <w:rPr>
          <w:rFonts w:ascii="arial" w:eastAsia="arial" w:hAnsi="arial" w:cs="arial"/>
          <w:color w:val="000000"/>
          <w:sz w:val="20"/>
          <w:lang w:val="en-US" w:eastAsia="en-US" w:bidi="ar-SA"/>
        </w:rPr>
        <w:t>); and</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written notice of compliance to be submitted to the WCB by April 6,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WCB Order references "vessel stability issues", and reads in part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appears to be a current and accurate stability report available on board this vessel ... Operating instructions must detail the limits of stability and the safe operational procedures of this vessel and must be presented in a form that is understood by the master and available to the crew.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Following is a general list that is supplied to outline the sort of issues that must be addressed in the vessel based stability instruction. Please note that this list is general and some items may or may not apply. As well, the list is not exhaustive and the vessel may have other elements that will require more detail ...</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upon completion of the procedures above, provide training to the vessel master and crew on the procedures developed. The documentation describing the stability characteristics of the vessel must be presented in a format that is readily understandable by the vessel master and the crew.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Captain Thomas Crimp, a master mariner and marine surveyor, provided an opinion. He stated in that opinion that, as is common with large commercial vessels, the master and three other officers of "Osprey No. 1" will have studied ship stability but the remainder of the crew will not necessarily have training in or understanding of ship stability issues in a large complex vessel. His view is that, given the complexity of the vessel, issues of stability should be left solely with the trained officers, adding: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would be unsafe to allow untrained crew to make stability decisions and to act on those decisions. Consequently, there appears to be no reason why stability information needs to be made available in a form understandable by them. There is already the Stability &amp; Trim Booklet (required and approved by Transport Canada) available to and understood by the trained officers who monitor and make decisions concerning stability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To similar effect is the opinion of Marc McAllister, a marine surveyor. He stated, with reference to the WCB requirement that the owner develop documentation on vessel stability related to loading, consumable levels and weather conditions for workers: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such documentation were to be developed, the report does not state which information is to be relied upon for the operation of the vessel or contingency planning during an incident or emergency. The master is trained to refer to and depend on the vessel's approved stability book.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our opinion the requirement for additional documentation is redundant and could cause confusion or error in an emergency.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McAlister's opinion with respect to the requirement that the owner develop engine room instructions was: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engine room is under the supervision of the chief engineer on the vessel and the operation of the engine room and all the systems thereof is dependent on the conditions extant during the voyage. The formulation of instructions for every possible permutation of vessel performance, component performance, system performance or possible component or system malfunction would be nearly impossible to achieve.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only sensible instruction is that no action is to be undertaken in the engine room without the knowledge and consent, if not the direct order, of the chief engineer or the engineer on watch.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summary, 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report requires the creation of instructions and documentation that already exists elsewhere. The requirements of the report and orders are a duplication of existing Labour Canada and Transport Canada regulations that were designed by and are implemented by marine professionals. The creation of redundant documentation and instructions would not appear to improve the safety of the vessel or her crew. It is our opinion that any redundant documentation or instructions could cause confusion and may jeopardize safety of this vessel and her crew.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do not believe that the safety of the vessel or crew would be lessened by following the existing applicable regulations.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Osprey Marine took the position that the provincial legislation and regulations do not apply, and sought a stay of the WCB Order. The stay was refused. The Review Division decided that it did not have jurisdiction to determine the constitutionality of any of the regulations or the </w:t>
      </w:r>
      <w:r>
        <w:rPr>
          <w:rFonts w:ascii="arial" w:eastAsia="arial" w:hAnsi="arial" w:cs="arial"/>
          <w:b/>
          <w:i/>
          <w:color w:val="000000"/>
          <w:sz w:val="20"/>
          <w:lang w:val="en-US" w:eastAsia="en-US" w:bidi="ar-SA"/>
        </w:rPr>
        <w:t>WCA</w:t>
      </w:r>
      <w:r>
        <w:rPr>
          <w:rFonts w:ascii="arial" w:eastAsia="arial" w:hAnsi="arial" w:cs="arial"/>
          <w:color w:val="000000"/>
          <w:sz w:val="20"/>
          <w:lang w:val="en-US" w:eastAsia="en-US" w:bidi="ar-SA"/>
        </w:rPr>
        <w:t>. The reviewing officer, Nick Attewell, also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consider that the employer has taken an extreme interpretation of the order in order to support its constitutional argument. The order does not explicitly state that the employer must hire new crew members who have expert knowledge of stability and be personally capable of taking all steps that may be needed to deal with stability issues on the vessel. It refers rather to the development and presentation of instructions to crew members. The most reasonable interpretation of the order is that it recognizes that different crew members may have different roles in handling the vessel, including stability matters, and that certain crew members (including the master and officers) might, because of the need for expert knowledge or federal requirements, have special roles in these matters. My interpretation of the order is that it only requires that crew members without specialized knowledge be provided with the information they need for their particular roles. I note from the evidence provided in support of the stay request, notably the report from C, that ordinary crew members do have a role in maintaining stability by following certain work procedures such as ensuring hatches are closed.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Although the orders might ultimately involve significant requirements for the employer, they did not require the employer to do anything initially other than provide a compliance plan. The preparation of this plan provides a means for the employer to work out the details of compliance with the Board. It might, for example, provide a plan setting out what it believes to be a reasonable means for addressing stability and other matters on the vessel covered by the order. The Board would then have the opportunity to state whether it agrees with the plan or to require modifications.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employer's submissions refer to the federal statutes and regulations with which the employer is required to comply. Issues of paramountcy of federal requirements may arise in a situation where there is a conflict between applicable provincial and federal regulations. However, I can see no grounds for finding a conflict in this case. It appears to me that the inspection report was respectful of federal requirements, basing the orders on an assumption that the employer would have to comply with federal requirements. The establishment of an occupational health and safety program under section 3.1 of the </w:t>
      </w:r>
      <w:r>
        <w:rPr>
          <w:rFonts w:ascii="arial" w:eastAsia="arial" w:hAnsi="arial" w:cs="arial"/>
          <w:i/>
          <w:color w:val="000000"/>
          <w:sz w:val="20"/>
          <w:lang w:val="en-US" w:eastAsia="en-US" w:bidi="ar-SA"/>
        </w:rPr>
        <w:t>OHSR</w:t>
      </w:r>
      <w:r>
        <w:rPr>
          <w:rFonts w:ascii="arial" w:eastAsia="arial" w:hAnsi="arial" w:cs="arial"/>
          <w:color w:val="000000"/>
          <w:sz w:val="20"/>
          <w:lang w:val="en-US" w:eastAsia="en-US" w:bidi="ar-SA"/>
        </w:rPr>
        <w:t xml:space="preserve"> is a general process that is perfectly consistent with complying with any federal requirements that may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Osprey Marine then began this action, in which it applies for judgment under Rule 18A, seeking a declaration that the provisions of the </w:t>
      </w:r>
      <w:r>
        <w:rPr>
          <w:rFonts w:ascii="arial" w:eastAsia="arial" w:hAnsi="arial" w:cs="arial"/>
          <w:b/>
          <w:i/>
          <w:color w:val="000000"/>
          <w:sz w:val="20"/>
          <w:lang w:val="en-US" w:eastAsia="en-US" w:bidi="ar-SA"/>
        </w:rPr>
        <w:t>OH&amp;SR</w:t>
      </w:r>
      <w:r>
        <w:rPr>
          <w:rFonts w:ascii="arial" w:eastAsia="arial" w:hAnsi="arial" w:cs="arial"/>
          <w:color w:val="000000"/>
          <w:sz w:val="20"/>
          <w:lang w:val="en-US" w:eastAsia="en-US" w:bidi="ar-SA"/>
        </w:rPr>
        <w:t xml:space="preserve"> enacted pursuant to the </w:t>
      </w:r>
      <w:r>
        <w:rPr>
          <w:rFonts w:ascii="arial" w:eastAsia="arial" w:hAnsi="arial" w:cs="arial"/>
          <w:b/>
          <w:i/>
          <w:color w:val="000000"/>
          <w:sz w:val="20"/>
          <w:lang w:val="en-US" w:eastAsia="en-US" w:bidi="ar-SA"/>
        </w:rPr>
        <w:t>WCA</w:t>
      </w:r>
      <w:r>
        <w:rPr>
          <w:rFonts w:ascii="arial" w:eastAsia="arial" w:hAnsi="arial" w:cs="arial"/>
          <w:color w:val="000000"/>
          <w:sz w:val="20"/>
          <w:lang w:val="en-US" w:eastAsia="en-US" w:bidi="ar-SA"/>
        </w:rPr>
        <w:t xml:space="preserve"> and made by the WCB with respect to "Osprey No. 1" do not apply to the plaintiff or to the vessel because they are </w:t>
      </w:r>
      <w:r>
        <w:rPr>
          <w:rFonts w:ascii="arial" w:eastAsia="arial" w:hAnsi="arial" w:cs="arial"/>
          <w:i/>
          <w:color w:val="000000"/>
          <w:sz w:val="20"/>
          <w:lang w:val="en-US" w:eastAsia="en-US" w:bidi="ar-SA"/>
        </w:rPr>
        <w:t>ultra vires</w:t>
      </w:r>
      <w:r>
        <w:rPr>
          <w:rFonts w:ascii="arial" w:eastAsia="arial" w:hAnsi="arial" w:cs="arial"/>
          <w:color w:val="000000"/>
          <w:sz w:val="20"/>
          <w:lang w:val="en-US" w:eastAsia="en-US" w:bidi="ar-SA"/>
        </w:rPr>
        <w:t xml:space="preserve"> the Province of British Columbia or, alternatively, because such provisions or the regulations are inoperative by reason of incompatibility with the laws and regulations of the Parliament of Canada. It also seeks an injunction or stay of proceedings prohibiting the WCB from initiating or taking any further enforcement proceedings. Counsel advised at the hearing that the WCB has agreed to a stay of further enforcement proceedings against the plaintiff until judgment is rendered in this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Osprey Marine's position is that the safety of ships and crew registered in Canada is a matter within the sole and exclusive jurisdiction of the Parliament of Canada because the safety of ships and crew is an integral aspect of navigation and shipping (s. 91(10) of the </w:t>
      </w:r>
      <w:r>
        <w:rPr>
          <w:rFonts w:ascii="arial" w:eastAsia="arial" w:hAnsi="arial" w:cs="arial"/>
          <w:b/>
          <w:i/>
          <w:color w:val="000000"/>
          <w:sz w:val="20"/>
          <w:lang w:val="en-US" w:eastAsia="en-US" w:bidi="ar-SA"/>
        </w:rPr>
        <w:t>Constitution Act, 1867</w:t>
      </w:r>
      <w:r>
        <w:rPr>
          <w:rFonts w:ascii="arial" w:eastAsia="arial" w:hAnsi="arial" w:cs="arial"/>
          <w:color w:val="000000"/>
          <w:sz w:val="20"/>
          <w:lang w:val="en-US" w:eastAsia="en-US" w:bidi="ar-SA"/>
        </w:rPr>
        <w:t xml:space="preserve"> (U.K.), 30 &amp; 31 Vict., c. 3, reprinted in R.S.C. 1985, App. II, No. 5). In the alternative, it says that because the fishing operations conducted by the vessel are carried out beyond the limits of the Province of British Columbia in waters that are within the jurisdiction of the Parliament of Canada (s. 92(10) of the </w:t>
      </w:r>
      <w:r>
        <w:rPr>
          <w:rFonts w:ascii="arial" w:eastAsia="arial" w:hAnsi="arial" w:cs="arial"/>
          <w:b/>
          <w:i/>
          <w:color w:val="000000"/>
          <w:sz w:val="20"/>
          <w:lang w:val="en-US" w:eastAsia="en-US" w:bidi="ar-SA"/>
        </w:rPr>
        <w:t>Constitution Act, 1867</w:t>
      </w:r>
      <w:r>
        <w:rPr>
          <w:rFonts w:ascii="arial" w:eastAsia="arial" w:hAnsi="arial" w:cs="arial"/>
          <w:color w:val="000000"/>
          <w:sz w:val="20"/>
          <w:lang w:val="en-US" w:eastAsia="en-US" w:bidi="ar-SA"/>
        </w:rPr>
        <w:t xml:space="preserve">) the vessel is engaged in a federal work or undertaking. In further alternative, it says that the impugned regulations are </w:t>
      </w:r>
      <w:r>
        <w:rPr>
          <w:rFonts w:ascii="arial" w:eastAsia="arial" w:hAnsi="arial" w:cs="arial"/>
          <w:i/>
          <w:color w:val="000000"/>
          <w:sz w:val="20"/>
          <w:lang w:val="en-US" w:eastAsia="en-US" w:bidi="ar-SA"/>
        </w:rPr>
        <w:t>ultra vires</w:t>
      </w:r>
      <w:r>
        <w:rPr>
          <w:rFonts w:ascii="arial" w:eastAsia="arial" w:hAnsi="arial" w:cs="arial"/>
          <w:color w:val="000000"/>
          <w:sz w:val="20"/>
          <w:lang w:val="en-US" w:eastAsia="en-US" w:bidi="ar-SA"/>
        </w:rPr>
        <w:t xml:space="preserve"> under the doctrine of interjurisdictional immunity. In final alternative, it says that the doctrine of paramountcy applies as there is conflict between the </w:t>
      </w:r>
      <w:r>
        <w:rPr>
          <w:rFonts w:ascii="arial" w:eastAsia="arial" w:hAnsi="arial" w:cs="arial"/>
          <w:b/>
          <w:i/>
          <w:color w:val="000000"/>
          <w:sz w:val="20"/>
          <w:lang w:val="en-US" w:eastAsia="en-US" w:bidi="ar-SA"/>
        </w:rPr>
        <w:t>OH&amp;SR</w:t>
      </w:r>
      <w:r>
        <w:rPr>
          <w:rFonts w:ascii="arial" w:eastAsia="arial" w:hAnsi="arial" w:cs="arial"/>
          <w:color w:val="000000"/>
          <w:sz w:val="20"/>
          <w:lang w:val="en-US" w:eastAsia="en-US" w:bidi="ar-SA"/>
        </w:rPr>
        <w:t xml:space="preserve">, and the </w:t>
      </w:r>
      <w:r>
        <w:rPr>
          <w:rFonts w:ascii="arial" w:eastAsia="arial" w:hAnsi="arial" w:cs="arial"/>
          <w:b/>
          <w:i/>
          <w:color w:val="000000"/>
          <w:sz w:val="20"/>
          <w:lang w:val="en-US" w:eastAsia="en-US" w:bidi="ar-SA"/>
        </w:rPr>
        <w:t>CSA</w:t>
      </w:r>
      <w:r>
        <w:rPr>
          <w:rFonts w:ascii="arial" w:eastAsia="arial" w:hAnsi="arial" w:cs="arial"/>
          <w:color w:val="000000"/>
          <w:sz w:val="20"/>
          <w:lang w:val="en-US" w:eastAsia="en-US" w:bidi="ar-SA"/>
        </w:rPr>
        <w:t xml:space="preserve"> and the </w:t>
      </w:r>
      <w:r>
        <w:rPr>
          <w:rFonts w:ascii="arial" w:eastAsia="arial" w:hAnsi="arial" w:cs="arial"/>
          <w:b/>
          <w:i/>
          <w:color w:val="000000"/>
          <w:sz w:val="20"/>
          <w:lang w:val="en-US" w:eastAsia="en-US" w:bidi="ar-SA"/>
        </w:rPr>
        <w:t>CSA, 2001</w:t>
      </w:r>
      <w:r>
        <w:rPr>
          <w:rFonts w:ascii="arial" w:eastAsia="arial" w:hAnsi="arial" w:cs="arial"/>
          <w:color w:val="000000"/>
          <w:sz w:val="20"/>
          <w:lang w:val="en-US" w:eastAsia="en-US" w:bidi="ar-SA"/>
        </w:rPr>
        <w:t xml:space="preserve"> (in force July 1, 2007) and their </w:t>
      </w:r>
      <w:r>
        <w:rPr>
          <w:rFonts w:ascii="arial" w:eastAsia="arial" w:hAnsi="arial" w:cs="arial"/>
          <w:b/>
          <w:i/>
          <w:color w:val="000000"/>
          <w:sz w:val="20"/>
          <w:lang w:val="en-US" w:eastAsia="en-US" w:bidi="ar-SA"/>
        </w:rPr>
        <w:t>Regulations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Jim Pattison Enterprises Ltd., K. Smith Fishing Ltd. and 289787 B.C. Ltd. Petition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In this petition pursuant to the </w:t>
      </w:r>
      <w:r>
        <w:rPr>
          <w:rFonts w:ascii="arial" w:eastAsia="arial" w:hAnsi="arial" w:cs="arial"/>
          <w:b/>
          <w:i/>
          <w:color w:val="000000"/>
          <w:sz w:val="20"/>
          <w:lang w:val="en-US" w:eastAsia="en-US" w:bidi="ar-SA"/>
        </w:rPr>
        <w:t>Judicial Review Procedure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241</w:t>
      </w:r>
      <w:r>
        <w:rPr>
          <w:rFonts w:ascii="arial" w:eastAsia="arial" w:hAnsi="arial" w:cs="arial"/>
          <w:color w:val="000000"/>
          <w:sz w:val="20"/>
          <w:lang w:val="en-US" w:eastAsia="en-US" w:bidi="ar-SA"/>
        </w:rPr>
        <w:t xml:space="preserve">, the petitioners are all provincially incorporated companies that own fishing vessels. Jim Pattison Enterprises Ltd. ("Pattison") and 289787 B.C. Ltd. together own the "F/V Northisle", a 19.5 metre fishing vessel that weighs 95.75 gross tons. Pattison also owns, together with K. Smith Fishing Ltd., the vessel "F/V Western Investor", which is 22.68 metres long and weighs 119.26 gross tons. Each is categorized as a "small fishing vessel" under the </w:t>
      </w:r>
      <w:r>
        <w:rPr>
          <w:rFonts w:ascii="arial" w:eastAsia="arial" w:hAnsi="arial" w:cs="arial"/>
          <w:b/>
          <w:i/>
          <w:color w:val="000000"/>
          <w:sz w:val="20"/>
          <w:lang w:val="en-US" w:eastAsia="en-US" w:bidi="ar-SA"/>
        </w:rPr>
        <w:t>Small Fishing Vessel Inspection Regulations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C.R.C., c. 1486</w:t>
      </w:r>
      <w:r>
        <w:rPr>
          <w:rFonts w:ascii="arial" w:eastAsia="arial" w:hAnsi="arial" w:cs="arial"/>
          <w:color w:val="000000"/>
          <w:sz w:val="20"/>
          <w:lang w:val="en-US" w:eastAsia="en-US" w:bidi="ar-SA"/>
        </w:rPr>
        <w:t xml:space="preserve"> issued under the </w:t>
      </w:r>
      <w:r>
        <w:rPr>
          <w:rFonts w:ascii="arial" w:eastAsia="arial" w:hAnsi="arial" w:cs="arial"/>
          <w:b/>
          <w:i/>
          <w:color w:val="000000"/>
          <w:sz w:val="20"/>
          <w:lang w:val="en-US" w:eastAsia="en-US" w:bidi="ar-SA"/>
        </w:rPr>
        <w:t>CSA</w:t>
      </w:r>
      <w:r>
        <w:rPr>
          <w:rFonts w:ascii="arial" w:eastAsia="arial" w:hAnsi="arial" w:cs="arial"/>
          <w:color w:val="000000"/>
          <w:sz w:val="20"/>
          <w:lang w:val="en-US" w:eastAsia="en-US" w:bidi="ar-SA"/>
        </w:rPr>
        <w:t xml:space="preserve">. The vessels are certified by the federal government and licensed to fish by the federal government. Both spend more than half their time fishing beyond the geographic limits of British Columbia and the territorial sea of Canada. It appears that the crew members of the vessels are resident in British Columbia. There is no dispute that the crew members are covered by, and have made claims under, the compensation scheme created by the British Columbia </w:t>
      </w:r>
      <w:r>
        <w:rPr>
          <w:rFonts w:ascii="arial" w:eastAsia="arial" w:hAnsi="arial" w:cs="arial"/>
          <w:b/>
          <w:i/>
          <w:color w:val="000000"/>
          <w:sz w:val="20"/>
          <w:lang w:val="en-US" w:eastAsia="en-US" w:bidi="ar-SA"/>
        </w:rPr>
        <w:t>WCA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 vessels both have stability books approved by Transport Canada, as required under the </w:t>
      </w:r>
      <w:r>
        <w:rPr>
          <w:rFonts w:ascii="arial" w:eastAsia="arial" w:hAnsi="arial" w:cs="arial"/>
          <w:b/>
          <w:i/>
          <w:color w:val="000000"/>
          <w:sz w:val="20"/>
          <w:lang w:val="en-US" w:eastAsia="en-US" w:bidi="ar-SA"/>
        </w:rPr>
        <w:t>CSA</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Regulations</w:t>
      </w:r>
      <w:r>
        <w:rPr>
          <w:rFonts w:ascii="arial" w:eastAsia="arial" w:hAnsi="arial" w:cs="arial"/>
          <w:color w:val="000000"/>
          <w:sz w:val="20"/>
          <w:lang w:val="en-US" w:eastAsia="en-US" w:bidi="ar-SA"/>
        </w:rPr>
        <w:t xml:space="preserve">. The stability books cover seine fishing operations for salmon and herring but are being updated to cover trawl fishing operations only, as required by the </w:t>
      </w:r>
      <w:r>
        <w:rPr>
          <w:rFonts w:ascii="arial" w:eastAsia="arial" w:hAnsi="arial" w:cs="arial"/>
          <w:b/>
          <w:i/>
          <w:color w:val="000000"/>
          <w:sz w:val="20"/>
          <w:lang w:val="en-US" w:eastAsia="en-US" w:bidi="ar-SA"/>
        </w:rPr>
        <w:t>CSA</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Regulations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owners of the vessels provided the vessels and their masters with a comprehensive safety manual which included information and instructions about on board emergency procedures, drills and vessel stability.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The WCB, as a result of inspections on April 3, and April 5, 2006, issued Orders under Part 24 of the </w:t>
      </w:r>
      <w:r>
        <w:rPr>
          <w:rFonts w:ascii="arial" w:eastAsia="arial" w:hAnsi="arial" w:cs="arial"/>
          <w:b/>
          <w:i/>
          <w:color w:val="000000"/>
          <w:sz w:val="20"/>
          <w:lang w:val="en-US" w:eastAsia="en-US" w:bidi="ar-SA"/>
        </w:rPr>
        <w:t>OH&amp;SR</w:t>
      </w:r>
      <w:r>
        <w:rPr>
          <w:rFonts w:ascii="arial" w:eastAsia="arial" w:hAnsi="arial" w:cs="arial"/>
          <w:color w:val="000000"/>
          <w:sz w:val="20"/>
          <w:lang w:val="en-US" w:eastAsia="en-US" w:bidi="ar-SA"/>
        </w:rPr>
        <w:t xml:space="preserve"> as to each of the vessels. The configuration of both vessels had been changed from seining to trawling at the time of their inspection by the Board. The Orders allege contraventions of the </w:t>
      </w:r>
      <w:r>
        <w:rPr>
          <w:rFonts w:ascii="arial" w:eastAsia="arial" w:hAnsi="arial" w:cs="arial"/>
          <w:b/>
          <w:i/>
          <w:color w:val="000000"/>
          <w:sz w:val="20"/>
          <w:lang w:val="en-US" w:eastAsia="en-US" w:bidi="ar-SA"/>
        </w:rPr>
        <w:t>OH&amp;SR</w:t>
      </w:r>
      <w:r>
        <w:rPr>
          <w:rFonts w:ascii="arial" w:eastAsia="arial" w:hAnsi="arial" w:cs="arial"/>
          <w:color w:val="000000"/>
          <w:sz w:val="20"/>
          <w:lang w:val="en-US" w:eastAsia="en-US" w:bidi="ar-SA"/>
        </w:rPr>
        <w:t xml:space="preserve"> s. 27.72(b) and relate to various aspects of vessel stability as well as vessel safety. With respect to "Northisle", the Orders referred to the absence of documented stability instructions for the "boom position and securing, while travelling and fishing"; "maximum loading of each fish hold and fish hold loading sequence"; and "maximum wind and wave conditions for the vessel under lightship, port departure, arriving at fishing grounds, half load, full load, post delivery", among many other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Board made a directive that within 30 days of the Inspection Report the "Northisle" owners provide a written compliance plan that would include, as a minimum, completion of updated stability documentation and documented operating instructions addressing the items set out in the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With respect to the "Western Investor", the Orders included the following:</w:t>
      </w:r>
      <w:r>
        <w:rPr>
          <w:rFonts w:ascii="arial" w:eastAsia="arial" w:hAnsi="arial" w:cs="arial"/>
          <w:sz w:val="20"/>
          <w:lang w:val="en-US" w:eastAsia="en-US" w:bidi="ar-SA"/>
        </w:rPr>
        <w:cr/>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OHS 24.72(b): The owner of a fishing vessel has failed to provide documentation onboard describing vessel characteristics which include stability.</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OHS 24.74(1)(a): The Master of a fishing vessel has failed to establish procedures and/or assign responsibilities to each crew member to cover an emergency in which a crewmember has gone overboard.</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OHS 24.74(1)(b): The Master of a fishing vessel has failed to establish procedures and/or assign responsibilities to each crewmember to cover an emergency involving fire onboard.</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OHS 24.74(1)(c): The Master of a fishing vessel has failed to establish procedures and/or assign responsibilities to each crewmember to cover an emergency involving flooding of the vessel.</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OHS 24.74(1)(d): The Master of a fishing vessel has failed to establish procedures and/or assign responsibilities to each crewmember to cover an emergency involving abandoning ship.</w:t>
      </w:r>
    </w:p>
    <w:p>
      <w:pPr>
        <w:numPr>
          <w:numId w:val="1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OHS 24.74(1)(e): The Master of a fishing vessel has failed to establish procedures and/or assign responsibilities to each crewmember to cover an emergency involving calling for help.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owners were required to notify the Board, in writing, of the steps to be taken to correct the contraventions, within 30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 owners of the "Northisle" and the owners of the "Western Investor" filed compliance plans, and each filed a Request for Review (pursuant to ss. 96.2(1)(c) and 96.3(3)(b) of the </w:t>
      </w:r>
      <w:r>
        <w:rPr>
          <w:rFonts w:ascii="arial" w:eastAsia="arial" w:hAnsi="arial" w:cs="arial"/>
          <w:b/>
          <w:i/>
          <w:color w:val="000000"/>
          <w:sz w:val="20"/>
          <w:lang w:val="en-US" w:eastAsia="en-US" w:bidi="ar-SA"/>
        </w:rPr>
        <w:t>WCA</w:t>
      </w:r>
      <w:r>
        <w:rPr>
          <w:rFonts w:ascii="arial" w:eastAsia="arial" w:hAnsi="arial" w:cs="arial"/>
          <w:color w:val="000000"/>
          <w:sz w:val="20"/>
          <w:lang w:val="en-US" w:eastAsia="en-US" w:bidi="ar-SA"/>
        </w:rPr>
        <w:t>) on July 3, 2006 on the grounds that the WCB does not have the jurisdiction to regulate vessel stability and safety matters on commercial fishing vessels.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 Review Decision was issued on March 30, 2007, with respect to the "Northisle" and "Western Investor" Requests for Review. The Review Officer concluded that the Review Division lacked the jurisdiction to decide constitutional questions.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petitioners' application for judicial review relates only to the constitutional issue; they do not seek review of the merits of the "Northisle" or the "Western Investor" Orders.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The petitioners' position in these proceedings is that the provincial legislature lacks constitutional jurisdiction to regulate safety on board fishing vessels operating from British Columbia. They say that Part 24 of the </w:t>
      </w:r>
      <w:r>
        <w:rPr>
          <w:rFonts w:ascii="arial" w:eastAsia="arial" w:hAnsi="arial" w:cs="arial"/>
          <w:b/>
          <w:i/>
          <w:color w:val="000000"/>
          <w:sz w:val="20"/>
          <w:lang w:val="en-US" w:eastAsia="en-US" w:bidi="ar-SA"/>
        </w:rPr>
        <w:t>OH&amp;SR</w:t>
      </w:r>
      <w:r>
        <w:rPr>
          <w:rFonts w:ascii="arial" w:eastAsia="arial" w:hAnsi="arial" w:cs="arial"/>
          <w:color w:val="000000"/>
          <w:sz w:val="20"/>
          <w:lang w:val="en-US" w:eastAsia="en-US" w:bidi="ar-SA"/>
        </w:rPr>
        <w:t xml:space="preserve"> is </w:t>
      </w:r>
      <w:r>
        <w:rPr>
          <w:rFonts w:ascii="arial" w:eastAsia="arial" w:hAnsi="arial" w:cs="arial"/>
          <w:i/>
          <w:color w:val="000000"/>
          <w:sz w:val="20"/>
          <w:lang w:val="en-US" w:eastAsia="en-US" w:bidi="ar-SA"/>
        </w:rPr>
        <w:t>ultra vires</w:t>
      </w:r>
      <w:r>
        <w:rPr>
          <w:rFonts w:ascii="arial" w:eastAsia="arial" w:hAnsi="arial" w:cs="arial"/>
          <w:color w:val="000000"/>
          <w:sz w:val="20"/>
          <w:lang w:val="en-US" w:eastAsia="en-US" w:bidi="ar-SA"/>
        </w:rPr>
        <w:t xml:space="preserve"> because its pith and substance is "ship safety", which they say is a matter within the exclusive legislative competence of Parliament under the </w:t>
      </w:r>
      <w:r>
        <w:rPr>
          <w:rFonts w:ascii="arial" w:eastAsia="arial" w:hAnsi="arial" w:cs="arial"/>
          <w:b/>
          <w:i/>
          <w:color w:val="000000"/>
          <w:sz w:val="20"/>
          <w:lang w:val="en-US" w:eastAsia="en-US" w:bidi="ar-SA"/>
        </w:rPr>
        <w:t>Constitution Act, 1867</w:t>
      </w:r>
      <w:r>
        <w:rPr>
          <w:rFonts w:ascii="arial" w:eastAsia="arial" w:hAnsi="arial" w:cs="arial"/>
          <w:color w:val="000000"/>
          <w:sz w:val="20"/>
          <w:lang w:val="en-US" w:eastAsia="en-US" w:bidi="ar-SA"/>
        </w:rPr>
        <w:t>, s. 91(10) or 91(12) or as a federal work or undertaking within the meaning of s. 92(10). They also say in the alternative that Part 24 should be found inapplicable or inoperative either through the doctrine of interjurisdictional immunity or the doctrine of paramountcy.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Federal-Provincial Agreements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Counsel for the WCB, Mr. Nielsen, provided a review of the historical background to the provincial occupational health and safety legislation, and the development of federal-provincial agreements in the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To summarize that history, from the first workers' compensation legislation in 1916 until about 1995, because fishers were usually "independent operators" rather than employees, they did not receive WCB coverage as of right. However, the legislation from the outset was applicable to the industry of fishing. Proposals for compulsory coverage of all fishers were considered (British Columbia, Royal Commission on the Workers Compensation Board, </w:t>
      </w:r>
      <w:r>
        <w:rPr>
          <w:rFonts w:ascii="arial" w:eastAsia="arial" w:hAnsi="arial" w:cs="arial"/>
          <w:b/>
          <w:i/>
          <w:color w:val="000000"/>
          <w:sz w:val="20"/>
          <w:lang w:val="en-US" w:eastAsia="en-US" w:bidi="ar-SA"/>
        </w:rPr>
        <w:t>Report of the Commission the Honourable Mr. Justice Gordon McG. Sloan relating to the Workers Compensation Board</w:t>
      </w:r>
      <w:r>
        <w:rPr>
          <w:rFonts w:ascii="arial" w:eastAsia="arial" w:hAnsi="arial" w:cs="arial"/>
          <w:color w:val="000000"/>
          <w:sz w:val="20"/>
          <w:lang w:val="en-US" w:eastAsia="en-US" w:bidi="ar-SA"/>
        </w:rPr>
        <w:t xml:space="preserve"> (Victoria: King's Printer, 1942); British Columbia, Royal Commission on the Workers Compensation Board, </w:t>
      </w:r>
      <w:r>
        <w:rPr>
          <w:rFonts w:ascii="arial" w:eastAsia="arial" w:hAnsi="arial" w:cs="arial"/>
          <w:b/>
          <w:i/>
          <w:color w:val="000000"/>
          <w:sz w:val="20"/>
          <w:lang w:val="en-US" w:eastAsia="en-US" w:bidi="ar-SA"/>
        </w:rPr>
        <w:t>Report of the Commission the Honourable Mr. Justice Gordon McG. Sloan relating to the Workers Compensation Act</w:t>
      </w:r>
      <w:r>
        <w:rPr>
          <w:rFonts w:ascii="arial" w:eastAsia="arial" w:hAnsi="arial" w:cs="arial"/>
          <w:color w:val="000000"/>
          <w:sz w:val="20"/>
          <w:lang w:val="en-US" w:eastAsia="en-US" w:bidi="ar-SA"/>
        </w:rPr>
        <w:t xml:space="preserve"> (Victoria: Queen's Printer, 1952); and British Columbia, Commission of Inquiry, </w:t>
      </w:r>
      <w:r>
        <w:rPr>
          <w:rFonts w:ascii="arial" w:eastAsia="arial" w:hAnsi="arial" w:cs="arial"/>
          <w:b/>
          <w:i/>
          <w:color w:val="000000"/>
          <w:sz w:val="20"/>
          <w:lang w:val="en-US" w:eastAsia="en-US" w:bidi="ar-SA"/>
        </w:rPr>
        <w:t>Workmen's Compensation Act Report of the Commissioner, the Honourable Mr. Justice Charles W. Tysoe</w:t>
      </w:r>
      <w:r>
        <w:rPr>
          <w:rFonts w:ascii="arial" w:eastAsia="arial" w:hAnsi="arial" w:cs="arial"/>
          <w:color w:val="000000"/>
          <w:sz w:val="20"/>
          <w:lang w:val="en-US" w:eastAsia="en-US" w:bidi="ar-SA"/>
        </w:rPr>
        <w:t xml:space="preserve"> (Victoria: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Queen's Printer,1966)), but were rejected. After the death of 14 fishers in two weeks in 1975, the federal government held an inquiry - Marine Investigation, </w:t>
      </w:r>
      <w:r>
        <w:rPr>
          <w:rFonts w:ascii="arial" w:eastAsia="arial" w:hAnsi="arial" w:cs="arial"/>
          <w:b/>
          <w:i/>
          <w:color w:val="000000"/>
          <w:sz w:val="20"/>
          <w:lang w:val="en-US" w:eastAsia="en-US" w:bidi="ar-SA"/>
        </w:rPr>
        <w:t>West Coast Fishing Vessels Casualties Inquiry</w:t>
      </w:r>
      <w:r>
        <w:rPr>
          <w:rFonts w:ascii="arial" w:eastAsia="arial" w:hAnsi="arial" w:cs="arial"/>
          <w:color w:val="000000"/>
          <w:sz w:val="20"/>
          <w:lang w:val="en-US" w:eastAsia="en-US" w:bidi="ar-SA"/>
        </w:rPr>
        <w:t xml:space="preserve"> (Ottawa: Transport Canada, March 1975) - and one of the suggestions raised was that if the smaller vessels involved in the catastrophe had been inspected, some of the casualties might have been avoided.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WCB produced evidence showing that fishing continues to be a dangerous industry: between 1975 and 2005 in British Columbia, 157 fishing vessels capsized with 66 lives lost. The Board's statistics, indicating that one fisherman died for every 29 WCB claims made between 2001 and 2005 in the fishing industry, are consistent with the statistics for Osprey Marine (one fatality for 22 claims) and Pattison (three fatalities for 55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Discussions began between the two levels of government about the possibility of a Memorandum of Understanding between the WCB Prevention Department and its federal counterparts. On June 26, 1975, what is now s. 4 of the </w:t>
      </w:r>
      <w:r>
        <w:rPr>
          <w:rFonts w:ascii="arial" w:eastAsia="arial" w:hAnsi="arial" w:cs="arial"/>
          <w:b/>
          <w:i/>
          <w:color w:val="000000"/>
          <w:sz w:val="20"/>
          <w:lang w:val="en-US" w:eastAsia="en-US" w:bidi="ar-SA"/>
        </w:rPr>
        <w:t>WCA</w:t>
      </w:r>
      <w:r>
        <w:rPr>
          <w:rFonts w:ascii="arial" w:eastAsia="arial" w:hAnsi="arial" w:cs="arial"/>
          <w:color w:val="000000"/>
          <w:sz w:val="20"/>
          <w:lang w:val="en-US" w:eastAsia="en-US" w:bidi="ar-SA"/>
        </w:rPr>
        <w:t xml:space="preserve"> was enacted. It authorized the Lieutenant Governor in Council and the Board to make regulations for the fishing industry that modified the ordinary provisions of the </w:t>
      </w:r>
      <w:r>
        <w:rPr>
          <w:rFonts w:ascii="arial" w:eastAsia="arial" w:hAnsi="arial" w:cs="arial"/>
          <w:b/>
          <w:i/>
          <w:color w:val="000000"/>
          <w:sz w:val="20"/>
          <w:lang w:val="en-US" w:eastAsia="en-US" w:bidi="ar-SA"/>
        </w:rPr>
        <w:t>WCA</w:t>
      </w:r>
      <w:r>
        <w:rPr>
          <w:rFonts w:ascii="arial" w:eastAsia="arial" w:hAnsi="arial" w:cs="arial"/>
          <w:color w:val="000000"/>
          <w:sz w:val="20"/>
          <w:lang w:val="en-US" w:eastAsia="en-US" w:bidi="ar-SA"/>
        </w:rPr>
        <w:t>. Such regulations were passed on November 20, 1975, creating the category "Commercial Fisherman" and defining it to include virtually all fishers who previously would have been independent operators.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Meetings between the provincial and federal governments went on in 1987 in an effort to reach a jurisdictional accord with respect to occupational health and safety in the fishing industry. A tripartite committee was developed, and it reported in June of 1988.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When, in 1990, the Supreme Court of Canada refused an application for leave to appeal from an Ontario Court of Appeal decision recognizing provincial control over the "business of fishing" (</w:t>
      </w:r>
      <w:r>
        <w:rPr>
          <w:rFonts w:ascii="arial" w:eastAsia="arial" w:hAnsi="arial" w:cs="arial"/>
          <w:b/>
          <w:i/>
          <w:color w:val="000000"/>
          <w:sz w:val="20"/>
          <w:lang w:val="en-US" w:eastAsia="en-US" w:bidi="ar-SA"/>
        </w:rPr>
        <w:t>504578 Ontario Limited v. Great Lakes Fishermen and Allied Workers' Union</w:t>
      </w:r>
      <w:r>
        <w:rPr>
          <w:rFonts w:ascii="arial" w:eastAsia="arial" w:hAnsi="arial" w:cs="arial"/>
          <w:color w:val="000000"/>
          <w:sz w:val="20"/>
          <w:lang w:val="en-US" w:eastAsia="en-US" w:bidi="ar-SA"/>
        </w:rPr>
        <w:t xml:space="preserve">, [1990] O.L.R.B. Rep. 117, </w:t>
      </w:r>
      <w:hyperlink r:id="rId666" w:history="1">
        <w:r>
          <w:rPr>
            <w:rFonts w:ascii="arial" w:eastAsia="arial" w:hAnsi="arial" w:cs="arial"/>
            <w:i/>
            <w:color w:val="0077CC"/>
            <w:sz w:val="20"/>
            <w:u w:val="single"/>
            <w:shd w:val="clear" w:color="auto" w:fill="FFFFFF"/>
            <w:lang w:val="en-US" w:eastAsia="en-US" w:bidi="ar-SA"/>
          </w:rPr>
          <w:t>[1990] O.J. No. 39</w:t>
        </w:r>
      </w:hyperlink>
      <w:r>
        <w:rPr>
          <w:rFonts w:ascii="arial" w:eastAsia="arial" w:hAnsi="arial" w:cs="arial"/>
          <w:color w:val="000000"/>
          <w:sz w:val="20"/>
          <w:lang w:val="en-US" w:eastAsia="en-US" w:bidi="ar-SA"/>
        </w:rPr>
        <w:t xml:space="preserve"> (C.A.) (leave to appeal dismissed, </w:t>
      </w:r>
      <w:hyperlink r:id="rId667" w:history="1">
        <w:r>
          <w:rPr>
            <w:rFonts w:ascii="arial" w:eastAsia="arial" w:hAnsi="arial" w:cs="arial"/>
            <w:i/>
            <w:color w:val="0077CC"/>
            <w:sz w:val="20"/>
            <w:u w:val="single"/>
            <w:shd w:val="clear" w:color="auto" w:fill="FFFFFF"/>
            <w:lang w:val="en-US" w:eastAsia="en-US" w:bidi="ar-SA"/>
          </w:rPr>
          <w:t>[1990] S.C.C.A. 233</w:t>
        </w:r>
      </w:hyperlink>
      <w:r>
        <w:rPr>
          <w:rFonts w:ascii="arial" w:eastAsia="arial" w:hAnsi="arial" w:cs="arial"/>
          <w:color w:val="000000"/>
          <w:sz w:val="20"/>
          <w:lang w:val="en-US" w:eastAsia="en-US" w:bidi="ar-SA"/>
        </w:rPr>
        <w:t>)), the WCB took this as authority for provincial regulation of occupational health and safety in the fishing industry. It formed a sub-committee on fishing vessel safety which included, among others, members from the fishing industry, organized labour, and the federal Coast Guard.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The Fishing Sub-Committee issued its final report on May 12, 1993, followed by public hearings pursuant to s. 71(1) of the </w:t>
      </w:r>
      <w:r>
        <w:rPr>
          <w:rFonts w:ascii="arial" w:eastAsia="arial" w:hAnsi="arial" w:cs="arial"/>
          <w:b/>
          <w:i/>
          <w:color w:val="000000"/>
          <w:sz w:val="20"/>
          <w:lang w:val="en-US" w:eastAsia="en-US" w:bidi="ar-SA"/>
        </w:rPr>
        <w:t>WCA</w:t>
      </w:r>
      <w:r>
        <w:rPr>
          <w:rFonts w:ascii="arial" w:eastAsia="arial" w:hAnsi="arial" w:cs="arial"/>
          <w:color w:val="000000"/>
          <w:sz w:val="20"/>
          <w:lang w:val="en-US" w:eastAsia="en-US" w:bidi="ar-SA"/>
        </w:rPr>
        <w:t xml:space="preserve"> concerning proposed </w:t>
      </w:r>
      <w:r>
        <w:rPr>
          <w:rFonts w:ascii="arial" w:eastAsia="arial" w:hAnsi="arial" w:cs="arial"/>
          <w:b/>
          <w:i/>
          <w:color w:val="000000"/>
          <w:sz w:val="20"/>
          <w:lang w:val="en-US" w:eastAsia="en-US" w:bidi="ar-SA"/>
        </w:rPr>
        <w:t>OH&amp;SR</w:t>
      </w:r>
      <w:r>
        <w:rPr>
          <w:rFonts w:ascii="arial" w:eastAsia="arial" w:hAnsi="arial" w:cs="arial"/>
          <w:color w:val="000000"/>
          <w:sz w:val="20"/>
          <w:lang w:val="en-US" w:eastAsia="en-US" w:bidi="ar-SA"/>
        </w:rPr>
        <w:t xml:space="preserve"> amendments to cover the commercial fishing industry.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On January 1, 1995, </w:t>
      </w:r>
      <w:r>
        <w:rPr>
          <w:rFonts w:ascii="arial" w:eastAsia="arial" w:hAnsi="arial" w:cs="arial"/>
          <w:b/>
          <w:i/>
          <w:color w:val="000000"/>
          <w:sz w:val="20"/>
          <w:lang w:val="en-US" w:eastAsia="en-US" w:bidi="ar-SA"/>
        </w:rPr>
        <w:t>Fishing Operations Regulations</w:t>
      </w:r>
      <w:r>
        <w:rPr>
          <w:rFonts w:ascii="arial" w:eastAsia="arial" w:hAnsi="arial" w:cs="arial"/>
          <w:color w:val="000000"/>
          <w:sz w:val="20"/>
          <w:lang w:val="en-US" w:eastAsia="en-US" w:bidi="ar-SA"/>
        </w:rPr>
        <w:t xml:space="preserve"> were enacted by the WCB and came into force. The WCB published a booklet, "Gearing up for Safety - Safe Work Practices for Commercial Fishing in B.C.". Part 24 of the </w:t>
      </w:r>
      <w:r>
        <w:rPr>
          <w:rFonts w:ascii="arial" w:eastAsia="arial" w:hAnsi="arial" w:cs="arial"/>
          <w:b/>
          <w:i/>
          <w:color w:val="000000"/>
          <w:sz w:val="20"/>
          <w:lang w:val="en-US" w:eastAsia="en-US" w:bidi="ar-SA"/>
        </w:rPr>
        <w:t>OH&amp;SR</w:t>
      </w:r>
      <w:r>
        <w:rPr>
          <w:rFonts w:ascii="arial" w:eastAsia="arial" w:hAnsi="arial" w:cs="arial"/>
          <w:color w:val="000000"/>
          <w:sz w:val="20"/>
          <w:lang w:val="en-US" w:eastAsia="en-US" w:bidi="ar-SA"/>
        </w:rPr>
        <w:t xml:space="preserve"> came into effect following public hearings on April 15,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1995, a Memorandum of Understanding was signed by the WCB and the Canadian Coast Guard, and another Memorandum of Understanding by the WCB and the Department of Fisheries and Oceans (Canada), with respect to the occupational health and safety of workers in the commercial fishing industry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Memorandum of Understanding between the WCB and the Canadian Coast Guard (signed December 16, 1994 and January 26, 1995) states, among other matters, that:</w:t>
      </w:r>
      <w:r>
        <w:rPr>
          <w:rFonts w:ascii="arial" w:eastAsia="arial" w:hAnsi="arial" w:cs="arial"/>
          <w:sz w:val="20"/>
          <w:lang w:val="en-US" w:eastAsia="en-US" w:bidi="ar-SA"/>
        </w:rPr>
        <w:cr/>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occupational health and safety of persons working on commercial fishing vessels in B.C. is within the jurisdiction of the WCB. WCB Fishing Operations Regulations address health and safety issues of persons working on commercial fishing vessels. Once the regulations are promulgated, it is desirable that the regulations are administered in such a manner as to avoid conflict between the WCB and the CCG.</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CCG recognizes the jurisdiction of the WCB to govern all aspects of occupational health and safety of persons working in commercial fishing vessels in British Columbia.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establishment of a cooperative working relationship will be achieved through the exchange of basic information concerning the WCB and the CCG, and reciprocal participation in safety training seminars and officer workshops as appropriate.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terms of this agreement may be amended by the consent of the parties at any time and may be terminated by either party after it has given 60 days notice to that effect to the other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Another Memorandum of Understanding, between WCB and Transport Canada (Marine Safety), was signed in May, 2001. This agreement in its terms is meant to "coordinate" the activities of the WCB and its federal counterpart, with the WCB having jurisdiction over the "business of fishing", defined to include the activities of crews and the operations of vessels and their gear while fishing in B.C. waters, and Transport Canada having jurisdiction over shipping and navigation operations, including crew certification and the application of vessel construction standards. The agreement contemplates joint jurisdiction over activities on board commercial fishing vessels that are outside of and incidental to the business of fishing, such as stowing cargo and catch, setting and retrieving the vessel's anchor, engine room procedures and the conducting of emergency drills.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WCB position is that this Memorandum of Understanding, in which the two levels of government agree to share jurisdiction over matters in the fishing industry, is designed to promote safety, prevent conflict and provide notice to the public: a classic example of cooperative federalism. Mr. Nielsen pointed, as an example, to the fact that the provincial publication ("Gearing up for Safety - Safe Work Practices in Commercial Fishing in B.C.") and the federal publication ("Small Fishing Vessel Safety Manual") are printed in similar size and format, with the intention that they will be stowed together on vessels, and that the introduction to the provincial publication states that it is not meant to replace the federal publication.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As I have already stated, the federal government did not appear or make submissions in these two proceedings. Further, as I will discuss later, the federal government took the position, in a recently-litigated case raising similar issues in Nova Scotia (</w:t>
      </w:r>
      <w:r>
        <w:rPr>
          <w:rFonts w:ascii="arial" w:eastAsia="arial" w:hAnsi="arial" w:cs="arial"/>
          <w:b/>
          <w:i/>
          <w:color w:val="000000"/>
          <w:sz w:val="20"/>
          <w:lang w:val="en-US" w:eastAsia="en-US" w:bidi="ar-SA"/>
        </w:rPr>
        <w:t>R. v. Mersey Seafoods</w:t>
      </w:r>
      <w:r>
        <w:rPr>
          <w:rFonts w:ascii="arial" w:eastAsia="arial" w:hAnsi="arial" w:cs="arial"/>
          <w:color w:val="000000"/>
          <w:sz w:val="20"/>
          <w:lang w:val="en-US" w:eastAsia="en-US" w:bidi="ar-SA"/>
        </w:rPr>
        <w:t xml:space="preserve">, </w:t>
      </w:r>
      <w:hyperlink r:id="rId668" w:history="1">
        <w:r>
          <w:rPr>
            <w:rFonts w:ascii="arial" w:eastAsia="arial" w:hAnsi="arial" w:cs="arial"/>
            <w:i/>
            <w:color w:val="0077CC"/>
            <w:sz w:val="20"/>
            <w:u w:val="single"/>
            <w:shd w:val="clear" w:color="auto" w:fill="FFFFFF"/>
            <w:lang w:val="en-US" w:eastAsia="en-US" w:bidi="ar-SA"/>
          </w:rPr>
          <w:t>2008 NSCA 67</w:t>
        </w:r>
      </w:hyperlink>
      <w:r>
        <w:rPr>
          <w:rFonts w:ascii="arial" w:eastAsia="arial" w:hAnsi="arial" w:cs="arial"/>
          <w:color w:val="000000"/>
          <w:sz w:val="20"/>
          <w:lang w:val="en-US" w:eastAsia="en-US" w:bidi="ar-SA"/>
        </w:rPr>
        <w:t xml:space="preserve">, </w:t>
      </w:r>
      <w:hyperlink r:id="rId668" w:history="1">
        <w:r>
          <w:rPr>
            <w:rFonts w:ascii="arial" w:eastAsia="arial" w:hAnsi="arial" w:cs="arial"/>
            <w:i/>
            <w:color w:val="0077CC"/>
            <w:sz w:val="20"/>
            <w:u w:val="single"/>
            <w:shd w:val="clear" w:color="auto" w:fill="FFFFFF"/>
            <w:lang w:val="en-US" w:eastAsia="en-US" w:bidi="ar-SA"/>
          </w:rPr>
          <w:t>[2008] N.S.J. No. 315</w:t>
        </w:r>
      </w:hyperlink>
      <w:r>
        <w:rPr>
          <w:rFonts w:ascii="arial" w:eastAsia="arial" w:hAnsi="arial" w:cs="arial"/>
          <w:color w:val="000000"/>
          <w:sz w:val="20"/>
          <w:lang w:val="en-US" w:eastAsia="en-US" w:bidi="ar-SA"/>
        </w:rPr>
        <w:t>), that the provinces have jurisdiction over occupational health and safety on fishing vessels.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CONSTITUTIONAL PROVISIONS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The relevant provisions of the </w:t>
      </w:r>
      <w:r>
        <w:rPr>
          <w:rFonts w:ascii="arial" w:eastAsia="arial" w:hAnsi="arial" w:cs="arial"/>
          <w:b/>
          <w:i/>
          <w:color w:val="000000"/>
          <w:sz w:val="20"/>
          <w:lang w:val="en-US" w:eastAsia="en-US" w:bidi="ar-SA"/>
        </w:rPr>
        <w:t>Constitution Act, 1867</w:t>
      </w:r>
      <w:r>
        <w:rPr>
          <w:rFonts w:ascii="arial" w:eastAsia="arial" w:hAnsi="arial" w:cs="arial"/>
          <w:color w:val="000000"/>
          <w:sz w:val="20"/>
          <w:lang w:val="en-US" w:eastAsia="en-US" w:bidi="ar-SA"/>
        </w:rPr>
        <w:t xml:space="preserve"> are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 91 It shall be lawful for the Queen ... to make Laws ....for the Peace, Order and good Government of Canada, in relation to all Matters not coming within the Classes of Subjects by this Act assigned exclusively to the Legislatures of the Provinces; and for greater Certainty, but not so as to restrict the Generality of the foregoing Terms of this Section, it is hereby declared that (notwithstanding anything in this Act) the exclusive Legislative Authority of the Parliament of Canada extends to all Matters coming within the Classes of Subjects next hereinafter enumerated; that is to say,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Navigation and Shipping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Sea Coast and Inland Fisheries</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Ferries between a Province and any British or Foreign Country or between Two Provinces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any Matter coming within any of the Classes of Subjects enumerated in this Section shall not be deemed to come within the Class of Matters of a local or private Nature comprised in the Enumeration of the Classes of Subjects by this Act assigned exclusively to the Legislatures of the Provinces.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 92 In each Province the Legislature may exclusively make laws in relation to Matters coming within the Classes of Subjects next hereinafter enumerated, that is to say;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Local Works and Undertakings other than such as are of the following Classes, -</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Lines of Steam or other Ships, Railways, Canals, Telegraphs, and other Works and Undertakings connecting the Province with any other or others of the Provinces or extending beyond the Limits of the Province</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Lines of Steam Ships between the Province and any British or Foreign Country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Property and Civil Rights in the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LEGISLATION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Provincial Legislation -- Workers Compensation Act and Regulations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In addition to providing a comprehensive scheme for the payment of no-fault benefits for injuries or industrial disease caused by employment, the </w:t>
      </w:r>
      <w:r>
        <w:rPr>
          <w:rFonts w:ascii="arial" w:eastAsia="arial" w:hAnsi="arial" w:cs="arial"/>
          <w:b/>
          <w:i/>
          <w:color w:val="000000"/>
          <w:sz w:val="20"/>
          <w:lang w:val="en-US" w:eastAsia="en-US" w:bidi="ar-SA"/>
        </w:rPr>
        <w:t>WCA</w:t>
      </w:r>
      <w:r>
        <w:rPr>
          <w:rFonts w:ascii="arial" w:eastAsia="arial" w:hAnsi="arial" w:cs="arial"/>
          <w:color w:val="000000"/>
          <w:sz w:val="20"/>
          <w:lang w:val="en-US" w:eastAsia="en-US" w:bidi="ar-SA"/>
        </w:rPr>
        <w:t xml:space="preserve"> regulates industrial health and safety in the workplace and levies assessments on employers in order to cover associated costs. The </w:t>
      </w:r>
      <w:r>
        <w:rPr>
          <w:rFonts w:ascii="arial" w:eastAsia="arial" w:hAnsi="arial" w:cs="arial"/>
          <w:b/>
          <w:i/>
          <w:color w:val="000000"/>
          <w:sz w:val="20"/>
          <w:lang w:val="en-US" w:eastAsia="en-US" w:bidi="ar-SA"/>
        </w:rPr>
        <w:t>WCA</w:t>
      </w:r>
      <w:r>
        <w:rPr>
          <w:rFonts w:ascii="arial" w:eastAsia="arial" w:hAnsi="arial" w:cs="arial"/>
          <w:color w:val="000000"/>
          <w:sz w:val="20"/>
          <w:lang w:val="en-US" w:eastAsia="en-US" w:bidi="ar-SA"/>
        </w:rPr>
        <w:t xml:space="preserve"> has four Parts: Part 1 - Compensation to Workers and Dependants; Part 2 - Liability of Employers in Industries Not Within the Scope of Part 1; Part 3 - Occupational Health and Safety; and Part 4 - Appeals.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The purposes of </w:t>
      </w:r>
      <w:r>
        <w:rPr>
          <w:rFonts w:ascii="arial" w:eastAsia="arial" w:hAnsi="arial" w:cs="arial"/>
          <w:b/>
          <w:i/>
          <w:color w:val="000000"/>
          <w:sz w:val="20"/>
          <w:lang w:val="en-US" w:eastAsia="en-US" w:bidi="ar-SA"/>
        </w:rPr>
        <w:t>WCA</w:t>
      </w:r>
      <w:r>
        <w:rPr>
          <w:rFonts w:ascii="arial" w:eastAsia="arial" w:hAnsi="arial" w:cs="arial"/>
          <w:color w:val="000000"/>
          <w:sz w:val="20"/>
          <w:lang w:val="en-US" w:eastAsia="en-US" w:bidi="ar-SA"/>
        </w:rPr>
        <w:t xml:space="preserve"> Part 3 - Occupational Health and Safety are stated in s. 107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107</w:t>
            </w:r>
          </w:p>
        </w:tc>
        <w:tc>
          <w:tcPr>
            <w:tcW w:w="71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(1)The purpose of this Part is to benefit all citizens of British Columbia by promoting occupational health and safety and protecting workers and other persons present at workplaces from work related risks to their health and safety.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limiting subsection (1), the specific purposes of this Part are</w:t>
      </w:r>
    </w:p>
    <w:p>
      <w:pPr>
        <w:numPr>
          <w:numId w:val="25"/>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to promote a culture of commitment on the part of employers and workers to a high standard of occupational health and safety,</w:t>
      </w:r>
    </w:p>
    <w:p>
      <w:pPr>
        <w:numPr>
          <w:numId w:val="25"/>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to prevent work related accidents, injuries and illnesses,</w:t>
      </w:r>
    </w:p>
    <w:p>
      <w:pPr>
        <w:numPr>
          <w:numId w:val="25"/>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to encourage the education of employers, workers and others regarding occupational health and safety,</w:t>
      </w:r>
    </w:p>
    <w:p>
      <w:pPr>
        <w:numPr>
          <w:numId w:val="25"/>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to ensure an occupational environment that provides for the health and safety of workers and others,</w:t>
      </w:r>
    </w:p>
    <w:p>
      <w:pPr>
        <w:numPr>
          <w:numId w:val="25"/>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to ensure that employers, workers and others who are in a position to affect the occupational health and safety of workers share that responsibility to the extent of each party's authority and ability to do so,</w:t>
      </w:r>
    </w:p>
    <w:p>
      <w:pPr>
        <w:numPr>
          <w:numId w:val="25"/>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to foster cooperative and consultative relationships between employers, workers and others regarding occupational health and safety, and to promote worker participation in occupational health and safety programs and occupational health and safety processes, and</w:t>
      </w:r>
    </w:p>
    <w:p>
      <w:pPr>
        <w:numPr>
          <w:numId w:val="25"/>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to minimize the social and economic costs of work related accidents, injuries and illnesses, in order to enhance the quality of life for British Columbians and the competitiveness of British Columbia in the Canadian and world economies.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The application of Part 3 of the </w:t>
      </w:r>
      <w:r>
        <w:rPr>
          <w:rFonts w:ascii="arial" w:eastAsia="arial" w:hAnsi="arial" w:cs="arial"/>
          <w:b/>
          <w:i/>
          <w:color w:val="000000"/>
          <w:sz w:val="20"/>
          <w:lang w:val="en-US" w:eastAsia="en-US" w:bidi="ar-SA"/>
        </w:rPr>
        <w:t>WCA</w:t>
      </w:r>
      <w:r>
        <w:rPr>
          <w:rFonts w:ascii="arial" w:eastAsia="arial" w:hAnsi="arial" w:cs="arial"/>
          <w:color w:val="000000"/>
          <w:sz w:val="20"/>
          <w:lang w:val="en-US" w:eastAsia="en-US" w:bidi="ar-SA"/>
        </w:rPr>
        <w:t xml:space="preserve"> is set out in s. 108(1)(b):</w:t>
      </w:r>
      <w:r>
        <w:rPr>
          <w:rFonts w:ascii="arial" w:eastAsia="arial" w:hAnsi="arial" w:cs="arial"/>
          <w:sz w:val="20"/>
          <w:lang w:val="en-US" w:eastAsia="en-US" w:bidi="ar-SA"/>
        </w:rPr>
        <w:cr/>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every employer and worker whose occupational health and safety are ordinarily within the jurisdiction of the Provincial government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The mandate of the WCB in s. 111 of the </w:t>
      </w:r>
      <w:r>
        <w:rPr>
          <w:rFonts w:ascii="arial" w:eastAsia="arial" w:hAnsi="arial" w:cs="arial"/>
          <w:b/>
          <w:i/>
          <w:color w:val="000000"/>
          <w:sz w:val="20"/>
          <w:lang w:val="en-US" w:eastAsia="en-US" w:bidi="ar-SA"/>
        </w:rPr>
        <w:t>WCA</w:t>
      </w:r>
      <w:r>
        <w:rPr>
          <w:rFonts w:ascii="arial" w:eastAsia="arial" w:hAnsi="arial" w:cs="arial"/>
          <w:color w:val="000000"/>
          <w:sz w:val="20"/>
          <w:lang w:val="en-US" w:eastAsia="en-US" w:bidi="ar-SA"/>
        </w:rPr>
        <w:t xml:space="preserve"> includes, in s. 111(2)(k), "the power to cooperate and enter into arrangements and agreements with governments and other agencies and persons on matters relating to its responsibilities under this Part." As well, s. 114 specifically provides for cooperation agreements:</w:t>
      </w:r>
      <w:r>
        <w:rPr>
          <w:rFonts w:ascii="arial" w:eastAsia="arial" w:hAnsi="arial" w:cs="arial"/>
          <w:sz w:val="20"/>
          <w:lang w:val="en-US" w:eastAsia="en-US" w:bidi="ar-SA"/>
        </w:rPr>
        <w:cr/>
      </w:r>
    </w:p>
    <w:p>
      <w:pPr>
        <w:numPr>
          <w:numId w:val="2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limiting section 8.1, the Board may enter into agreements or make arrangements respecting cooperation, coordination and assistance related to occupational health and safety and occupational environment matters with the Provincial government, the government of Canada or the government of another province or territory, or an agency of any of those governments, or with another appropriate authority.</w:t>
      </w:r>
    </w:p>
    <w:p>
      <w:pPr>
        <w:numPr>
          <w:numId w:val="2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relation to an agreement or arrangement under subsection (1), the Board may</w:t>
      </w:r>
    </w:p>
    <w:p>
      <w:pPr>
        <w:numPr>
          <w:numId w:val="2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authorize Board officers to act on behalf of the other party to the agreement or arrangement, and</w:t>
      </w:r>
    </w:p>
    <w:p>
      <w:pPr>
        <w:numPr>
          <w:numId w:val="2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authorize persons appointed by the other party to the agreement or arrangement to act as an officer under this Act, subject to any conditions or restrictions established by the Board.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OH&amp;SR</w:t>
      </w:r>
      <w:r>
        <w:rPr>
          <w:rFonts w:ascii="arial" w:eastAsia="arial" w:hAnsi="arial" w:cs="arial"/>
          <w:color w:val="000000"/>
          <w:sz w:val="20"/>
          <w:lang w:val="en-US" w:eastAsia="en-US" w:bidi="ar-SA"/>
        </w:rPr>
        <w:t xml:space="preserve"> sets out the occupational health and safety scheme that is administered by the WCB. Part 24 of the </w:t>
      </w:r>
      <w:r>
        <w:rPr>
          <w:rFonts w:ascii="arial" w:eastAsia="arial" w:hAnsi="arial" w:cs="arial"/>
          <w:b/>
          <w:i/>
          <w:color w:val="000000"/>
          <w:sz w:val="20"/>
          <w:lang w:val="en-US" w:eastAsia="en-US" w:bidi="ar-SA"/>
        </w:rPr>
        <w:t>OH&amp;SR</w:t>
      </w:r>
      <w:r>
        <w:rPr>
          <w:rFonts w:ascii="arial" w:eastAsia="arial" w:hAnsi="arial" w:cs="arial"/>
          <w:color w:val="000000"/>
          <w:sz w:val="20"/>
          <w:lang w:val="en-US" w:eastAsia="en-US" w:bidi="ar-SA"/>
        </w:rPr>
        <w:t xml:space="preserve"> applies to diving, fishing and other marine operations.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Sections 24.69 to 24.143 regulate fishing operations specifically. They apply to "all owners, masters and crewmembers of licensed commercial fishing vessels" (s. 24.69), and provide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Compliance with standards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24.70</w:t>
            </w:r>
          </w:p>
        </w:tc>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All fishing vessels must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be maintained in seaworthy condition, and</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constructed after January 1, 1995, be built in accordance with applicable Canadian Coast Guard Regulations, or other standard acceptable to the Board.</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Owner and master responsibilities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24.71</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 An owner of a fishing vessel must ensure that all machinery and equipment on board a fishing vessel is capable of safely performing the functions for which it is used.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owner must ensure that major modifications to a fishing vessel do not adversely affect the stability of the vessel.</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master of a fishing vessel must ensure that</w:t>
      </w:r>
    </w:p>
    <w:p>
      <w:pPr>
        <w:numPr>
          <w:numId w:val="3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machinery and equipment is properly maintained and functions safely during the voyage, and</w:t>
      </w:r>
    </w:p>
    <w:p>
      <w:pPr>
        <w:numPr>
          <w:numId w:val="3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any replacement equipment meets the requirements of this Part.</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Documentation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24.72</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owner of every fishing vessel must provide documentation on board, readily accessible to crewmembers, which describes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3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engine room instructions,</w:t>
      </w:r>
    </w:p>
    <w:p>
      <w:pPr>
        <w:numPr>
          <w:numId w:val="3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vessel characteristics, including stability,</w:t>
      </w:r>
    </w:p>
    <w:p>
      <w:pPr>
        <w:numPr>
          <w:numId w:val="3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location and use of firefighting equipment, and</w:t>
      </w:r>
    </w:p>
    <w:p>
      <w:pPr>
        <w:numPr>
          <w:numId w:val="3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location and use of emergency equipment, including radio equipment.</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Instruction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24.73</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 Before the start of each fishing season, the master must ensure that each crewmember is instructed in the operational characteristics of the fishing vessel including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3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location and use of safety equipment, engine room components and controls,</w:t>
      </w:r>
    </w:p>
    <w:p>
      <w:pPr>
        <w:numPr>
          <w:numId w:val="3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deck equipment and rigging,</w:t>
      </w:r>
    </w:p>
    <w:p>
      <w:pPr>
        <w:numPr>
          <w:numId w:val="3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navigation equipment and electronic aids,</w:t>
      </w:r>
    </w:p>
    <w:p>
      <w:pPr>
        <w:numPr>
          <w:numId w:val="3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fishing equipment and its use, including safe work practices for each fishery the vessel will be engaged in,</w:t>
      </w:r>
    </w:p>
    <w:p>
      <w:pPr>
        <w:numPr>
          <w:numId w:val="3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procedures for anchoring the vessel,</w:t>
      </w:r>
    </w:p>
    <w:p>
      <w:pPr>
        <w:numPr>
          <w:numId w:val="3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location and use of emergency equipment, including firefighting and radio equipment, and</w:t>
      </w:r>
    </w:p>
    <w:p>
      <w:pPr>
        <w:numPr>
          <w:numId w:val="3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escape routes in the event of fire.</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master must ensure as far as is reasonably practicable, that the instruction required by subsection (1) results in each crewmember being able to apply the information as needed to protect the crewmember's health and safety.</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New crewmembers joining the vessel must be instructed in accordance with the requirements of this section at the time that they join the vessel.</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Emergency procedures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24.74</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 The master must establish procedures and assign responsibilities to each crewmember to cover all emergencies including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3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crewmember overboard,</w:t>
      </w:r>
    </w:p>
    <w:p>
      <w:pPr>
        <w:numPr>
          <w:numId w:val="3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fire on board,</w:t>
      </w:r>
    </w:p>
    <w:p>
      <w:pPr>
        <w:numPr>
          <w:numId w:val="3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flooding of the vessel,</w:t>
      </w:r>
    </w:p>
    <w:p>
      <w:pPr>
        <w:numPr>
          <w:numId w:val="3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abandoning ship, and</w:t>
      </w:r>
    </w:p>
    <w:p>
      <w:pPr>
        <w:numPr>
          <w:numId w:val="3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calling for help.</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master must ensure that drills are conducted at the start of each fishing season, when there is a change of crew, and at periodic intervals to ensure that crewmembers are familiar with emergency procedures.</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Crewmember responsibility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24.75</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Crewmembers must take all reasonable precautions necessary to ensure the health and safety of themselves and other persons on board the fishing vessel.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Vessel preparation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24.76</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Before leaving on a voyage the master must ensure that the fishing vessel is capable of safely making the passage, due consideration being given to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3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seaworthiness of the vessel,</w:t>
      </w:r>
    </w:p>
    <w:p>
      <w:pPr>
        <w:numPr>
          <w:numId w:val="3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stowage and securing of all cargo, skiffs, equipment, fuel containers and supplies,</w:t>
      </w:r>
    </w:p>
    <w:p>
      <w:pPr>
        <w:numPr>
          <w:numId w:val="3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ballasting, and</w:t>
      </w:r>
    </w:p>
    <w:p>
      <w:pPr>
        <w:numPr>
          <w:numId w:val="3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present and forecast weather conditions.</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Reporting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24.77</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 Crewmembers must report all injuries to the master, without delay.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master must report to the owner of the fishing vessel all injuries that required medical aid and record all injuries in the vessel log book.</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Unsafe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24.78</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 A crewmember who observes an unsafe or harmful condition or situation must immediately report it to the master.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master must ensure that action is taken, without delay, to correct an unsafe or harmful condition or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Federal Legislation - Canada Shipping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Canada Shipping Act, 2001 and Canada Labour Code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CSA</w:t>
      </w:r>
      <w:r>
        <w:rPr>
          <w:rFonts w:ascii="arial" w:eastAsia="arial" w:hAnsi="arial" w:cs="arial"/>
          <w:color w:val="000000"/>
          <w:sz w:val="20"/>
          <w:lang w:val="en-US" w:eastAsia="en-US" w:bidi="ar-SA"/>
        </w:rPr>
        <w:t xml:space="preserve"> was in force at the time the Orders were made by the WCB in these two matters. It was repealed by the </w:t>
      </w:r>
      <w:r>
        <w:rPr>
          <w:rFonts w:ascii="arial" w:eastAsia="arial" w:hAnsi="arial" w:cs="arial"/>
          <w:b/>
          <w:i/>
          <w:color w:val="000000"/>
          <w:sz w:val="20"/>
          <w:lang w:val="en-US" w:eastAsia="en-US" w:bidi="ar-SA"/>
        </w:rPr>
        <w:t>CSA, 2001</w:t>
      </w:r>
      <w:r>
        <w:rPr>
          <w:rFonts w:ascii="arial" w:eastAsia="arial" w:hAnsi="arial" w:cs="arial"/>
          <w:color w:val="000000"/>
          <w:sz w:val="20"/>
          <w:lang w:val="en-US" w:eastAsia="en-US" w:bidi="ar-SA"/>
        </w:rPr>
        <w:t xml:space="preserve"> which came into effect on July 1,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CSA</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CSA, 2001</w:t>
      </w:r>
      <w:r>
        <w:rPr>
          <w:rFonts w:ascii="arial" w:eastAsia="arial" w:hAnsi="arial" w:cs="arial"/>
          <w:color w:val="000000"/>
          <w:sz w:val="20"/>
          <w:lang w:val="en-US" w:eastAsia="en-US" w:bidi="ar-SA"/>
        </w:rPr>
        <w:t xml:space="preserve"> both state essentially the same objectives (</w:t>
      </w:r>
      <w:r>
        <w:rPr>
          <w:rFonts w:ascii="arial" w:eastAsia="arial" w:hAnsi="arial" w:cs="arial"/>
          <w:b/>
          <w:i/>
          <w:color w:val="000000"/>
          <w:sz w:val="20"/>
          <w:lang w:val="en-US" w:eastAsia="en-US" w:bidi="ar-SA"/>
        </w:rPr>
        <w:t>CSA, 2001</w:t>
      </w:r>
      <w:r>
        <w:rPr>
          <w:rFonts w:ascii="arial" w:eastAsia="arial" w:hAnsi="arial" w:cs="arial"/>
          <w:color w:val="000000"/>
          <w:sz w:val="20"/>
          <w:lang w:val="en-US" w:eastAsia="en-US" w:bidi="ar-SA"/>
        </w:rPr>
        <w:t>, s. 6):</w:t>
      </w:r>
      <w:r>
        <w:rPr>
          <w:rFonts w:ascii="arial" w:eastAsia="arial" w:hAnsi="arial" w:cs="arial"/>
          <w:sz w:val="20"/>
          <w:lang w:val="en-US" w:eastAsia="en-US" w:bidi="ar-SA"/>
        </w:rPr>
        <w:cr/>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objectives of this Act are to</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protect the health and well being of individuals, including the crews of vessels, who participate in marine transportation and commerce;</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promote safety in marine transportation and recreational boating;</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protect the marine environment from damage due to navigation and shipping activities;</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develop a regulatory scheme that encourages viable, effective and economical marine transportation and commerce;</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promote an efficient marine transportation system;</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develop a regulatory scheme that encourages the viable, effective and economical use of Canadian waters by recreational boaters;</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ensure that Canada can meet its international obligations under bilateral and multilateral agreements with respect to navigation and shipping;</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encourage the harmonization of marine practices; and</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establish an effective inspection and enforcement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CSA, 2001</w:t>
      </w:r>
      <w:r>
        <w:rPr>
          <w:rFonts w:ascii="arial" w:eastAsia="arial" w:hAnsi="arial" w:cs="arial"/>
          <w:color w:val="000000"/>
          <w:sz w:val="20"/>
          <w:lang w:val="en-US" w:eastAsia="en-US" w:bidi="ar-SA"/>
        </w:rPr>
        <w:t xml:space="preserve"> applies (s. 8) in respect of Canadian vessels everywhere and in respect of foreign vessels in Canadian waters.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In a number of ways, the </w:t>
      </w:r>
      <w:r>
        <w:rPr>
          <w:rFonts w:ascii="arial" w:eastAsia="arial" w:hAnsi="arial" w:cs="arial"/>
          <w:b/>
          <w:i/>
          <w:color w:val="000000"/>
          <w:sz w:val="20"/>
          <w:lang w:val="en-US" w:eastAsia="en-US" w:bidi="ar-SA"/>
        </w:rPr>
        <w:t>CSA, 2001</w:t>
      </w:r>
      <w:r>
        <w:rPr>
          <w:rFonts w:ascii="arial" w:eastAsia="arial" w:hAnsi="arial" w:cs="arial"/>
          <w:color w:val="000000"/>
          <w:sz w:val="20"/>
          <w:lang w:val="en-US" w:eastAsia="en-US" w:bidi="ar-SA"/>
        </w:rPr>
        <w:t xml:space="preserve"> addresses safety issues in the context of navigation and shipping. Marine safety inspectors may be appointed (s. 11). Regulations may be made with respect to "... any occupational health or safety matter on board a vessel that is not regulated by the </w:t>
      </w:r>
      <w:r>
        <w:rPr>
          <w:rFonts w:ascii="arial" w:eastAsia="arial" w:hAnsi="arial" w:cs="arial"/>
          <w:i/>
          <w:color w:val="000000"/>
          <w:sz w:val="20"/>
          <w:lang w:val="en-US" w:eastAsia="en-US" w:bidi="ar-SA"/>
        </w:rPr>
        <w:t>Canada Labour Code</w:t>
      </w:r>
      <w:r>
        <w:rPr>
          <w:rFonts w:ascii="arial" w:eastAsia="arial" w:hAnsi="arial" w:cs="arial"/>
          <w:color w:val="000000"/>
          <w:sz w:val="20"/>
          <w:lang w:val="en-US" w:eastAsia="en-US" w:bidi="ar-SA"/>
        </w:rPr>
        <w:t>" (s. 100), with respect to "safety of vessels or classes of vessels and of persons on board respecting ... procedures and practices that must be followed" (s. 120). The master of a vessel is placed under a duty to take all reasonable steps to ensure the safety of the vessel and of persons who are on board (s. 109) and to comply with a direction by a marine safety inspector to cease any unsafe operation or procedure (s. 111). All crew members are under a duty to carry out their duties in a manner that does not jeopardize the safety of the vessel or any person on board, to report safety hazards to the master and to comply with the directions of the master (s. 113).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Counsel for the petitioners emphasized that many of the federal laws and regulations as drafted have their origins in international conventions in the formation of which Canada has participated, including the </w:t>
      </w:r>
      <w:r>
        <w:rPr>
          <w:rFonts w:ascii="arial" w:eastAsia="arial" w:hAnsi="arial" w:cs="arial"/>
          <w:b/>
          <w:i/>
          <w:color w:val="000000"/>
          <w:sz w:val="20"/>
          <w:lang w:val="en-US" w:eastAsia="en-US" w:bidi="ar-SA"/>
        </w:rPr>
        <w:t>International Convention for the Safety of Life at Sea, 1974</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International Convention on Standards of Training, Certification and Watchkeeping for Seafarers, 1978</w:t>
      </w:r>
      <w:r>
        <w:rPr>
          <w:rFonts w:ascii="arial" w:eastAsia="arial" w:hAnsi="arial" w:cs="arial"/>
          <w:color w:val="000000"/>
          <w:sz w:val="20"/>
          <w:lang w:val="en-US" w:eastAsia="en-US" w:bidi="ar-SA"/>
        </w:rPr>
        <w:t xml:space="preserve">, and the </w:t>
      </w:r>
      <w:r>
        <w:rPr>
          <w:rFonts w:ascii="arial" w:eastAsia="arial" w:hAnsi="arial" w:cs="arial"/>
          <w:b/>
          <w:i/>
          <w:color w:val="000000"/>
          <w:sz w:val="20"/>
          <w:lang w:val="en-US" w:eastAsia="en-US" w:bidi="ar-SA"/>
        </w:rPr>
        <w:t>Torremolinos Protocol, 1993</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Canada has enacted regulations pursuant to the </w:t>
      </w:r>
      <w:r>
        <w:rPr>
          <w:rFonts w:ascii="arial" w:eastAsia="arial" w:hAnsi="arial" w:cs="arial"/>
          <w:b/>
          <w:i/>
          <w:color w:val="000000"/>
          <w:sz w:val="20"/>
          <w:lang w:val="en-US" w:eastAsia="en-US" w:bidi="ar-SA"/>
        </w:rPr>
        <w:t>CSA</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CSA, 2001</w:t>
      </w:r>
      <w:r>
        <w:rPr>
          <w:rFonts w:ascii="arial" w:eastAsia="arial" w:hAnsi="arial" w:cs="arial"/>
          <w:color w:val="000000"/>
          <w:sz w:val="20"/>
          <w:lang w:val="en-US" w:eastAsia="en-US" w:bidi="ar-SA"/>
        </w:rPr>
        <w:t xml:space="preserve">. These include the </w:t>
      </w:r>
      <w:r>
        <w:rPr>
          <w:rFonts w:ascii="arial" w:eastAsia="arial" w:hAnsi="arial" w:cs="arial"/>
          <w:b/>
          <w:i/>
          <w:color w:val="000000"/>
          <w:sz w:val="20"/>
          <w:lang w:val="en-US" w:eastAsia="en-US" w:bidi="ar-SA"/>
        </w:rPr>
        <w:t>Boat and Fire Drill and Means of Exit Regulations</w:t>
      </w:r>
      <w:r>
        <w:rPr>
          <w:rFonts w:ascii="arial" w:eastAsia="arial" w:hAnsi="arial" w:cs="arial"/>
          <w:color w:val="000000"/>
          <w:sz w:val="20"/>
          <w:lang w:val="en-US" w:eastAsia="en-US" w:bidi="ar-SA"/>
        </w:rPr>
        <w:t xml:space="preserve">, </w:t>
      </w:r>
      <w:hyperlink r:id="rId654" w:history="1">
        <w:r>
          <w:rPr>
            <w:rFonts w:ascii="arial" w:eastAsia="arial" w:hAnsi="arial" w:cs="arial"/>
            <w:i/>
            <w:color w:val="0077CC"/>
            <w:sz w:val="20"/>
            <w:u w:val="single"/>
            <w:shd w:val="clear" w:color="auto" w:fill="FFFFFF"/>
            <w:lang w:val="en-US" w:eastAsia="en-US" w:bidi="ar-SA"/>
          </w:rPr>
          <w:t>S.O.R./2005-288</w:t>
        </w:r>
      </w:hyperlink>
      <w:r>
        <w:rPr>
          <w:rFonts w:ascii="arial" w:eastAsia="arial" w:hAnsi="arial" w:cs="arial"/>
          <w:color w:val="000000"/>
          <w:sz w:val="20"/>
          <w:lang w:val="en-US" w:eastAsia="en-US" w:bidi="ar-SA"/>
        </w:rPr>
        <w:t xml:space="preserve"> (applicable to fishing vessels over 150 gross tons), which prescribe the type of emergency drills that must be conducted, the examination of safety equipment used in drills, muster lists and emergency procedures. The </w:t>
      </w:r>
      <w:r>
        <w:rPr>
          <w:rFonts w:ascii="arial" w:eastAsia="arial" w:hAnsi="arial" w:cs="arial"/>
          <w:b/>
          <w:i/>
          <w:color w:val="000000"/>
          <w:sz w:val="20"/>
          <w:lang w:val="en-US" w:eastAsia="en-US" w:bidi="ar-SA"/>
        </w:rPr>
        <w:t>Marine Personnel Regulations</w:t>
      </w:r>
      <w:r>
        <w:rPr>
          <w:rFonts w:ascii="arial" w:eastAsia="arial" w:hAnsi="arial" w:cs="arial"/>
          <w:color w:val="000000"/>
          <w:sz w:val="20"/>
          <w:lang w:val="en-US" w:eastAsia="en-US" w:bidi="ar-SA"/>
        </w:rPr>
        <w:t xml:space="preserve">, </w:t>
      </w:r>
      <w:hyperlink r:id="rId657" w:history="1">
        <w:r>
          <w:rPr>
            <w:rFonts w:ascii="arial" w:eastAsia="arial" w:hAnsi="arial" w:cs="arial"/>
            <w:i/>
            <w:color w:val="0077CC"/>
            <w:sz w:val="20"/>
            <w:u w:val="single"/>
            <w:shd w:val="clear" w:color="auto" w:fill="FFFFFF"/>
            <w:lang w:val="en-US" w:eastAsia="en-US" w:bidi="ar-SA"/>
          </w:rPr>
          <w:t>S.O.R./2007-115</w:t>
        </w:r>
      </w:hyperlink>
      <w:r>
        <w:rPr>
          <w:rFonts w:ascii="arial" w:eastAsia="arial" w:hAnsi="arial" w:cs="arial"/>
          <w:color w:val="000000"/>
          <w:sz w:val="20"/>
          <w:lang w:val="en-US" w:eastAsia="en-US" w:bidi="ar-SA"/>
        </w:rPr>
        <w:t xml:space="preserve">, effective July 1, 2007, prescribe the complement of crew required for fishing vessels and the certification requirements for masters, engineers and deckhands including training in marine emergency duties and the training and familiarization of crew with the vessel and safety training of the crew. The </w:t>
      </w:r>
      <w:r>
        <w:rPr>
          <w:rFonts w:ascii="arial" w:eastAsia="arial" w:hAnsi="arial" w:cs="arial"/>
          <w:b/>
          <w:i/>
          <w:color w:val="000000"/>
          <w:sz w:val="20"/>
          <w:lang w:val="en-US" w:eastAsia="en-US" w:bidi="ar-SA"/>
        </w:rPr>
        <w:t>Large Fishing Vessel Inspection Regulations</w:t>
      </w:r>
      <w:r>
        <w:rPr>
          <w:rFonts w:ascii="arial" w:eastAsia="arial" w:hAnsi="arial" w:cs="arial"/>
          <w:color w:val="000000"/>
          <w:sz w:val="20"/>
          <w:lang w:val="en-US" w:eastAsia="en-US" w:bidi="ar-SA"/>
        </w:rPr>
        <w:t xml:space="preserve"> and the </w:t>
      </w:r>
      <w:r>
        <w:rPr>
          <w:rFonts w:ascii="arial" w:eastAsia="arial" w:hAnsi="arial" w:cs="arial"/>
          <w:b/>
          <w:i/>
          <w:color w:val="000000"/>
          <w:sz w:val="20"/>
          <w:lang w:val="en-US" w:eastAsia="en-US" w:bidi="ar-SA"/>
        </w:rPr>
        <w:t>Small Fishing Vessel Inspection Regulations</w:t>
      </w:r>
      <w:r>
        <w:rPr>
          <w:rFonts w:ascii="arial" w:eastAsia="arial" w:hAnsi="arial" w:cs="arial"/>
          <w:color w:val="000000"/>
          <w:sz w:val="20"/>
          <w:lang w:val="en-US" w:eastAsia="en-US" w:bidi="ar-SA"/>
        </w:rPr>
        <w:t xml:space="preserve">, applying to vessels over 150 gross tons and under 150 gross tons respectively, prescribe the design and construction of fishing vessels, the type of life saving and emergency equipment that is required on board, the master's duties in respect of training crew, ventilation requirements, stability requirements, documentation and inspection requirements. The </w:t>
      </w:r>
      <w:r>
        <w:rPr>
          <w:rFonts w:ascii="arial" w:eastAsia="arial" w:hAnsi="arial" w:cs="arial"/>
          <w:b/>
          <w:i/>
          <w:color w:val="000000"/>
          <w:sz w:val="20"/>
          <w:lang w:val="en-US" w:eastAsia="en-US" w:bidi="ar-SA"/>
        </w:rPr>
        <w:t>Safe Working Practices Regulations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C.R.C., c. 1467</w:t>
      </w:r>
      <w:r>
        <w:rPr>
          <w:rFonts w:ascii="arial" w:eastAsia="arial" w:hAnsi="arial" w:cs="arial"/>
          <w:color w:val="000000"/>
          <w:sz w:val="20"/>
          <w:lang w:val="en-US" w:eastAsia="en-US" w:bidi="ar-SA"/>
        </w:rPr>
        <w:t xml:space="preserve">, regulate the safety of the work areas, structures, machinery or equipment used in the operation, maintenance or repair of a ship and in the loading or unloading of a ship, fire prevention and protection, and the like. The </w:t>
      </w:r>
      <w:r>
        <w:rPr>
          <w:rFonts w:ascii="arial" w:eastAsia="arial" w:hAnsi="arial" w:cs="arial"/>
          <w:b/>
          <w:i/>
          <w:color w:val="000000"/>
          <w:sz w:val="20"/>
          <w:lang w:val="en-US" w:eastAsia="en-US" w:bidi="ar-SA"/>
        </w:rPr>
        <w:t>Life Saving Equipment Regulations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C.R.C., c. 1436</w:t>
      </w:r>
      <w:r>
        <w:rPr>
          <w:rFonts w:ascii="arial" w:eastAsia="arial" w:hAnsi="arial" w:cs="arial"/>
          <w:color w:val="000000"/>
          <w:sz w:val="20"/>
          <w:lang w:val="en-US" w:eastAsia="en-US" w:bidi="ar-SA"/>
        </w:rPr>
        <w:t>, set standards incorporated by reference through the fishing vessel inspection regulations.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Canada Labour Code</w:t>
      </w:r>
      <w:r>
        <w:rPr>
          <w:rFonts w:ascii="arial" w:eastAsia="arial" w:hAnsi="arial" w:cs="arial"/>
          <w:color w:val="000000"/>
          <w:sz w:val="20"/>
          <w:lang w:val="en-US" w:eastAsia="en-US" w:bidi="ar-SA"/>
        </w:rPr>
        <w:t xml:space="preserve"> applies to federal works, undertakings or businesses, defined in s. 2 to be: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any work, undertaking or business that is within the legislative authority of Parliament, including, without restricting the generality of the foregoing,</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work, undertaking or business operated or carried on for or in connection with navigation and shipping, whether inland or maritime, including the operation of ships and transportation by ship anywhere in Canada,</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line of ships connecting a province with any other province, or extending beyond the limits of a province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The purpose of Part 2 of the </w:t>
      </w:r>
      <w:r>
        <w:rPr>
          <w:rFonts w:ascii="arial" w:eastAsia="arial" w:hAnsi="arial" w:cs="arial"/>
          <w:b/>
          <w:i/>
          <w:color w:val="000000"/>
          <w:sz w:val="20"/>
          <w:lang w:val="en-US" w:eastAsia="en-US" w:bidi="ar-SA"/>
        </w:rPr>
        <w:t>Canada Labour Code</w:t>
      </w:r>
      <w:r>
        <w:rPr>
          <w:rFonts w:ascii="arial" w:eastAsia="arial" w:hAnsi="arial" w:cs="arial"/>
          <w:color w:val="000000"/>
          <w:sz w:val="20"/>
          <w:lang w:val="en-US" w:eastAsia="en-US" w:bidi="ar-SA"/>
        </w:rPr>
        <w:t xml:space="preserve"> is "to prevent accidents and injury to health arising out of, linked with or occurring in the course of employment to which this Part applies" (s. 122.1). It imposes a duty on employers (ss. 124 and 125) to ensure that the health and safety at work of all employees is protected and provides for a number of specific duties. Canada has promulgated regulations pursuant to the </w:t>
      </w:r>
      <w:r>
        <w:rPr>
          <w:rFonts w:ascii="arial" w:eastAsia="arial" w:hAnsi="arial" w:cs="arial"/>
          <w:b/>
          <w:i/>
          <w:color w:val="000000"/>
          <w:sz w:val="20"/>
          <w:lang w:val="en-US" w:eastAsia="en-US" w:bidi="ar-SA"/>
        </w:rPr>
        <w:t>Canada Labour Code</w:t>
      </w:r>
      <w:r>
        <w:rPr>
          <w:rFonts w:ascii="arial" w:eastAsia="arial" w:hAnsi="arial" w:cs="arial"/>
          <w:color w:val="000000"/>
          <w:sz w:val="20"/>
          <w:lang w:val="en-US" w:eastAsia="en-US" w:bidi="ar-SA"/>
        </w:rPr>
        <w:t xml:space="preserve"> applicable to marine workplace safety, including the </w:t>
      </w:r>
      <w:r>
        <w:rPr>
          <w:rFonts w:ascii="arial" w:eastAsia="arial" w:hAnsi="arial" w:cs="arial"/>
          <w:b/>
          <w:i/>
          <w:color w:val="000000"/>
          <w:sz w:val="20"/>
          <w:lang w:val="en-US" w:eastAsia="en-US" w:bidi="ar-SA"/>
        </w:rPr>
        <w:t>MOSH Regulations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STANDARD OF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In connection with the petition for judicial review in the </w:t>
      </w:r>
      <w:r>
        <w:rPr>
          <w:rFonts w:ascii="arial" w:eastAsia="arial" w:hAnsi="arial" w:cs="arial"/>
          <w:b/>
          <w:i/>
          <w:color w:val="000000"/>
          <w:sz w:val="20"/>
          <w:lang w:val="en-US" w:eastAsia="en-US" w:bidi="ar-SA"/>
        </w:rPr>
        <w:t>Pattison</w:t>
      </w:r>
      <w:r>
        <w:rPr>
          <w:rFonts w:ascii="arial" w:eastAsia="arial" w:hAnsi="arial" w:cs="arial"/>
          <w:color w:val="000000"/>
          <w:sz w:val="20"/>
          <w:lang w:val="en-US" w:eastAsia="en-US" w:bidi="ar-SA"/>
        </w:rPr>
        <w:t xml:space="preserve"> case, it is necessary to determine the standard of review, and I will begin with that threshold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The WCB asserted jurisdiction in making the Orders. The petitioners seek review of that decision and say that the appropriate standard of review is correctness, referring to the statement in </w:t>
      </w:r>
      <w:r>
        <w:rPr>
          <w:rFonts w:ascii="arial" w:eastAsia="arial" w:hAnsi="arial" w:cs="arial"/>
          <w:b/>
          <w:i/>
          <w:color w:val="000000"/>
          <w:sz w:val="20"/>
          <w:lang w:val="en-US" w:eastAsia="en-US" w:bidi="ar-SA"/>
        </w:rPr>
        <w:t>New Brunswick v. Dunsmuir</w:t>
      </w:r>
      <w:r>
        <w:rPr>
          <w:rFonts w:ascii="arial" w:eastAsia="arial" w:hAnsi="arial" w:cs="arial"/>
          <w:color w:val="000000"/>
          <w:sz w:val="20"/>
          <w:lang w:val="en-US" w:eastAsia="en-US" w:bidi="ar-SA"/>
        </w:rPr>
        <w:t xml:space="preserve">, </w:t>
      </w:r>
      <w:hyperlink r:id="rId669" w:history="1">
        <w:r>
          <w:rPr>
            <w:rFonts w:ascii="arial" w:eastAsia="arial" w:hAnsi="arial" w:cs="arial"/>
            <w:i/>
            <w:color w:val="0077CC"/>
            <w:sz w:val="20"/>
            <w:u w:val="single"/>
            <w:shd w:val="clear" w:color="auto" w:fill="FFFFFF"/>
            <w:lang w:val="en-US" w:eastAsia="en-US" w:bidi="ar-SA"/>
          </w:rPr>
          <w:t>2008 SCC 9</w:t>
        </w:r>
      </w:hyperlink>
      <w:r>
        <w:rPr>
          <w:rFonts w:ascii="arial" w:eastAsia="arial" w:hAnsi="arial" w:cs="arial"/>
          <w:color w:val="000000"/>
          <w:sz w:val="20"/>
          <w:lang w:val="en-US" w:eastAsia="en-US" w:bidi="ar-SA"/>
        </w:rPr>
        <w:t xml:space="preserve">, </w:t>
      </w:r>
      <w:hyperlink r:id="rId669" w:history="1">
        <w:r>
          <w:rPr>
            <w:rFonts w:ascii="arial" w:eastAsia="arial" w:hAnsi="arial" w:cs="arial"/>
            <w:i/>
            <w:color w:val="0077CC"/>
            <w:sz w:val="20"/>
            <w:u w:val="single"/>
            <w:shd w:val="clear" w:color="auto" w:fill="FFFFFF"/>
            <w:lang w:val="en-US" w:eastAsia="en-US" w:bidi="ar-SA"/>
          </w:rPr>
          <w:t>291 D.L.R. (4th) 577</w:t>
        </w:r>
      </w:hyperlink>
      <w:r>
        <w:rPr>
          <w:rFonts w:ascii="arial" w:eastAsia="arial" w:hAnsi="arial" w:cs="arial"/>
          <w:color w:val="000000"/>
          <w:sz w:val="20"/>
          <w:lang w:val="en-US" w:eastAsia="en-US" w:bidi="ar-SA"/>
        </w:rPr>
        <w:t xml:space="preserve">, at para. 59 that "true questions of jurisdiction or </w:t>
      </w:r>
      <w:r>
        <w:rPr>
          <w:rFonts w:ascii="arial" w:eastAsia="arial" w:hAnsi="arial" w:cs="arial"/>
          <w:i/>
          <w:color w:val="000000"/>
          <w:sz w:val="20"/>
          <w:lang w:val="en-US" w:eastAsia="en-US" w:bidi="ar-SA"/>
        </w:rPr>
        <w:t>vires</w:t>
      </w:r>
      <w:r>
        <w:rPr>
          <w:rFonts w:ascii="arial" w:eastAsia="arial" w:hAnsi="arial" w:cs="arial"/>
          <w:color w:val="000000"/>
          <w:sz w:val="20"/>
          <w:lang w:val="en-US" w:eastAsia="en-US" w:bidi="ar-SA"/>
        </w:rPr>
        <w:t>" call for a correctness standard.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R. v. Ellis Don</w:t>
      </w:r>
      <w:r>
        <w:rPr>
          <w:rFonts w:ascii="arial" w:eastAsia="arial" w:hAnsi="arial" w:cs="arial"/>
          <w:color w:val="000000"/>
          <w:sz w:val="20"/>
          <w:lang w:val="en-US" w:eastAsia="en-US" w:bidi="ar-SA"/>
        </w:rPr>
        <w:t xml:space="preserve">, </w:t>
      </w:r>
      <w:hyperlink r:id="rId670" w:history="1">
        <w:r>
          <w:rPr>
            <w:rFonts w:ascii="arial" w:eastAsia="arial" w:hAnsi="arial" w:cs="arial"/>
            <w:i/>
            <w:color w:val="0077CC"/>
            <w:sz w:val="20"/>
            <w:u w:val="single"/>
            <w:shd w:val="clear" w:color="auto" w:fill="FFFFFF"/>
            <w:lang w:val="en-US" w:eastAsia="en-US" w:bidi="ar-SA"/>
          </w:rPr>
          <w:t>2008 ONCA 789</w:t>
        </w:r>
      </w:hyperlink>
      <w:r>
        <w:rPr>
          <w:rFonts w:ascii="arial" w:eastAsia="arial" w:hAnsi="arial" w:cs="arial"/>
          <w:color w:val="000000"/>
          <w:sz w:val="20"/>
          <w:lang w:val="en-US" w:eastAsia="en-US" w:bidi="ar-SA"/>
        </w:rPr>
        <w:t xml:space="preserve"> at para. 53, the Court of Appeal for Ontario held that in the context of a constitutional question concerning division of powers, the standard of review is correctness. The Nova Scotia Court of Appeal reached the same conclusion in </w:t>
      </w:r>
      <w:r>
        <w:rPr>
          <w:rFonts w:ascii="arial" w:eastAsia="arial" w:hAnsi="arial" w:cs="arial"/>
          <w:b/>
          <w:i/>
          <w:color w:val="000000"/>
          <w:sz w:val="20"/>
          <w:lang w:val="en-US" w:eastAsia="en-US" w:bidi="ar-SA"/>
        </w:rPr>
        <w:t>Mersey Seafoods</w:t>
      </w:r>
      <w:r>
        <w:rPr>
          <w:rFonts w:ascii="arial" w:eastAsia="arial" w:hAnsi="arial" w:cs="arial"/>
          <w:color w:val="000000"/>
          <w:sz w:val="20"/>
          <w:lang w:val="en-US" w:eastAsia="en-US" w:bidi="ar-SA"/>
        </w:rPr>
        <w:t xml:space="preserve"> at para. 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 find that the standard of review to be applied to the constitutional questions raised by the petition is correctness.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POSITIONS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Counsel for both the petitioners and the plaintiff argue that the pith and substance of Part 24 of the </w:t>
      </w:r>
      <w:r>
        <w:rPr>
          <w:rFonts w:ascii="arial" w:eastAsia="arial" w:hAnsi="arial" w:cs="arial"/>
          <w:b/>
          <w:i/>
          <w:color w:val="000000"/>
          <w:sz w:val="20"/>
          <w:lang w:val="en-US" w:eastAsia="en-US" w:bidi="ar-SA"/>
        </w:rPr>
        <w:t>OH&amp;SR</w:t>
      </w:r>
      <w:r>
        <w:rPr>
          <w:rFonts w:ascii="arial" w:eastAsia="arial" w:hAnsi="arial" w:cs="arial"/>
          <w:color w:val="000000"/>
          <w:sz w:val="20"/>
          <w:lang w:val="en-US" w:eastAsia="en-US" w:bidi="ar-SA"/>
        </w:rPr>
        <w:t xml:space="preserve"> is ship safety, a term which includes safety of the vessel, crew and passengers (if any). They say that ship safety is a matter within the exclusive legislative competence of Parliament under s. 91(10) (Navigation and Shipping) or s. 91(12) (Sea Coast and Inland Fisheries) of the </w:t>
      </w:r>
      <w:r>
        <w:rPr>
          <w:rFonts w:ascii="arial" w:eastAsia="arial" w:hAnsi="arial" w:cs="arial"/>
          <w:b/>
          <w:i/>
          <w:color w:val="000000"/>
          <w:sz w:val="20"/>
          <w:lang w:val="en-US" w:eastAsia="en-US" w:bidi="ar-SA"/>
        </w:rPr>
        <w:t>Constitution Act, 1867</w:t>
      </w:r>
      <w:r>
        <w:rPr>
          <w:rFonts w:ascii="arial" w:eastAsia="arial" w:hAnsi="arial" w:cs="arial"/>
          <w:color w:val="000000"/>
          <w:sz w:val="20"/>
          <w:lang w:val="en-US" w:eastAsia="en-US" w:bidi="ar-SA"/>
        </w:rPr>
        <w:t xml:space="preserve">. Counsel argued that the Supreme Court of Canada has held that the federal navigation and shipping power is to be broadly interpreted (referring to authorities such as </w:t>
      </w:r>
      <w:r>
        <w:rPr>
          <w:rFonts w:ascii="arial" w:eastAsia="arial" w:hAnsi="arial" w:cs="arial"/>
          <w:b/>
          <w:i/>
          <w:color w:val="000000"/>
          <w:sz w:val="20"/>
          <w:lang w:val="en-US" w:eastAsia="en-US" w:bidi="ar-SA"/>
        </w:rPr>
        <w:t>Whitbread v. Walley</w:t>
      </w:r>
      <w:r>
        <w:rPr>
          <w:rFonts w:ascii="arial" w:eastAsia="arial" w:hAnsi="arial" w:cs="arial"/>
          <w:color w:val="000000"/>
          <w:sz w:val="20"/>
          <w:lang w:val="en-US" w:eastAsia="en-US" w:bidi="ar-SA"/>
        </w:rPr>
        <w:t xml:space="preserve">, </w:t>
      </w:r>
      <w:hyperlink r:id="rId671" w:history="1">
        <w:r>
          <w:rPr>
            <w:rFonts w:ascii="arial" w:eastAsia="arial" w:hAnsi="arial" w:cs="arial"/>
            <w:i/>
            <w:color w:val="0077CC"/>
            <w:sz w:val="20"/>
            <w:u w:val="single"/>
            <w:shd w:val="clear" w:color="auto" w:fill="FFFFFF"/>
            <w:lang w:val="en-US" w:eastAsia="en-US" w:bidi="ar-SA"/>
          </w:rPr>
          <w:t>[1990] 3 S.C.R. 1273</w:t>
        </w:r>
      </w:hyperlink>
      <w:r>
        <w:rPr>
          <w:rFonts w:ascii="arial" w:eastAsia="arial" w:hAnsi="arial" w:cs="arial"/>
          <w:color w:val="000000"/>
          <w:sz w:val="20"/>
          <w:lang w:val="en-US" w:eastAsia="en-US" w:bidi="ar-SA"/>
        </w:rPr>
        <w:t xml:space="preserve">, </w:t>
      </w:r>
      <w:hyperlink r:id="rId671" w:history="1">
        <w:r>
          <w:rPr>
            <w:rFonts w:ascii="arial" w:eastAsia="arial" w:hAnsi="arial" w:cs="arial"/>
            <w:i/>
            <w:color w:val="0077CC"/>
            <w:sz w:val="20"/>
            <w:u w:val="single"/>
            <w:shd w:val="clear" w:color="auto" w:fill="FFFFFF"/>
            <w:lang w:val="en-US" w:eastAsia="en-US" w:bidi="ar-SA"/>
          </w:rPr>
          <w:t>77 D.L.R. (4th) 25</w:t>
        </w:r>
      </w:hyperlink>
      <w:r>
        <w:rPr>
          <w:rFonts w:ascii="arial" w:eastAsia="arial" w:hAnsi="arial" w:cs="arial"/>
          <w:color w:val="000000"/>
          <w:sz w:val="20"/>
          <w:lang w:val="en-US" w:eastAsia="en-US" w:bidi="ar-SA"/>
        </w:rPr>
        <w:t xml:space="preserve"> at para. 26; </w:t>
      </w:r>
      <w:r>
        <w:rPr>
          <w:rFonts w:ascii="arial" w:eastAsia="arial" w:hAnsi="arial" w:cs="arial"/>
          <w:b/>
          <w:i/>
          <w:color w:val="000000"/>
          <w:sz w:val="20"/>
          <w:lang w:val="en-US" w:eastAsia="en-US" w:bidi="ar-SA"/>
        </w:rPr>
        <w:t>British Columbia (A.G.) v. Lafarge Canada Inc.</w:t>
      </w:r>
      <w:r>
        <w:rPr>
          <w:rFonts w:ascii="arial" w:eastAsia="arial" w:hAnsi="arial" w:cs="arial"/>
          <w:color w:val="000000"/>
          <w:sz w:val="20"/>
          <w:lang w:val="en-US" w:eastAsia="en-US" w:bidi="ar-SA"/>
        </w:rPr>
        <w:t xml:space="preserve">, </w:t>
      </w:r>
      <w:hyperlink r:id="rId672" w:history="1">
        <w:r>
          <w:rPr>
            <w:rFonts w:ascii="arial" w:eastAsia="arial" w:hAnsi="arial" w:cs="arial"/>
            <w:i/>
            <w:color w:val="0077CC"/>
            <w:sz w:val="20"/>
            <w:u w:val="single"/>
            <w:shd w:val="clear" w:color="auto" w:fill="FFFFFF"/>
            <w:lang w:val="en-US" w:eastAsia="en-US" w:bidi="ar-SA"/>
          </w:rPr>
          <w:t>2007 SCC 23</w:t>
        </w:r>
      </w:hyperlink>
      <w:r>
        <w:rPr>
          <w:rFonts w:ascii="arial" w:eastAsia="arial" w:hAnsi="arial" w:cs="arial"/>
          <w:color w:val="000000"/>
          <w:sz w:val="20"/>
          <w:lang w:val="en-US" w:eastAsia="en-US" w:bidi="ar-SA"/>
        </w:rPr>
        <w:t xml:space="preserve">, </w:t>
      </w:r>
      <w:hyperlink r:id="rId672" w:history="1">
        <w:r>
          <w:rPr>
            <w:rFonts w:ascii="arial" w:eastAsia="arial" w:hAnsi="arial" w:cs="arial"/>
            <w:i/>
            <w:color w:val="0077CC"/>
            <w:sz w:val="20"/>
            <w:u w:val="single"/>
            <w:shd w:val="clear" w:color="auto" w:fill="FFFFFF"/>
            <w:lang w:val="en-US" w:eastAsia="en-US" w:bidi="ar-SA"/>
          </w:rPr>
          <w:t>[2007] 2 S.C.R. 86</w:t>
        </w:r>
      </w:hyperlink>
      <w:r>
        <w:rPr>
          <w:rFonts w:ascii="arial" w:eastAsia="arial" w:hAnsi="arial" w:cs="arial"/>
          <w:color w:val="000000"/>
          <w:sz w:val="20"/>
          <w:lang w:val="en-US" w:eastAsia="en-US" w:bidi="ar-SA"/>
        </w:rPr>
        <w:t xml:space="preserve"> at para. 64; </w:t>
      </w:r>
      <w:r>
        <w:rPr>
          <w:rFonts w:ascii="arial" w:eastAsia="arial" w:hAnsi="arial" w:cs="arial"/>
          <w:b/>
          <w:i/>
          <w:color w:val="000000"/>
          <w:sz w:val="20"/>
          <w:lang w:val="en-US" w:eastAsia="en-US" w:bidi="ar-SA"/>
        </w:rPr>
        <w:t>Ordon Estate v. Grail</w:t>
      </w:r>
      <w:r>
        <w:rPr>
          <w:rFonts w:ascii="arial" w:eastAsia="arial" w:hAnsi="arial" w:cs="arial"/>
          <w:color w:val="000000"/>
          <w:sz w:val="20"/>
          <w:lang w:val="en-US" w:eastAsia="en-US" w:bidi="ar-SA"/>
        </w:rPr>
        <w:t xml:space="preserve">, </w:t>
      </w:r>
      <w:hyperlink r:id="rId673" w:history="1">
        <w:r>
          <w:rPr>
            <w:rFonts w:ascii="arial" w:eastAsia="arial" w:hAnsi="arial" w:cs="arial"/>
            <w:i/>
            <w:color w:val="0077CC"/>
            <w:sz w:val="20"/>
            <w:u w:val="single"/>
            <w:shd w:val="clear" w:color="auto" w:fill="FFFFFF"/>
            <w:lang w:val="en-US" w:eastAsia="en-US" w:bidi="ar-SA"/>
          </w:rPr>
          <w:t>[1998] 3 S.C.R. 437</w:t>
        </w:r>
      </w:hyperlink>
      <w:r>
        <w:rPr>
          <w:rFonts w:ascii="arial" w:eastAsia="arial" w:hAnsi="arial" w:cs="arial"/>
          <w:color w:val="000000"/>
          <w:sz w:val="20"/>
          <w:lang w:val="en-US" w:eastAsia="en-US" w:bidi="ar-SA"/>
        </w:rPr>
        <w:t xml:space="preserve">, </w:t>
      </w:r>
      <w:hyperlink r:id="rId673" w:history="1">
        <w:r>
          <w:rPr>
            <w:rFonts w:ascii="arial" w:eastAsia="arial" w:hAnsi="arial" w:cs="arial"/>
            <w:i/>
            <w:color w:val="0077CC"/>
            <w:sz w:val="20"/>
            <w:u w:val="single"/>
            <w:shd w:val="clear" w:color="auto" w:fill="FFFFFF"/>
            <w:lang w:val="en-US" w:eastAsia="en-US" w:bidi="ar-SA"/>
          </w:rPr>
          <w:t>166 D.L.R. (4th) 193</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Paquet v. Quebec (Harbour Pilots)</w:t>
      </w:r>
      <w:r>
        <w:rPr>
          <w:rFonts w:ascii="arial" w:eastAsia="arial" w:hAnsi="arial" w:cs="arial"/>
          <w:color w:val="000000"/>
          <w:sz w:val="20"/>
          <w:lang w:val="en-US" w:eastAsia="en-US" w:bidi="ar-SA"/>
        </w:rPr>
        <w:t xml:space="preserve">, </w:t>
      </w:r>
      <w:hyperlink r:id="rId674" w:history="1">
        <w:r>
          <w:rPr>
            <w:rFonts w:ascii="arial" w:eastAsia="arial" w:hAnsi="arial" w:cs="arial"/>
            <w:i/>
            <w:color w:val="0077CC"/>
            <w:sz w:val="20"/>
            <w:u w:val="single"/>
            <w:shd w:val="clear" w:color="auto" w:fill="FFFFFF"/>
            <w:lang w:val="en-US" w:eastAsia="en-US" w:bidi="ar-SA"/>
          </w:rPr>
          <w:t>[1920] A.C. 1029</w:t>
        </w:r>
      </w:hyperlink>
      <w:r>
        <w:rPr>
          <w:rFonts w:ascii="arial" w:eastAsia="arial" w:hAnsi="arial" w:cs="arial"/>
          <w:color w:val="000000"/>
          <w:sz w:val="20"/>
          <w:lang w:val="en-US" w:eastAsia="en-US" w:bidi="ar-SA"/>
        </w:rPr>
        <w:t xml:space="preserve">, </w:t>
      </w:r>
      <w:hyperlink r:id="rId674" w:history="1">
        <w:r>
          <w:rPr>
            <w:rFonts w:ascii="arial" w:eastAsia="arial" w:hAnsi="arial" w:cs="arial"/>
            <w:i/>
            <w:color w:val="0077CC"/>
            <w:sz w:val="20"/>
            <w:u w:val="single"/>
            <w:shd w:val="clear" w:color="auto" w:fill="FFFFFF"/>
            <w:lang w:val="en-US" w:eastAsia="en-US" w:bidi="ar-SA"/>
          </w:rPr>
          <w:t>54 D.L.R. 323</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Montreal (City) v. Montreal Harbour Commissioners</w:t>
      </w:r>
      <w:r>
        <w:rPr>
          <w:rFonts w:ascii="arial" w:eastAsia="arial" w:hAnsi="arial" w:cs="arial"/>
          <w:color w:val="000000"/>
          <w:sz w:val="20"/>
          <w:lang w:val="en-US" w:eastAsia="en-US" w:bidi="ar-SA"/>
        </w:rPr>
        <w:t xml:space="preserve">, </w:t>
      </w:r>
      <w:hyperlink r:id="rId675" w:history="1">
        <w:r>
          <w:rPr>
            <w:rFonts w:ascii="arial" w:eastAsia="arial" w:hAnsi="arial" w:cs="arial"/>
            <w:i/>
            <w:color w:val="0077CC"/>
            <w:sz w:val="20"/>
            <w:u w:val="single"/>
            <w:shd w:val="clear" w:color="auto" w:fill="FFFFFF"/>
            <w:lang w:val="en-US" w:eastAsia="en-US" w:bidi="ar-SA"/>
          </w:rPr>
          <w:t>[1926] 1 W.W.R. 398</w:t>
        </w:r>
      </w:hyperlink>
      <w:r>
        <w:rPr>
          <w:rFonts w:ascii="arial" w:eastAsia="arial" w:hAnsi="arial" w:cs="arial"/>
          <w:color w:val="000000"/>
          <w:sz w:val="20"/>
          <w:lang w:val="en-US" w:eastAsia="en-US" w:bidi="ar-SA"/>
        </w:rPr>
        <w:t xml:space="preserve">, </w:t>
      </w:r>
      <w:hyperlink r:id="rId675" w:history="1">
        <w:r>
          <w:rPr>
            <w:rFonts w:ascii="arial" w:eastAsia="arial" w:hAnsi="arial" w:cs="arial"/>
            <w:i/>
            <w:color w:val="0077CC"/>
            <w:sz w:val="20"/>
            <w:u w:val="single"/>
            <w:shd w:val="clear" w:color="auto" w:fill="FFFFFF"/>
            <w:lang w:val="en-US" w:eastAsia="en-US" w:bidi="ar-SA"/>
          </w:rPr>
          <w:t>[1926] 1 D.L.R. 840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They say that Parliament has enacted a comprehensive and complete code for marine operations and safety in the </w:t>
      </w:r>
      <w:r>
        <w:rPr>
          <w:rFonts w:ascii="arial" w:eastAsia="arial" w:hAnsi="arial" w:cs="arial"/>
          <w:b/>
          <w:i/>
          <w:color w:val="000000"/>
          <w:sz w:val="20"/>
          <w:lang w:val="en-US" w:eastAsia="en-US" w:bidi="ar-SA"/>
        </w:rPr>
        <w:t>CSA</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CSA, 2001</w:t>
      </w:r>
      <w:r>
        <w:rPr>
          <w:rFonts w:ascii="arial" w:eastAsia="arial" w:hAnsi="arial" w:cs="arial"/>
          <w:color w:val="000000"/>
          <w:sz w:val="20"/>
          <w:lang w:val="en-US" w:eastAsia="en-US" w:bidi="ar-SA"/>
        </w:rPr>
        <w:t xml:space="preserve"> and some 74 different sets of regulations governing all aspects of ship operations. They point to the importance of a uniform body of maritime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Their position is that the intrusion of the WCB into this area is relatively new, and threatens to undermine the uniformity of maritime law. They say that vessel safety and crew safety are essentially the same thing, and that both are extensively regulated in the federal regime. Arguing that attempts by provincial legislatures to regulate crew safety will only create confusion and doubt on board ships, they say that uniformity in the training of crew, building and equipping of vessels is essential, as is uniformity as between provinces with respect to maritime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They argue in the alternative that the </w:t>
      </w:r>
      <w:r>
        <w:rPr>
          <w:rFonts w:ascii="arial" w:eastAsia="arial" w:hAnsi="arial" w:cs="arial"/>
          <w:b/>
          <w:i/>
          <w:color w:val="000000"/>
          <w:sz w:val="20"/>
          <w:lang w:val="en-US" w:eastAsia="en-US" w:bidi="ar-SA"/>
        </w:rPr>
        <w:t>OH&amp;SR</w:t>
      </w:r>
      <w:r>
        <w:rPr>
          <w:rFonts w:ascii="arial" w:eastAsia="arial" w:hAnsi="arial" w:cs="arial"/>
          <w:color w:val="000000"/>
          <w:sz w:val="20"/>
          <w:lang w:val="en-US" w:eastAsia="en-US" w:bidi="ar-SA"/>
        </w:rPr>
        <w:t xml:space="preserve"> Part 24, in whole or in part, is invalid because of the application of the doctrine of interjurisdictional immunity. The petitioners emphasize the approach taken in </w:t>
      </w:r>
      <w:r>
        <w:rPr>
          <w:rFonts w:ascii="arial" w:eastAsia="arial" w:hAnsi="arial" w:cs="arial"/>
          <w:b/>
          <w:i/>
          <w:color w:val="000000"/>
          <w:sz w:val="20"/>
          <w:lang w:val="en-US" w:eastAsia="en-US" w:bidi="ar-SA"/>
        </w:rPr>
        <w:t>Bell Canada v. Quebec</w:t>
      </w:r>
      <w:r>
        <w:rPr>
          <w:rFonts w:ascii="arial" w:eastAsia="arial" w:hAnsi="arial" w:cs="arial"/>
          <w:color w:val="000000"/>
          <w:sz w:val="20"/>
          <w:lang w:val="en-US" w:eastAsia="en-US" w:bidi="ar-SA"/>
        </w:rPr>
        <w:t xml:space="preserve">, </w:t>
      </w:r>
      <w:hyperlink r:id="rId676" w:history="1">
        <w:r>
          <w:rPr>
            <w:rFonts w:ascii="arial" w:eastAsia="arial" w:hAnsi="arial" w:cs="arial"/>
            <w:i/>
            <w:color w:val="0077CC"/>
            <w:sz w:val="20"/>
            <w:u w:val="single"/>
            <w:shd w:val="clear" w:color="auto" w:fill="FFFFFF"/>
            <w:lang w:val="en-US" w:eastAsia="en-US" w:bidi="ar-SA"/>
          </w:rPr>
          <w:t>[1988] 1 S.C.R. 749</w:t>
        </w:r>
      </w:hyperlink>
      <w:r>
        <w:rPr>
          <w:rFonts w:ascii="arial" w:eastAsia="arial" w:hAnsi="arial" w:cs="arial"/>
          <w:color w:val="000000"/>
          <w:sz w:val="20"/>
          <w:lang w:val="en-US" w:eastAsia="en-US" w:bidi="ar-SA"/>
        </w:rPr>
        <w:t xml:space="preserve">, </w:t>
      </w:r>
      <w:hyperlink r:id="rId676" w:history="1">
        <w:r>
          <w:rPr>
            <w:rFonts w:ascii="arial" w:eastAsia="arial" w:hAnsi="arial" w:cs="arial"/>
            <w:i/>
            <w:color w:val="0077CC"/>
            <w:sz w:val="20"/>
            <w:u w:val="single"/>
            <w:shd w:val="clear" w:color="auto" w:fill="FFFFFF"/>
            <w:lang w:val="en-US" w:eastAsia="en-US" w:bidi="ar-SA"/>
          </w:rPr>
          <w:t>51 D.L.R. (4th) 161</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Bell Canada (1988)</w:t>
      </w:r>
      <w:r>
        <w:rPr>
          <w:rFonts w:ascii="arial" w:eastAsia="arial" w:hAnsi="arial" w:cs="arial"/>
          <w:color w:val="000000"/>
          <w:sz w:val="20"/>
          <w:lang w:val="en-US" w:eastAsia="en-US" w:bidi="ar-SA"/>
        </w:rPr>
        <w:t xml:space="preserve">"), and the subsequent reference in </w:t>
      </w:r>
      <w:r>
        <w:rPr>
          <w:rFonts w:ascii="arial" w:eastAsia="arial" w:hAnsi="arial" w:cs="arial"/>
          <w:b/>
          <w:i/>
          <w:color w:val="000000"/>
          <w:sz w:val="20"/>
          <w:lang w:val="en-US" w:eastAsia="en-US" w:bidi="ar-SA"/>
        </w:rPr>
        <w:t>Ordon Estate</w:t>
      </w:r>
      <w:r>
        <w:rPr>
          <w:rFonts w:ascii="arial" w:eastAsia="arial" w:hAnsi="arial" w:cs="arial"/>
          <w:color w:val="000000"/>
          <w:sz w:val="20"/>
          <w:lang w:val="en-US" w:eastAsia="en-US" w:bidi="ar-SA"/>
        </w:rPr>
        <w:t xml:space="preserve"> (at para. 83) [citing </w:t>
      </w:r>
      <w:r>
        <w:rPr>
          <w:rFonts w:ascii="arial" w:eastAsia="arial" w:hAnsi="arial" w:cs="arial"/>
          <w:b/>
          <w:i/>
          <w:color w:val="000000"/>
          <w:sz w:val="20"/>
          <w:lang w:val="en-US" w:eastAsia="en-US" w:bidi="ar-SA"/>
        </w:rPr>
        <w:t>Delgamuukw v. British Columbia</w:t>
      </w:r>
      <w:r>
        <w:rPr>
          <w:rFonts w:ascii="arial" w:eastAsia="arial" w:hAnsi="arial" w:cs="arial"/>
          <w:color w:val="000000"/>
          <w:sz w:val="20"/>
          <w:lang w:val="en-US" w:eastAsia="en-US" w:bidi="ar-SA"/>
        </w:rPr>
        <w:t xml:space="preserve">, </w:t>
      </w:r>
      <w:hyperlink r:id="rId677" w:history="1">
        <w:r>
          <w:rPr>
            <w:rFonts w:ascii="arial" w:eastAsia="arial" w:hAnsi="arial" w:cs="arial"/>
            <w:i/>
            <w:color w:val="0077CC"/>
            <w:sz w:val="20"/>
            <w:u w:val="single"/>
            <w:shd w:val="clear" w:color="auto" w:fill="FFFFFF"/>
            <w:lang w:val="en-US" w:eastAsia="en-US" w:bidi="ar-SA"/>
          </w:rPr>
          <w:t>[1997] 3 S.C.R. 1010</w:t>
        </w:r>
      </w:hyperlink>
      <w:r>
        <w:rPr>
          <w:rFonts w:ascii="arial" w:eastAsia="arial" w:hAnsi="arial" w:cs="arial"/>
          <w:color w:val="000000"/>
          <w:sz w:val="20"/>
          <w:lang w:val="en-US" w:eastAsia="en-US" w:bidi="ar-SA"/>
        </w:rPr>
        <w:t xml:space="preserve">, </w:t>
      </w:r>
      <w:hyperlink r:id="rId677" w:history="1">
        <w:r>
          <w:rPr>
            <w:rFonts w:ascii="arial" w:eastAsia="arial" w:hAnsi="arial" w:cs="arial"/>
            <w:i/>
            <w:color w:val="0077CC"/>
            <w:sz w:val="20"/>
            <w:u w:val="single"/>
            <w:shd w:val="clear" w:color="auto" w:fill="FFFFFF"/>
            <w:lang w:val="en-US" w:eastAsia="en-US" w:bidi="ar-SA"/>
          </w:rPr>
          <w:t>153 D.L.R. (4th) 193</w:t>
        </w:r>
      </w:hyperlink>
      <w:r>
        <w:rPr>
          <w:rFonts w:ascii="arial" w:eastAsia="arial" w:hAnsi="arial" w:cs="arial"/>
          <w:color w:val="000000"/>
          <w:sz w:val="20"/>
          <w:lang w:val="en-US" w:eastAsia="en-US" w:bidi="ar-SA"/>
        </w:rPr>
        <w:t xml:space="preserve">, para. 181] to "[t]he principle that each head of federal power possesses an essential core which the provinces are not permitted to regulate indirectly...". Mr. Swanson for the petitioners argues that </w:t>
      </w:r>
      <w:r>
        <w:rPr>
          <w:rFonts w:ascii="arial" w:eastAsia="arial" w:hAnsi="arial" w:cs="arial"/>
          <w:b/>
          <w:i/>
          <w:color w:val="000000"/>
          <w:sz w:val="20"/>
          <w:lang w:val="en-US" w:eastAsia="en-US" w:bidi="ar-SA"/>
        </w:rPr>
        <w:t>Bell Canada (1988)</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Ordon Estate</w:t>
      </w:r>
      <w:r>
        <w:rPr>
          <w:rFonts w:ascii="arial" w:eastAsia="arial" w:hAnsi="arial" w:cs="arial"/>
          <w:color w:val="000000"/>
          <w:sz w:val="20"/>
          <w:lang w:val="en-US" w:eastAsia="en-US" w:bidi="ar-SA"/>
        </w:rPr>
        <w:t xml:space="preserve"> together stand for the proposition that "whether it is a federal undertaking in issue, or a specific head of power such as navigation and shipping, a province may not legislate in a way that impairs a core federal power."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The plaintiff's position is somewhat different. Mr. Perrett argues that Part 24 is </w:t>
      </w:r>
      <w:r>
        <w:rPr>
          <w:rFonts w:ascii="arial" w:eastAsia="arial" w:hAnsi="arial" w:cs="arial"/>
          <w:i/>
          <w:color w:val="000000"/>
          <w:sz w:val="20"/>
          <w:lang w:val="en-US" w:eastAsia="en-US" w:bidi="ar-SA"/>
        </w:rPr>
        <w:t>ultra vires</w:t>
      </w:r>
      <w:r>
        <w:rPr>
          <w:rFonts w:ascii="arial" w:eastAsia="arial" w:hAnsi="arial" w:cs="arial"/>
          <w:color w:val="000000"/>
          <w:sz w:val="20"/>
          <w:lang w:val="en-US" w:eastAsia="en-US" w:bidi="ar-SA"/>
        </w:rPr>
        <w:t xml:space="preserve"> the Province and, in addition, that ss. 3.3, 3.1 and 3.15 of the </w:t>
      </w:r>
      <w:r>
        <w:rPr>
          <w:rFonts w:ascii="arial" w:eastAsia="arial" w:hAnsi="arial" w:cs="arial"/>
          <w:b/>
          <w:i/>
          <w:color w:val="000000"/>
          <w:sz w:val="20"/>
          <w:lang w:val="en-US" w:eastAsia="en-US" w:bidi="ar-SA"/>
        </w:rPr>
        <w:t>OH&amp;SR</w:t>
      </w:r>
      <w:r>
        <w:rPr>
          <w:rFonts w:ascii="arial" w:eastAsia="arial" w:hAnsi="arial" w:cs="arial"/>
          <w:color w:val="000000"/>
          <w:sz w:val="20"/>
          <w:lang w:val="en-US" w:eastAsia="en-US" w:bidi="ar-SA"/>
        </w:rPr>
        <w:t xml:space="preserve"> are all inoperative with respect to fishing vessels and must be read down. The plaintiff also says that since all of Osprey Marine's fishing operations are carried out in waters which are beyond the limits of the Province of British Columbia, the "Osprey No. 1" is engaged in a federal work, undertaking or business within the meaning of the </w:t>
      </w:r>
      <w:r>
        <w:rPr>
          <w:rFonts w:ascii="arial" w:eastAsia="arial" w:hAnsi="arial" w:cs="arial"/>
          <w:b/>
          <w:i/>
          <w:color w:val="000000"/>
          <w:sz w:val="20"/>
          <w:lang w:val="en-US" w:eastAsia="en-US" w:bidi="ar-SA"/>
        </w:rPr>
        <w:t>Constitution Act, 1867</w:t>
      </w:r>
      <w:r>
        <w:rPr>
          <w:rFonts w:ascii="arial" w:eastAsia="arial" w:hAnsi="arial" w:cs="arial"/>
          <w:color w:val="000000"/>
          <w:sz w:val="20"/>
          <w:lang w:val="en-US" w:eastAsia="en-US" w:bidi="ar-SA"/>
        </w:rPr>
        <w:t>, s. 92(10)(a), with respect to which the Province has no jurisdiction because of the doctrine of interjurisdictional immunity.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Finally, both the petitioners and the plaintiff take the position in the alternative that the doctrine of federal paramountcy applies to render the provincial laws inoperative because there is a conflict between the </w:t>
      </w:r>
      <w:r>
        <w:rPr>
          <w:rFonts w:ascii="arial" w:eastAsia="arial" w:hAnsi="arial" w:cs="arial"/>
          <w:b/>
          <w:i/>
          <w:color w:val="000000"/>
          <w:sz w:val="20"/>
          <w:lang w:val="en-US" w:eastAsia="en-US" w:bidi="ar-SA"/>
        </w:rPr>
        <w:t>OH&amp;SR</w:t>
      </w:r>
      <w:r>
        <w:rPr>
          <w:rFonts w:ascii="arial" w:eastAsia="arial" w:hAnsi="arial" w:cs="arial"/>
          <w:color w:val="000000"/>
          <w:sz w:val="20"/>
          <w:lang w:val="en-US" w:eastAsia="en-US" w:bidi="ar-SA"/>
        </w:rPr>
        <w:t xml:space="preserve"> and the provisions of numerous </w:t>
      </w:r>
      <w:r>
        <w:rPr>
          <w:rFonts w:ascii="arial" w:eastAsia="arial" w:hAnsi="arial" w:cs="arial"/>
          <w:b/>
          <w:i/>
          <w:color w:val="000000"/>
          <w:sz w:val="20"/>
          <w:lang w:val="en-US" w:eastAsia="en-US" w:bidi="ar-SA"/>
        </w:rPr>
        <w:t>CSA</w:t>
      </w:r>
      <w:r>
        <w:rPr>
          <w:rFonts w:ascii="arial" w:eastAsia="arial" w:hAnsi="arial" w:cs="arial"/>
          <w:color w:val="000000"/>
          <w:sz w:val="20"/>
          <w:lang w:val="en-US" w:eastAsia="en-US" w:bidi="ar-SA"/>
        </w:rPr>
        <w:t xml:space="preserve"> regulations and, in addition, because the purpose and intent of the comprehensive federal regime would be frustrated by the application of certain provincial laws on board fishing vessels.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position of the WCB is that the provincial and federal regulatory regimes exist without conflict and prevent a potential gap in the regulatory scheme (relating to stability tests on small fishing vessels). Mr. Nielsen submits that federal-provincial cooperation in this area was not unconstitutional and, indeed, was essential. He argues that the pith and substance of the legislation is the regulation of occupational health and safety with respect to vessels engaged in the "business of fishing", a matter within provincial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WCB's position is that the business of fishing is not a federal undertaking when conducted by fishing vessels based in the Port of Vancouver which do not travel inter-provincially or internationally between 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Mr. Nielsen submits that the recent jurisprudence does not support the application of the doctrine of interjurisdictional immunity in these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Finally, he argues that the test for incompatibility justifying the use of the doctrine of federal paramountcy has not been met.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Counsel for the Attorney General of British Columbia, Ms. Jackson, makes submissions in agreement with those of the WCB. The position of the Province is that the legislation is, in pith and substance, directed to occupational health and safety, which is a matter of property and civil rights within provincial jurisdiction. Ms. Jackson argues that provincial jurisdiction over labour relations (including occupational health and safety) is the general rule, with federal jurisdiction being the exception.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Province's position is that the doctrine of federal paramountcy is not triggered and that the doctrine of interjurisdictional immunity does not assist the petitioners or plaintiff since it only applies where a provincial law impairs the "core" of a federal head of power or a federal undertaking.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PRESUMPTION OF CONSTITUTIONALITY AND PREFERRED INTERPRETATION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Any question as to the validity of legislation is to be approached on the assumption that the enacting body intended to confine itself to its own sphere and that the legislation was validly enacted (</w:t>
      </w:r>
      <w:r>
        <w:rPr>
          <w:rFonts w:ascii="arial" w:eastAsia="arial" w:hAnsi="arial" w:cs="arial"/>
          <w:b/>
          <w:i/>
          <w:color w:val="000000"/>
          <w:sz w:val="20"/>
          <w:lang w:val="en-US" w:eastAsia="en-US" w:bidi="ar-SA"/>
        </w:rPr>
        <w:t>Nova Scotia (Board of Censors) v. McNeil</w:t>
      </w:r>
      <w:r>
        <w:rPr>
          <w:rFonts w:ascii="arial" w:eastAsia="arial" w:hAnsi="arial" w:cs="arial"/>
          <w:color w:val="000000"/>
          <w:sz w:val="20"/>
          <w:lang w:val="en-US" w:eastAsia="en-US" w:bidi="ar-SA"/>
        </w:rPr>
        <w:t xml:space="preserve">, </w:t>
      </w:r>
      <w:hyperlink r:id="rId678" w:history="1">
        <w:r>
          <w:rPr>
            <w:rFonts w:ascii="arial" w:eastAsia="arial" w:hAnsi="arial" w:cs="arial"/>
            <w:i/>
            <w:color w:val="0077CC"/>
            <w:sz w:val="20"/>
            <w:u w:val="single"/>
            <w:shd w:val="clear" w:color="auto" w:fill="FFFFFF"/>
            <w:lang w:val="en-US" w:eastAsia="en-US" w:bidi="ar-SA"/>
          </w:rPr>
          <w:t>[1978] 2 S.C.R. 662</w:t>
        </w:r>
      </w:hyperlink>
      <w:r>
        <w:rPr>
          <w:rFonts w:ascii="arial" w:eastAsia="arial" w:hAnsi="arial" w:cs="arial"/>
          <w:color w:val="000000"/>
          <w:sz w:val="20"/>
          <w:lang w:val="en-US" w:eastAsia="en-US" w:bidi="ar-SA"/>
        </w:rPr>
        <w:t xml:space="preserve"> at 687-8, </w:t>
      </w:r>
      <w:hyperlink r:id="rId678" w:history="1">
        <w:r>
          <w:rPr>
            <w:rFonts w:ascii="arial" w:eastAsia="arial" w:hAnsi="arial" w:cs="arial"/>
            <w:i/>
            <w:color w:val="0077CC"/>
            <w:sz w:val="20"/>
            <w:u w:val="single"/>
            <w:shd w:val="clear" w:color="auto" w:fill="FFFFFF"/>
            <w:lang w:val="en-US" w:eastAsia="en-US" w:bidi="ar-SA"/>
          </w:rPr>
          <w:t>84 D.L.R. (3d) 1</w:t>
        </w:r>
      </w:hyperlink>
      <w:r>
        <w:rPr>
          <w:rFonts w:ascii="arial" w:eastAsia="arial" w:hAnsi="arial" w:cs="arial"/>
          <w:color w:val="000000"/>
          <w:sz w:val="20"/>
          <w:lang w:val="en-US" w:eastAsia="en-US" w:bidi="ar-SA"/>
        </w:rPr>
        <w:t>). Further, when there are two plausible characterizations of a law, a court should normally choose that which supports the law's constitutional validity (</w:t>
      </w:r>
      <w:r>
        <w:rPr>
          <w:rFonts w:ascii="arial" w:eastAsia="arial" w:hAnsi="arial" w:cs="arial"/>
          <w:b/>
          <w:i/>
          <w:color w:val="000000"/>
          <w:sz w:val="20"/>
          <w:lang w:val="en-US" w:eastAsia="en-US" w:bidi="ar-SA"/>
        </w:rPr>
        <w:t>Siemens v. Manitoba (Attorney General)</w:t>
      </w:r>
      <w:r>
        <w:rPr>
          <w:rFonts w:ascii="arial" w:eastAsia="arial" w:hAnsi="arial" w:cs="arial"/>
          <w:color w:val="000000"/>
          <w:sz w:val="20"/>
          <w:lang w:val="en-US" w:eastAsia="en-US" w:bidi="ar-SA"/>
        </w:rPr>
        <w:t xml:space="preserve">, </w:t>
      </w:r>
      <w:hyperlink r:id="rId679" w:history="1">
        <w:r>
          <w:rPr>
            <w:rFonts w:ascii="arial" w:eastAsia="arial" w:hAnsi="arial" w:cs="arial"/>
            <w:i/>
            <w:color w:val="0077CC"/>
            <w:sz w:val="20"/>
            <w:u w:val="single"/>
            <w:shd w:val="clear" w:color="auto" w:fill="FFFFFF"/>
            <w:lang w:val="en-US" w:eastAsia="en-US" w:bidi="ar-SA"/>
          </w:rPr>
          <w:t>2003 SCC 3</w:t>
        </w:r>
      </w:hyperlink>
      <w:r>
        <w:rPr>
          <w:rFonts w:ascii="arial" w:eastAsia="arial" w:hAnsi="arial" w:cs="arial"/>
          <w:color w:val="000000"/>
          <w:sz w:val="20"/>
          <w:lang w:val="en-US" w:eastAsia="en-US" w:bidi="ar-SA"/>
        </w:rPr>
        <w:t xml:space="preserve">, </w:t>
      </w:r>
      <w:hyperlink r:id="rId679" w:history="1">
        <w:r>
          <w:rPr>
            <w:rFonts w:ascii="arial" w:eastAsia="arial" w:hAnsi="arial" w:cs="arial"/>
            <w:i/>
            <w:color w:val="0077CC"/>
            <w:sz w:val="20"/>
            <w:u w:val="single"/>
            <w:shd w:val="clear" w:color="auto" w:fill="FFFFFF"/>
            <w:lang w:val="en-US" w:eastAsia="en-US" w:bidi="ar-SA"/>
          </w:rPr>
          <w:t>[2003] 1 S.C.R. 6</w:t>
        </w:r>
      </w:hyperlink>
      <w:r>
        <w:rPr>
          <w:rFonts w:ascii="arial" w:eastAsia="arial" w:hAnsi="arial" w:cs="arial"/>
          <w:color w:val="000000"/>
          <w:sz w:val="20"/>
          <w:lang w:val="en-US" w:eastAsia="en-US" w:bidi="ar-SA"/>
        </w:rPr>
        <w:t>, at para. 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JURISPRUDENCE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The jurisprudence as to the analysis of division of powers issues has evolved significantly over the years. The plaintiffs and petitioner emphasized the Supreme Court of Canada decisions in </w:t>
      </w:r>
      <w:r>
        <w:rPr>
          <w:rFonts w:ascii="arial" w:eastAsia="arial" w:hAnsi="arial" w:cs="arial"/>
          <w:b/>
          <w:i/>
          <w:color w:val="000000"/>
          <w:sz w:val="20"/>
          <w:lang w:val="en-US" w:eastAsia="en-US" w:bidi="ar-SA"/>
        </w:rPr>
        <w:t>Bell Canada (1988)</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Alltrans Express Ltd. v. British Columbia (Workers'/Workmen's Compensation Board)</w:t>
      </w:r>
      <w:r>
        <w:rPr>
          <w:rFonts w:ascii="arial" w:eastAsia="arial" w:hAnsi="arial" w:cs="arial"/>
          <w:color w:val="000000"/>
          <w:sz w:val="20"/>
          <w:lang w:val="en-US" w:eastAsia="en-US" w:bidi="ar-SA"/>
        </w:rPr>
        <w:t xml:space="preserve">, </w:t>
      </w:r>
      <w:hyperlink r:id="rId680" w:history="1">
        <w:r>
          <w:rPr>
            <w:rFonts w:ascii="arial" w:eastAsia="arial" w:hAnsi="arial" w:cs="arial"/>
            <w:i/>
            <w:color w:val="0077CC"/>
            <w:sz w:val="20"/>
            <w:u w:val="single"/>
            <w:shd w:val="clear" w:color="auto" w:fill="FFFFFF"/>
            <w:lang w:val="en-US" w:eastAsia="en-US" w:bidi="ar-SA"/>
          </w:rPr>
          <w:t>[1988] 1 S.C.R. 897</w:t>
        </w:r>
      </w:hyperlink>
      <w:r>
        <w:rPr>
          <w:rFonts w:ascii="arial" w:eastAsia="arial" w:hAnsi="arial" w:cs="arial"/>
          <w:color w:val="000000"/>
          <w:sz w:val="20"/>
          <w:lang w:val="en-US" w:eastAsia="en-US" w:bidi="ar-SA"/>
        </w:rPr>
        <w:t xml:space="preserve">, </w:t>
      </w:r>
      <w:hyperlink r:id="rId680" w:history="1">
        <w:r>
          <w:rPr>
            <w:rFonts w:ascii="arial" w:eastAsia="arial" w:hAnsi="arial" w:cs="arial"/>
            <w:i/>
            <w:color w:val="0077CC"/>
            <w:sz w:val="20"/>
            <w:u w:val="single"/>
            <w:shd w:val="clear" w:color="auto" w:fill="FFFFFF"/>
            <w:lang w:val="en-US" w:eastAsia="en-US" w:bidi="ar-SA"/>
          </w:rPr>
          <w:t>51 D.L.R. (4th) 253</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C.N.R. Co. v. Courtois</w:t>
      </w:r>
      <w:r>
        <w:rPr>
          <w:rFonts w:ascii="arial" w:eastAsia="arial" w:hAnsi="arial" w:cs="arial"/>
          <w:color w:val="000000"/>
          <w:sz w:val="20"/>
          <w:lang w:val="en-US" w:eastAsia="en-US" w:bidi="ar-SA"/>
        </w:rPr>
        <w:t xml:space="preserve">, </w:t>
      </w:r>
      <w:hyperlink r:id="rId681" w:history="1">
        <w:r>
          <w:rPr>
            <w:rFonts w:ascii="arial" w:eastAsia="arial" w:hAnsi="arial" w:cs="arial"/>
            <w:i/>
            <w:color w:val="0077CC"/>
            <w:sz w:val="20"/>
            <w:u w:val="single"/>
            <w:shd w:val="clear" w:color="auto" w:fill="FFFFFF"/>
            <w:lang w:val="en-US" w:eastAsia="en-US" w:bidi="ar-SA"/>
          </w:rPr>
          <w:t>[1988] 1 S.C.R. 868</w:t>
        </w:r>
      </w:hyperlink>
      <w:r>
        <w:rPr>
          <w:rFonts w:ascii="arial" w:eastAsia="arial" w:hAnsi="arial" w:cs="arial"/>
          <w:color w:val="000000"/>
          <w:sz w:val="20"/>
          <w:lang w:val="en-US" w:eastAsia="en-US" w:bidi="ar-SA"/>
        </w:rPr>
        <w:t xml:space="preserve">, </w:t>
      </w:r>
      <w:hyperlink r:id="rId681" w:history="1">
        <w:r>
          <w:rPr>
            <w:rFonts w:ascii="arial" w:eastAsia="arial" w:hAnsi="arial" w:cs="arial"/>
            <w:i/>
            <w:color w:val="0077CC"/>
            <w:sz w:val="20"/>
            <w:u w:val="single"/>
            <w:shd w:val="clear" w:color="auto" w:fill="FFFFFF"/>
            <w:lang w:val="en-US" w:eastAsia="en-US" w:bidi="ar-SA"/>
          </w:rPr>
          <w:t>85 N.R. 260</w:t>
        </w:r>
      </w:hyperlink>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Bell Canada trilogy</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Ordon Estate</w:t>
      </w:r>
      <w:r>
        <w:rPr>
          <w:rFonts w:ascii="arial" w:eastAsia="arial" w:hAnsi="arial" w:cs="arial"/>
          <w:color w:val="000000"/>
          <w:sz w:val="20"/>
          <w:lang w:val="en-US" w:eastAsia="en-US" w:bidi="ar-SA"/>
        </w:rPr>
        <w:t xml:space="preserve"> in arguing that the </w:t>
      </w:r>
      <w:r>
        <w:rPr>
          <w:rFonts w:ascii="arial" w:eastAsia="arial" w:hAnsi="arial" w:cs="arial"/>
          <w:b/>
          <w:i/>
          <w:color w:val="000000"/>
          <w:sz w:val="20"/>
          <w:lang w:val="en-US" w:eastAsia="en-US" w:bidi="ar-SA"/>
        </w:rPr>
        <w:t>OH&amp;SR</w:t>
      </w:r>
      <w:r>
        <w:rPr>
          <w:rFonts w:ascii="arial" w:eastAsia="arial" w:hAnsi="arial" w:cs="arial"/>
          <w:color w:val="000000"/>
          <w:sz w:val="20"/>
          <w:lang w:val="en-US" w:eastAsia="en-US" w:bidi="ar-SA"/>
        </w:rPr>
        <w:t xml:space="preserve"> cannot apply to their undertaking. I will begin, however, with the more recent Supreme Court of Canada decisions in </w:t>
      </w:r>
      <w:r>
        <w:rPr>
          <w:rFonts w:ascii="arial" w:eastAsia="arial" w:hAnsi="arial" w:cs="arial"/>
          <w:b/>
          <w:i/>
          <w:color w:val="000000"/>
          <w:sz w:val="20"/>
          <w:lang w:val="en-US" w:eastAsia="en-US" w:bidi="ar-SA"/>
        </w:rPr>
        <w:t>Canadian Western Bank v. Alberta</w:t>
      </w:r>
      <w:r>
        <w:rPr>
          <w:rFonts w:ascii="arial" w:eastAsia="arial" w:hAnsi="arial" w:cs="arial"/>
          <w:color w:val="000000"/>
          <w:sz w:val="20"/>
          <w:lang w:val="en-US" w:eastAsia="en-US" w:bidi="ar-SA"/>
        </w:rPr>
        <w:t xml:space="preserve">, </w:t>
      </w:r>
      <w:hyperlink r:id="rId682" w:history="1">
        <w:r>
          <w:rPr>
            <w:rFonts w:ascii="arial" w:eastAsia="arial" w:hAnsi="arial" w:cs="arial"/>
            <w:i/>
            <w:color w:val="0077CC"/>
            <w:sz w:val="20"/>
            <w:u w:val="single"/>
            <w:shd w:val="clear" w:color="auto" w:fill="FFFFFF"/>
            <w:lang w:val="en-US" w:eastAsia="en-US" w:bidi="ar-SA"/>
          </w:rPr>
          <w:t>2007 SCC 22</w:t>
        </w:r>
      </w:hyperlink>
      <w:r>
        <w:rPr>
          <w:rFonts w:ascii="arial" w:eastAsia="arial" w:hAnsi="arial" w:cs="arial"/>
          <w:color w:val="000000"/>
          <w:sz w:val="20"/>
          <w:lang w:val="en-US" w:eastAsia="en-US" w:bidi="ar-SA"/>
        </w:rPr>
        <w:t xml:space="preserve">, </w:t>
      </w:r>
      <w:hyperlink r:id="rId682" w:history="1">
        <w:r>
          <w:rPr>
            <w:rFonts w:ascii="arial" w:eastAsia="arial" w:hAnsi="arial" w:cs="arial"/>
            <w:i/>
            <w:color w:val="0077CC"/>
            <w:sz w:val="20"/>
            <w:u w:val="single"/>
            <w:shd w:val="clear" w:color="auto" w:fill="FFFFFF"/>
            <w:lang w:val="en-US" w:eastAsia="en-US" w:bidi="ar-SA"/>
          </w:rPr>
          <w:t>[2007] 2 S.C.R. 3</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Canadian Western Bank</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Lafarge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Canadian Western Bank;</w:t>
      </w:r>
      <w:r>
        <w:rPr>
          <w:rFonts w:ascii="arial" w:eastAsia="arial" w:hAnsi="arial" w:cs="arial"/>
          <w:b/>
          <w:i/>
          <w:color w:val="000000"/>
          <w:sz w:val="20"/>
          <w:lang w:val="en-US" w:eastAsia="en-US" w:bidi="ar-SA"/>
        </w:rPr>
        <w:t>Lafarge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The Supreme Court in </w:t>
      </w:r>
      <w:r>
        <w:rPr>
          <w:rFonts w:ascii="arial" w:eastAsia="arial" w:hAnsi="arial" w:cs="arial"/>
          <w:b/>
          <w:i/>
          <w:color w:val="000000"/>
          <w:sz w:val="20"/>
          <w:lang w:val="en-US" w:eastAsia="en-US" w:bidi="ar-SA"/>
        </w:rPr>
        <w:t>Canadian Western Bank</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Larfarge</w:t>
      </w:r>
      <w:r>
        <w:rPr>
          <w:rFonts w:ascii="arial" w:eastAsia="arial" w:hAnsi="arial" w:cs="arial"/>
          <w:color w:val="000000"/>
          <w:sz w:val="20"/>
          <w:lang w:val="en-US" w:eastAsia="en-US" w:bidi="ar-SA"/>
        </w:rPr>
        <w:t xml:space="preserve"> (decided at the same time) reiterated that division of powers analysis must begin with an examination of the "pith and substance" of the impugned legislation - an inquiry into the true nature of the law, in order to identify the "matter" to which it essentially relates, examining both its purpose and its legal effects (</w:t>
      </w:r>
      <w:r>
        <w:rPr>
          <w:rFonts w:ascii="arial" w:eastAsia="arial" w:hAnsi="arial" w:cs="arial"/>
          <w:b/>
          <w:i/>
          <w:color w:val="000000"/>
          <w:sz w:val="20"/>
          <w:lang w:val="en-US" w:eastAsia="en-US" w:bidi="ar-SA"/>
        </w:rPr>
        <w:t>Canadian Western Bank</w:t>
      </w:r>
      <w:r>
        <w:rPr>
          <w:rFonts w:ascii="arial" w:eastAsia="arial" w:hAnsi="arial" w:cs="arial"/>
          <w:color w:val="000000"/>
          <w:sz w:val="20"/>
          <w:lang w:val="en-US" w:eastAsia="en-US" w:bidi="ar-SA"/>
        </w:rPr>
        <w:t xml:space="preserve">, at paras. 25-27). If the dominant purpose of the legislation falls within the jurisdiction of the legislature that enacted it, it is </w:t>
      </w:r>
      <w:r>
        <w:rPr>
          <w:rFonts w:ascii="arial" w:eastAsia="arial" w:hAnsi="arial" w:cs="arial"/>
          <w:i/>
          <w:color w:val="000000"/>
          <w:sz w:val="20"/>
          <w:lang w:val="en-US" w:eastAsia="en-US" w:bidi="ar-SA"/>
        </w:rPr>
        <w:t>intra vires</w:t>
      </w:r>
      <w:r>
        <w:rPr>
          <w:rFonts w:ascii="arial" w:eastAsia="arial" w:hAnsi="arial" w:cs="arial"/>
          <w:color w:val="000000"/>
          <w:sz w:val="20"/>
          <w:lang w:val="en-US" w:eastAsia="en-US" w:bidi="ar-SA"/>
        </w:rPr>
        <w:t>; its secondary objectives and effects have no impact on its constitutionality.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Thus, the effects of legislation may extend beyond the jurisdiction of the government enacting it without rendering the legislation unconstitutional. This is because "it is in practice impossible for a legislature to exercise its jurisdiction over a matter effectively without incidentally affecting matters within the jurisdiction of another level of government" (</w:t>
      </w:r>
      <w:r>
        <w:rPr>
          <w:rFonts w:ascii="arial" w:eastAsia="arial" w:hAnsi="arial" w:cs="arial"/>
          <w:b/>
          <w:i/>
          <w:color w:val="000000"/>
          <w:sz w:val="20"/>
          <w:lang w:val="en-US" w:eastAsia="en-US" w:bidi="ar-SA"/>
        </w:rPr>
        <w:t>Canadian Western Bank</w:t>
      </w:r>
      <w:r>
        <w:rPr>
          <w:rFonts w:ascii="arial" w:eastAsia="arial" w:hAnsi="arial" w:cs="arial"/>
          <w:color w:val="000000"/>
          <w:sz w:val="20"/>
          <w:lang w:val="en-US" w:eastAsia="en-US" w:bidi="ar-SA"/>
        </w:rPr>
        <w:t>, at para. 29), and because some matters may have both provincial and federal aspects -- the double aspect doctrine.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Binnie and LeBel JJ., for the majority in </w:t>
      </w:r>
      <w:r>
        <w:rPr>
          <w:rFonts w:ascii="arial" w:eastAsia="arial" w:hAnsi="arial" w:cs="arial"/>
          <w:b/>
          <w:i/>
          <w:color w:val="000000"/>
          <w:sz w:val="20"/>
          <w:lang w:val="en-US" w:eastAsia="en-US" w:bidi="ar-SA"/>
        </w:rPr>
        <w:t>Canadian Western Bank</w:t>
      </w:r>
      <w:r>
        <w:rPr>
          <w:rFonts w:ascii="arial" w:eastAsia="arial" w:hAnsi="arial" w:cs="arial"/>
          <w:color w:val="000000"/>
          <w:sz w:val="20"/>
          <w:lang w:val="en-US" w:eastAsia="en-US" w:bidi="ar-SA"/>
        </w:rPr>
        <w:t>, stated at para. 28: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fundamental corollary to this approach to constitutional analysis is that legislation whose pith and substance falls within the jurisdiction of the legislature that enacted it may, at least to a certain extent, affect matters beyond the legislature's jurisdiction without necessarily being unconstitutional. At this stage of the analysis of constitutionality, the "dominant purpose" of the legislation is still decisive. Its secondary objectives and effects have no impact on its constitutionality: "merely incidental effects will not disturb the constitutionality of an otherwise </w:t>
      </w:r>
      <w:r>
        <w:rPr>
          <w:rFonts w:ascii="arial" w:eastAsia="arial" w:hAnsi="arial" w:cs="arial"/>
          <w:i/>
          <w:color w:val="000000"/>
          <w:sz w:val="20"/>
          <w:lang w:val="en-US" w:eastAsia="en-US" w:bidi="ar-SA"/>
        </w:rPr>
        <w:t>intra vires</w:t>
      </w:r>
      <w:r>
        <w:rPr>
          <w:rFonts w:ascii="arial" w:eastAsia="arial" w:hAnsi="arial" w:cs="arial"/>
          <w:color w:val="000000"/>
          <w:sz w:val="20"/>
          <w:lang w:val="en-US" w:eastAsia="en-US" w:bidi="ar-SA"/>
        </w:rPr>
        <w:t xml:space="preserve"> law" (</w:t>
      </w:r>
      <w:r>
        <w:rPr>
          <w:rFonts w:ascii="arial" w:eastAsia="arial" w:hAnsi="arial" w:cs="arial"/>
          <w:i/>
          <w:color w:val="000000"/>
          <w:sz w:val="20"/>
          <w:lang w:val="en-US" w:eastAsia="en-US" w:bidi="ar-SA"/>
        </w:rPr>
        <w:t>Global Securities Corp. v. British Columbia (Securities Commission</w:t>
      </w:r>
      <w:r>
        <w:rPr>
          <w:rFonts w:ascii="arial" w:eastAsia="arial" w:hAnsi="arial" w:cs="arial"/>
          <w:color w:val="000000"/>
          <w:sz w:val="20"/>
          <w:lang w:val="en-US" w:eastAsia="en-US" w:bidi="ar-SA"/>
        </w:rPr>
        <w:t xml:space="preserve">), </w:t>
      </w:r>
      <w:hyperlink r:id="rId683" w:history="1">
        <w:r>
          <w:rPr>
            <w:rFonts w:ascii="arial" w:eastAsia="arial" w:hAnsi="arial" w:cs="arial"/>
            <w:i/>
            <w:color w:val="0077CC"/>
            <w:sz w:val="20"/>
            <w:u w:val="single"/>
            <w:shd w:val="clear" w:color="auto" w:fill="FFFFFF"/>
            <w:lang w:val="en-US" w:eastAsia="en-US" w:bidi="ar-SA"/>
          </w:rPr>
          <w:t>[2000] 1 S.C.R. 494</w:t>
        </w:r>
      </w:hyperlink>
      <w:r>
        <w:rPr>
          <w:rFonts w:ascii="arial" w:eastAsia="arial" w:hAnsi="arial" w:cs="arial"/>
          <w:color w:val="000000"/>
          <w:sz w:val="20"/>
          <w:lang w:val="en-US" w:eastAsia="en-US" w:bidi="ar-SA"/>
        </w:rPr>
        <w:t xml:space="preserve">, </w:t>
      </w:r>
      <w:hyperlink r:id="rId683" w:history="1">
        <w:r>
          <w:rPr>
            <w:rFonts w:ascii="arial" w:eastAsia="arial" w:hAnsi="arial" w:cs="arial"/>
            <w:i/>
            <w:color w:val="0077CC"/>
            <w:sz w:val="20"/>
            <w:u w:val="single"/>
            <w:shd w:val="clear" w:color="auto" w:fill="FFFFFF"/>
            <w:lang w:val="en-US" w:eastAsia="en-US" w:bidi="ar-SA"/>
          </w:rPr>
          <w:t>2000 SCC 21</w:t>
        </w:r>
      </w:hyperlink>
      <w:r>
        <w:rPr>
          <w:rFonts w:ascii="arial" w:eastAsia="arial" w:hAnsi="arial" w:cs="arial"/>
          <w:color w:val="000000"/>
          <w:sz w:val="20"/>
          <w:lang w:val="en-US" w:eastAsia="en-US" w:bidi="ar-SA"/>
        </w:rPr>
        <w:t xml:space="preserve">, at para. 23). By "incidental" is meant effects that may be of significant practical importance but are collateral and secondary to the mandate of the enacting legislature: see </w:t>
      </w:r>
      <w:r>
        <w:rPr>
          <w:rFonts w:ascii="arial" w:eastAsia="arial" w:hAnsi="arial" w:cs="arial"/>
          <w:i/>
          <w:color w:val="000000"/>
          <w:sz w:val="20"/>
          <w:lang w:val="en-US" w:eastAsia="en-US" w:bidi="ar-SA"/>
        </w:rPr>
        <w:t>British Columbia v. Imperial Tobacco Canada Ltd.</w:t>
      </w:r>
      <w:r>
        <w:rPr>
          <w:rFonts w:ascii="arial" w:eastAsia="arial" w:hAnsi="arial" w:cs="arial"/>
          <w:color w:val="000000"/>
          <w:sz w:val="20"/>
          <w:lang w:val="en-US" w:eastAsia="en-US" w:bidi="ar-SA"/>
        </w:rPr>
        <w:t xml:space="preserve">, </w:t>
      </w:r>
      <w:hyperlink r:id="rId684" w:history="1">
        <w:r>
          <w:rPr>
            <w:rFonts w:ascii="arial" w:eastAsia="arial" w:hAnsi="arial" w:cs="arial"/>
            <w:i/>
            <w:color w:val="0077CC"/>
            <w:sz w:val="20"/>
            <w:u w:val="single"/>
            <w:shd w:val="clear" w:color="auto" w:fill="FFFFFF"/>
            <w:lang w:val="en-US" w:eastAsia="en-US" w:bidi="ar-SA"/>
          </w:rPr>
          <w:t>[2005] 2 S.C.R. 473</w:t>
        </w:r>
      </w:hyperlink>
      <w:r>
        <w:rPr>
          <w:rFonts w:ascii="arial" w:eastAsia="arial" w:hAnsi="arial" w:cs="arial"/>
          <w:color w:val="000000"/>
          <w:sz w:val="20"/>
          <w:lang w:val="en-US" w:eastAsia="en-US" w:bidi="ar-SA"/>
        </w:rPr>
        <w:t xml:space="preserve">, </w:t>
      </w:r>
      <w:hyperlink r:id="rId684" w:history="1">
        <w:r>
          <w:rPr>
            <w:rFonts w:ascii="arial" w:eastAsia="arial" w:hAnsi="arial" w:cs="arial"/>
            <w:i/>
            <w:color w:val="0077CC"/>
            <w:sz w:val="20"/>
            <w:u w:val="single"/>
            <w:shd w:val="clear" w:color="auto" w:fill="FFFFFF"/>
            <w:lang w:val="en-US" w:eastAsia="en-US" w:bidi="ar-SA"/>
          </w:rPr>
          <w:t>2005 SCC 49</w:t>
        </w:r>
      </w:hyperlink>
      <w:r>
        <w:rPr>
          <w:rFonts w:ascii="arial" w:eastAsia="arial" w:hAnsi="arial" w:cs="arial"/>
          <w:color w:val="000000"/>
          <w:sz w:val="20"/>
          <w:lang w:val="en-US" w:eastAsia="en-US" w:bidi="ar-SA"/>
        </w:rPr>
        <w:t xml:space="preserve">, at para. 28. Such incidental intrusions into matters subject to the other level of government's authority are proper and to be expected: </w:t>
      </w:r>
      <w:r>
        <w:rPr>
          <w:rFonts w:ascii="arial" w:eastAsia="arial" w:hAnsi="arial" w:cs="arial"/>
          <w:i/>
          <w:color w:val="000000"/>
          <w:sz w:val="20"/>
          <w:lang w:val="en-US" w:eastAsia="en-US" w:bidi="ar-SA"/>
        </w:rPr>
        <w:t>General Motors of Canada Ltd. v. City National Leasing</w:t>
      </w:r>
      <w:r>
        <w:rPr>
          <w:rFonts w:ascii="arial" w:eastAsia="arial" w:hAnsi="arial" w:cs="arial"/>
          <w:color w:val="000000"/>
          <w:sz w:val="20"/>
          <w:lang w:val="en-US" w:eastAsia="en-US" w:bidi="ar-SA"/>
        </w:rPr>
        <w:t xml:space="preserve">, </w:t>
      </w:r>
      <w:hyperlink r:id="rId685" w:history="1">
        <w:r>
          <w:rPr>
            <w:rFonts w:ascii="arial" w:eastAsia="arial" w:hAnsi="arial" w:cs="arial"/>
            <w:i/>
            <w:color w:val="0077CC"/>
            <w:sz w:val="20"/>
            <w:u w:val="single"/>
            <w:shd w:val="clear" w:color="auto" w:fill="FFFFFF"/>
            <w:lang w:val="en-US" w:eastAsia="en-US" w:bidi="ar-SA"/>
          </w:rPr>
          <w:t>[1989] 1 S.C.R. 641</w:t>
        </w:r>
      </w:hyperlink>
      <w:r>
        <w:rPr>
          <w:rFonts w:ascii="arial" w:eastAsia="arial" w:hAnsi="arial" w:cs="arial"/>
          <w:color w:val="000000"/>
          <w:sz w:val="20"/>
          <w:lang w:val="en-US" w:eastAsia="en-US" w:bidi="ar-SA"/>
        </w:rPr>
        <w:t>, at p. 670.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If a firm application of the pith and substance analysis and possible utilization of reading down or other techniques of constitutional interpretation do not resolve problems resulting from incidental effects, two other doctrines (interjurisdictional immunity and paramountcy) may come into play.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The Supreme Court emphasized in </w:t>
      </w:r>
      <w:r>
        <w:rPr>
          <w:rFonts w:ascii="arial" w:eastAsia="arial" w:hAnsi="arial" w:cs="arial"/>
          <w:b/>
          <w:i/>
          <w:color w:val="000000"/>
          <w:sz w:val="20"/>
          <w:lang w:val="en-US" w:eastAsia="en-US" w:bidi="ar-SA"/>
        </w:rPr>
        <w:t>Canadian Western Bank</w:t>
      </w:r>
      <w:r>
        <w:rPr>
          <w:rFonts w:ascii="arial" w:eastAsia="arial" w:hAnsi="arial" w:cs="arial"/>
          <w:color w:val="000000"/>
          <w:sz w:val="20"/>
          <w:lang w:val="en-US" w:eastAsia="en-US" w:bidi="ar-SA"/>
        </w:rPr>
        <w:t xml:space="preserve"> that the doctrine of interjurisdictional immunity, rooted in the premise of "exclusive" jurisdiction by either federal or provincial governments, goes against the dominant tide of constitutional interpretation and that the Court does not favour an intensive reliance on that doctrine. One of the primary reasons for the de-emphasis on interjurisdictional immunity was repeated throughout the judgment: the requirements of federalism in the Canadian context. At para. 22 of </w:t>
      </w:r>
      <w:r>
        <w:rPr>
          <w:rFonts w:ascii="arial" w:eastAsia="arial" w:hAnsi="arial" w:cs="arial"/>
          <w:b/>
          <w:i/>
          <w:color w:val="000000"/>
          <w:sz w:val="20"/>
          <w:lang w:val="en-US" w:eastAsia="en-US" w:bidi="ar-SA"/>
        </w:rPr>
        <w:t>Canadian Western Bank</w:t>
      </w:r>
      <w:r>
        <w:rPr>
          <w:rFonts w:ascii="arial" w:eastAsia="arial" w:hAnsi="arial" w:cs="arial"/>
          <w:color w:val="000000"/>
          <w:sz w:val="20"/>
          <w:lang w:val="en-US" w:eastAsia="en-US" w:bidi="ar-SA"/>
        </w:rPr>
        <w:t xml:space="preserve">, the majority referred to federalism as a "fundamental guiding principle" of our constitutional order (as emphasized in </w:t>
      </w:r>
      <w:r>
        <w:rPr>
          <w:rFonts w:ascii="arial" w:eastAsia="arial" w:hAnsi="arial" w:cs="arial"/>
          <w:b/>
          <w:i/>
          <w:color w:val="000000"/>
          <w:sz w:val="20"/>
          <w:lang w:val="en-US" w:eastAsia="en-US" w:bidi="ar-SA"/>
        </w:rPr>
        <w:t>Reference re Secession of Quebec</w:t>
      </w:r>
      <w:r>
        <w:rPr>
          <w:rFonts w:ascii="arial" w:eastAsia="arial" w:hAnsi="arial" w:cs="arial"/>
          <w:color w:val="000000"/>
          <w:sz w:val="20"/>
          <w:lang w:val="en-US" w:eastAsia="en-US" w:bidi="ar-SA"/>
        </w:rPr>
        <w:t xml:space="preserve">, </w:t>
      </w:r>
      <w:hyperlink r:id="rId686" w:history="1">
        <w:r>
          <w:rPr>
            <w:rFonts w:ascii="arial" w:eastAsia="arial" w:hAnsi="arial" w:cs="arial"/>
            <w:i/>
            <w:color w:val="0077CC"/>
            <w:sz w:val="20"/>
            <w:u w:val="single"/>
            <w:shd w:val="clear" w:color="auto" w:fill="FFFFFF"/>
            <w:lang w:val="en-US" w:eastAsia="en-US" w:bidi="ar-SA"/>
          </w:rPr>
          <w:t>[1998] 2 S.C.R. 217</w:t>
        </w:r>
      </w:hyperlink>
      <w:r>
        <w:rPr>
          <w:rFonts w:ascii="arial" w:eastAsia="arial" w:hAnsi="arial" w:cs="arial"/>
          <w:color w:val="000000"/>
          <w:sz w:val="20"/>
          <w:lang w:val="en-US" w:eastAsia="en-US" w:bidi="ar-SA"/>
        </w:rPr>
        <w:t xml:space="preserve">, </w:t>
      </w:r>
      <w:hyperlink r:id="rId686" w:history="1">
        <w:r>
          <w:rPr>
            <w:rFonts w:ascii="arial" w:eastAsia="arial" w:hAnsi="arial" w:cs="arial"/>
            <w:i/>
            <w:color w:val="0077CC"/>
            <w:sz w:val="20"/>
            <w:u w:val="single"/>
            <w:shd w:val="clear" w:color="auto" w:fill="FFFFFF"/>
            <w:lang w:val="en-US" w:eastAsia="en-US" w:bidi="ar-SA"/>
          </w:rPr>
          <w:t>161 D.L.R. (4th) 385</w:t>
        </w:r>
      </w:hyperlink>
      <w:r>
        <w:rPr>
          <w:rFonts w:ascii="arial" w:eastAsia="arial" w:hAnsi="arial" w:cs="arial"/>
          <w:color w:val="000000"/>
          <w:sz w:val="20"/>
          <w:lang w:val="en-US" w:eastAsia="en-US" w:bidi="ar-SA"/>
        </w:rPr>
        <w:t xml:space="preserve"> at para. 55), and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the Court noted in that decision, federalism was the legal response of the framers of the Constitution to the political and cultural realities that existed at Confederation. It thus represented a legal recognition of the diversity of the original members. The division of powers, one of the basic components of federalism, was designed to uphold this diversity within a single nation. Broad powers were conferred on provincial legislatures, while at the same time Canada's unity was ensured by reserving to Parliament powers better exercised in relation to the country as a whole. Each head of power was assigned to the level of government best placed to exercise the power. The fundamental objectives of federalism were, and still are, to reconcile unity with diversity, promote democratic participation by reserving meaningful powers to the local or regional level and to foster co-operation among governments and legislatures for the common good.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Further, at para. 24, the Court referred to the need to "reconcile the legitimate diversity of regional experimentation with the need for national unity" and to recognize that "the task of maintaining the balance of powers in practice falls primarily to governments, and constitutional doctrine must facilitate, not undermine what this Court has called 'co-operative federalism'".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The majority concluded (departing from what had been said in </w:t>
      </w:r>
      <w:r>
        <w:rPr>
          <w:rFonts w:ascii="arial" w:eastAsia="arial" w:hAnsi="arial" w:cs="arial"/>
          <w:b/>
          <w:i/>
          <w:color w:val="000000"/>
          <w:sz w:val="20"/>
          <w:lang w:val="en-US" w:eastAsia="en-US" w:bidi="ar-SA"/>
        </w:rPr>
        <w:t>Bell Canada (1988)</w:t>
      </w:r>
      <w:r>
        <w:rPr>
          <w:rFonts w:ascii="arial" w:eastAsia="arial" w:hAnsi="arial" w:cs="arial"/>
          <w:color w:val="000000"/>
          <w:sz w:val="20"/>
          <w:lang w:val="en-US" w:eastAsia="en-US" w:bidi="ar-SA"/>
        </w:rPr>
        <w:t>) that the doctrine of interjurisdictional immunity does not apply except where the adverse impact of a law adopted by one level of government is such that the core competence of the other level of government (or the vital or essential part of an undertaking it duly constitutes) is placed in jeopardy. At para. 37 the Court again referred to the need to respect the ideal of co-operative federalism, stating: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"dominant tide" finds its principled underpinning in the concern that a court should favour, where possible, the ordinary operation of statutes enacted by </w:t>
      </w:r>
      <w:r>
        <w:rPr>
          <w:rFonts w:ascii="arial" w:eastAsia="arial" w:hAnsi="arial" w:cs="arial"/>
          <w:i/>
          <w:color w:val="000000"/>
          <w:sz w:val="20"/>
          <w:lang w:val="en-US" w:eastAsia="en-US" w:bidi="ar-SA"/>
        </w:rPr>
        <w:t>both</w:t>
      </w:r>
      <w:r>
        <w:rPr>
          <w:rFonts w:ascii="arial" w:eastAsia="arial" w:hAnsi="arial" w:cs="arial"/>
          <w:color w:val="000000"/>
          <w:sz w:val="20"/>
          <w:lang w:val="en-US" w:eastAsia="en-US" w:bidi="ar-SA"/>
        </w:rPr>
        <w:t xml:space="preserve"> levels of government. In the absence of conflicting enactments of the other level of government, the Court should avoid blocking the application of measures which are taken to be enacted in furtherance of the public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Underlining the point further at para. 42, the majority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Canadian federalism is not simply a matter of legalisms. The Constitution, though a legal document, serves as a framework for life and for political action within a federal state, in which the courts have rightly observed the importance of co-operation among government actors to ensure that federalism operates flexibly.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In summary, the majority stated (prescriptively) that interjurisdictional immunity should be applied with restraint, and (descriptively) that, with rare exceptions, it has been so applied.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Federal paramountcy may also come into play when provincial legislation has operational effects that are incompatible with federal legislation: in such cases, the federal legislation must prevail. At para. 70 in </w:t>
      </w:r>
      <w:r>
        <w:rPr>
          <w:rFonts w:ascii="arial" w:eastAsia="arial" w:hAnsi="arial" w:cs="arial"/>
          <w:b/>
          <w:i/>
          <w:color w:val="000000"/>
          <w:sz w:val="20"/>
          <w:lang w:val="en-US" w:eastAsia="en-US" w:bidi="ar-SA"/>
        </w:rPr>
        <w:t>Canadian Western Bank</w:t>
      </w:r>
      <w:r>
        <w:rPr>
          <w:rFonts w:ascii="arial" w:eastAsia="arial" w:hAnsi="arial" w:cs="arial"/>
          <w:color w:val="000000"/>
          <w:sz w:val="20"/>
          <w:lang w:val="en-US" w:eastAsia="en-US" w:bidi="ar-SA"/>
        </w:rPr>
        <w:t>, Binnie and LeBel JJ. observed that the main difficulty is in determining the degree of incompatibility needed to trigger the application of the doctrine.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The fundamental test for determining incompatibility was defined in </w:t>
      </w:r>
      <w:r>
        <w:rPr>
          <w:rFonts w:ascii="arial" w:eastAsia="arial" w:hAnsi="arial" w:cs="arial"/>
          <w:b/>
          <w:i/>
          <w:color w:val="000000"/>
          <w:sz w:val="20"/>
          <w:lang w:val="en-US" w:eastAsia="en-US" w:bidi="ar-SA"/>
        </w:rPr>
        <w:t>Multiple Access Ltd. v. McCutcheon</w:t>
      </w:r>
      <w:r>
        <w:rPr>
          <w:rFonts w:ascii="arial" w:eastAsia="arial" w:hAnsi="arial" w:cs="arial"/>
          <w:color w:val="000000"/>
          <w:sz w:val="20"/>
          <w:lang w:val="en-US" w:eastAsia="en-US" w:bidi="ar-SA"/>
        </w:rPr>
        <w:t xml:space="preserve">, </w:t>
      </w:r>
      <w:hyperlink r:id="rId687" w:history="1">
        <w:r>
          <w:rPr>
            <w:rFonts w:ascii="arial" w:eastAsia="arial" w:hAnsi="arial" w:cs="arial"/>
            <w:i/>
            <w:color w:val="0077CC"/>
            <w:sz w:val="20"/>
            <w:u w:val="single"/>
            <w:shd w:val="clear" w:color="auto" w:fill="FFFFFF"/>
            <w:lang w:val="en-US" w:eastAsia="en-US" w:bidi="ar-SA"/>
          </w:rPr>
          <w:t>[1982] 2 S.C.R. 161</w:t>
        </w:r>
      </w:hyperlink>
      <w:r>
        <w:rPr>
          <w:rFonts w:ascii="arial" w:eastAsia="arial" w:hAnsi="arial" w:cs="arial"/>
          <w:color w:val="000000"/>
          <w:sz w:val="20"/>
          <w:lang w:val="en-US" w:eastAsia="en-US" w:bidi="ar-SA"/>
        </w:rPr>
        <w:t xml:space="preserve">, </w:t>
      </w:r>
      <w:hyperlink r:id="rId687" w:history="1">
        <w:r>
          <w:rPr>
            <w:rFonts w:ascii="arial" w:eastAsia="arial" w:hAnsi="arial" w:cs="arial"/>
            <w:i/>
            <w:color w:val="0077CC"/>
            <w:sz w:val="20"/>
            <w:u w:val="single"/>
            <w:shd w:val="clear" w:color="auto" w:fill="FFFFFF"/>
            <w:lang w:val="en-US" w:eastAsia="en-US" w:bidi="ar-SA"/>
          </w:rPr>
          <w:t>138 D.L.R. (3d) 1</w:t>
        </w:r>
      </w:hyperlink>
      <w:r>
        <w:rPr>
          <w:rFonts w:ascii="arial" w:eastAsia="arial" w:hAnsi="arial" w:cs="arial"/>
          <w:color w:val="000000"/>
          <w:sz w:val="20"/>
          <w:lang w:val="en-US" w:eastAsia="en-US" w:bidi="ar-SA"/>
        </w:rPr>
        <w:t>, where Dickson J. wrote at 191: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principle, there would seem to be no good reasons to speak of paramountcy and preclusion except where there is actual conflict in operation as where one enactment says "yes" and the other says "no"; "the same citizens are being told to do inconsistent things"; compliance with one is defiance of the 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However, in addition there will be cases in which the purpose of a federal law would in effect be frustrated by the imposition of an obligation to comply with provincial legislation, even though such compliance would not entail a direct violation of the federal law's provisions (</w:t>
      </w:r>
      <w:r>
        <w:rPr>
          <w:rFonts w:ascii="arial" w:eastAsia="arial" w:hAnsi="arial" w:cs="arial"/>
          <w:b/>
          <w:i/>
          <w:color w:val="000000"/>
          <w:sz w:val="20"/>
          <w:lang w:val="en-US" w:eastAsia="en-US" w:bidi="ar-SA"/>
        </w:rPr>
        <w:t>Canadian Western Bank</w:t>
      </w:r>
      <w:r>
        <w:rPr>
          <w:rFonts w:ascii="arial" w:eastAsia="arial" w:hAnsi="arial" w:cs="arial"/>
          <w:color w:val="000000"/>
          <w:sz w:val="20"/>
          <w:lang w:val="en-US" w:eastAsia="en-US" w:bidi="ar-SA"/>
        </w:rPr>
        <w:t xml:space="preserve"> at para. 73). Thus, in summary (at para. 75):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onus is on the party relying on the doctrine of federal paramountcy to demonstrate that the federal and provincial laws are in fact incompatible by establishing either that it is impossible to comply with both laws or that to apply the provincial law would frustrate the purpose of the federal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With respect to the relationship between interjurisdictional immunity and paramountcy, the majority had this to say at paras. 77-78: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Although our colleague Bastarache J. takes a different view on this point, we do not think it appropriate to </w:t>
      </w:r>
      <w:r>
        <w:rPr>
          <w:rFonts w:ascii="arial" w:eastAsia="arial" w:hAnsi="arial" w:cs="arial"/>
          <w:i/>
          <w:color w:val="000000"/>
          <w:sz w:val="20"/>
          <w:lang w:val="en-US" w:eastAsia="en-US" w:bidi="ar-SA"/>
        </w:rPr>
        <w:t>always</w:t>
      </w:r>
      <w:r>
        <w:rPr>
          <w:rFonts w:ascii="arial" w:eastAsia="arial" w:hAnsi="arial" w:cs="arial"/>
          <w:color w:val="000000"/>
          <w:sz w:val="20"/>
          <w:lang w:val="en-US" w:eastAsia="en-US" w:bidi="ar-SA"/>
        </w:rPr>
        <w:t xml:space="preserve"> begin by considering the doctrine of interjurisdictional immunity. To do so could mire the Court in a rather abstract discussion of "cores" and "vital and essential" parts to little practical effect. As we have already noted, interjurisdictional immunity is of limited application and should in general be reserved for situations already covered by precedent. This means, in practice, that it will be largely reserved for those heads of power that deal with federal things, persons or undertakings, or where in the past its application has been considered absolutely indispensable or necessary to enable Parliament or a provincial legislature to achieve the purpose for which exclusive legislative jurisdiction was conferred, as discerned from the constitutional division of powers as a whole, or what is absolutely indispensable or necessary to enable an undertaking to carry out its mandate in what makes it specifically of federal (or provincial) jurisdiction. If a case can be resolved by the application of a pith and substance analysis, and federal paramountcy where necessary, it would be preferable to take that approach, as this Court did in </w:t>
      </w:r>
      <w:r>
        <w:rPr>
          <w:rFonts w:ascii="arial" w:eastAsia="arial" w:hAnsi="arial" w:cs="arial"/>
          <w:i/>
          <w:color w:val="000000"/>
          <w:sz w:val="20"/>
          <w:lang w:val="en-US" w:eastAsia="en-US" w:bidi="ar-SA"/>
        </w:rPr>
        <w:t>Mangat</w:t>
      </w:r>
      <w:r>
        <w:rPr>
          <w:rFonts w:ascii="arial" w:eastAsia="arial" w:hAnsi="arial" w:cs="arial"/>
          <w:color w:val="000000"/>
          <w:sz w:val="20"/>
          <w:lang w:val="en-US" w:eastAsia="en-US" w:bidi="ar-SA"/>
        </w:rPr>
        <w:t xml:space="preserve">, </w:t>
      </w:r>
      <w:hyperlink r:id="rId688" w:history="1">
        <w:r>
          <w:rPr>
            <w:rFonts w:ascii="arial" w:eastAsia="arial" w:hAnsi="arial" w:cs="arial"/>
            <w:i/>
            <w:color w:val="0077CC"/>
            <w:sz w:val="20"/>
            <w:u w:val="single"/>
            <w:shd w:val="clear" w:color="auto" w:fill="FFFFFF"/>
            <w:lang w:val="en-US" w:eastAsia="en-US" w:bidi="ar-SA"/>
          </w:rPr>
          <w:t>[2001] 3 S.C.R. 113</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result, while in theory a consideration of interjurisdictional immunity is apt for consideration after the pith and substance analysis, in practice the absence of prior case law favouring its application to the subject matter at hand will generally justify a court proceeding directly to the consideration of federal paramountcy.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The dispute in </w:t>
      </w:r>
      <w:r>
        <w:rPr>
          <w:rFonts w:ascii="arial" w:eastAsia="arial" w:hAnsi="arial" w:cs="arial"/>
          <w:b/>
          <w:i/>
          <w:color w:val="000000"/>
          <w:sz w:val="20"/>
          <w:lang w:val="en-US" w:eastAsia="en-US" w:bidi="ar-SA"/>
        </w:rPr>
        <w:t>Canadian Western Bank</w:t>
      </w:r>
      <w:r>
        <w:rPr>
          <w:rFonts w:ascii="arial" w:eastAsia="arial" w:hAnsi="arial" w:cs="arial"/>
          <w:color w:val="000000"/>
          <w:sz w:val="20"/>
          <w:lang w:val="en-US" w:eastAsia="en-US" w:bidi="ar-SA"/>
        </w:rPr>
        <w:t xml:space="preserve"> was about the extent to which banks, as federally regulated financial institutions, were required to comply with provincial laws regulating the promotion and sale of insurance. It was not a dispute between the federal government and the Province of Alberta; rather, the banks were "independently making the claim to carry on their insurance activities in Alberta free of the insurance regulations imposed on all other promoters and vendors of insurance products in the province" (at para. 20). The Court concluded that the pith and substance of the legislation related to property and civil rights in the province under s. 92(13) of the </w:t>
      </w:r>
      <w:r>
        <w:rPr>
          <w:rFonts w:ascii="arial" w:eastAsia="arial" w:hAnsi="arial" w:cs="arial"/>
          <w:b/>
          <w:i/>
          <w:color w:val="000000"/>
          <w:sz w:val="20"/>
          <w:lang w:val="en-US" w:eastAsia="en-US" w:bidi="ar-SA"/>
        </w:rPr>
        <w:t>Constitution Act, 1867</w:t>
      </w:r>
      <w:r>
        <w:rPr>
          <w:rFonts w:ascii="arial" w:eastAsia="arial" w:hAnsi="arial" w:cs="arial"/>
          <w:color w:val="000000"/>
          <w:sz w:val="20"/>
          <w:lang w:val="en-US" w:eastAsia="en-US" w:bidi="ar-SA"/>
        </w:rPr>
        <w:t>, that the banks had not demonstrated that credit-related insurance is part of the basic, minimum and unassailable content of the banking power such that the provincial legislation could not apply due to interjurisdictional immunity; and further, that federal paramountcy was inapplicable because neither operational incompatibility nor the frustration of federal purpose had been made out. The provincial legislation was upheld.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Lafarge</w:t>
      </w:r>
      <w:r>
        <w:rPr>
          <w:rFonts w:ascii="arial" w:eastAsia="arial" w:hAnsi="arial" w:cs="arial"/>
          <w:color w:val="000000"/>
          <w:sz w:val="20"/>
          <w:lang w:val="en-US" w:eastAsia="en-US" w:bidi="ar-SA"/>
        </w:rPr>
        <w:t>, the Court was concerned with a proposal by Lafarge Canada Inc. to build an "integrated" ship offloading/concrete batching facility in the Vancouver harbour. The Vancouver Port Authority ("VPA") and the City of Vancouver (which proposed certain modifications) approved the project in principle. A ratepayers association opposed it, arguing that the VPA was without jurisdiction to approve the project and that the City ought to have insisted that Lafarge obtain a City development permit. The Attorney General of British Columbia supported the ratepayers' position in the Supreme Court of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Binnie and LeBel JJ., for the majority, stated (at para 35):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law favours unified regulation of integrated facilities. Insistence on bright jurisdictional lines within what the City and the VPA considered to be a continuous transportation-based project would encourage regulatory conflict and dampen entrepreneurial activity in the port area that both the City and the VPA agree would comply with good planning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They further commented that governments must cooperate to implement transportation infrastructure, adding that such cooperation is not unconstitutional, it is essential (at para. 38). They said that such cooperation was mirrored in the 1998 protocol (Charter) between the City of Vancouver and the VPA, and in their respective land-use plans.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With respect to the doctrine of interjurisdictional immunity, the Court majority said that it is an exception to the ordinary rule, under which legislation whose pith and substance falls within the jurisdiction of the legislature that enacted it may (at least to a certain extent) affect matters beyond that jurisdiction without necessarily being unconstitutional (at para. 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The majority observed that historically, the federal navigation and shipping power has been broadly construed and that the transportation needs of the country cannot be allowed to be hobbled by local interests (at para. 64). Further, "a matter otherwise subject to provincial jurisdiction may be brought within federal jurisdiction if it is 'closely integrated' with shipping and navigation" (at para. 66), referring to </w:t>
      </w:r>
      <w:r>
        <w:rPr>
          <w:rFonts w:ascii="arial" w:eastAsia="arial" w:hAnsi="arial" w:cs="arial"/>
          <w:b/>
          <w:i/>
          <w:color w:val="000000"/>
          <w:sz w:val="20"/>
          <w:lang w:val="en-US" w:eastAsia="en-US" w:bidi="ar-SA"/>
        </w:rPr>
        <w:t>Monk Corp. v. Island Fertilizer Ltd.</w:t>
      </w:r>
      <w:r>
        <w:rPr>
          <w:rFonts w:ascii="arial" w:eastAsia="arial" w:hAnsi="arial" w:cs="arial"/>
          <w:color w:val="000000"/>
          <w:sz w:val="20"/>
          <w:lang w:val="en-US" w:eastAsia="en-US" w:bidi="ar-SA"/>
        </w:rPr>
        <w:t xml:space="preserve">, </w:t>
      </w:r>
      <w:hyperlink r:id="rId689" w:history="1">
        <w:r>
          <w:rPr>
            <w:rFonts w:ascii="arial" w:eastAsia="arial" w:hAnsi="arial" w:cs="arial"/>
            <w:i/>
            <w:color w:val="0077CC"/>
            <w:sz w:val="20"/>
            <w:u w:val="single"/>
            <w:shd w:val="clear" w:color="auto" w:fill="FFFFFF"/>
            <w:lang w:val="en-US" w:eastAsia="en-US" w:bidi="ar-SA"/>
          </w:rPr>
          <w:t>[1991] 1 S.C.R. 779</w:t>
        </w:r>
      </w:hyperlink>
      <w:r>
        <w:rPr>
          <w:rFonts w:ascii="arial" w:eastAsia="arial" w:hAnsi="arial" w:cs="arial"/>
          <w:color w:val="000000"/>
          <w:sz w:val="20"/>
          <w:lang w:val="en-US" w:eastAsia="en-US" w:bidi="ar-SA"/>
        </w:rPr>
        <w:t xml:space="preserve">, </w:t>
      </w:r>
      <w:hyperlink r:id="rId689" w:history="1">
        <w:r>
          <w:rPr>
            <w:rFonts w:ascii="arial" w:eastAsia="arial" w:hAnsi="arial" w:cs="arial"/>
            <w:i/>
            <w:color w:val="0077CC"/>
            <w:sz w:val="20"/>
            <w:u w:val="single"/>
            <w:shd w:val="clear" w:color="auto" w:fill="FFFFFF"/>
            <w:lang w:val="en-US" w:eastAsia="en-US" w:bidi="ar-SA"/>
          </w:rPr>
          <w:t>80 D.L.R. (4th) 58</w:t>
        </w:r>
      </w:hyperlink>
      <w:r>
        <w:rPr>
          <w:rFonts w:ascii="arial" w:eastAsia="arial" w:hAnsi="arial" w:cs="arial"/>
          <w:color w:val="000000"/>
          <w:sz w:val="20"/>
          <w:lang w:val="en-US" w:eastAsia="en-US" w:bidi="ar-SA"/>
        </w:rPr>
        <w:t xml:space="preserve"> (claims for money owed for excess product, demurrage, etc. were maritime matters within federal competence) and </w:t>
      </w:r>
      <w:r>
        <w:rPr>
          <w:rFonts w:ascii="arial" w:eastAsia="arial" w:hAnsi="arial" w:cs="arial"/>
          <w:b/>
          <w:i/>
          <w:color w:val="000000"/>
          <w:sz w:val="20"/>
          <w:lang w:val="en-US" w:eastAsia="en-US" w:bidi="ar-SA"/>
        </w:rPr>
        <w:t>Whitbread v. Walley</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CSA</w:t>
      </w:r>
      <w:r>
        <w:rPr>
          <w:rFonts w:ascii="arial" w:eastAsia="arial" w:hAnsi="arial" w:cs="arial"/>
          <w:color w:val="000000"/>
          <w:sz w:val="20"/>
          <w:lang w:val="en-US" w:eastAsia="en-US" w:bidi="ar-SA"/>
        </w:rPr>
        <w:t xml:space="preserve"> provisions applied to pleasure craft, not only commercial ships).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Nevertheless, there are limits. The Court held that federal undertakings such as the VPA are not, on that account, wholly exempt from valid provincial laws of general application that in their operation do not "bear upon those subjects in what makes them specifically of federal jurisdiction" (at para. 64). The Court concluded that the land-use jurisdiction asserted by VPA, while valid, does not attract interjurisdictional immunity (at para. 72).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 majority held, however, that federal paramountcy precluded the municipal law from applying. Although both the federal law and the provincial (municipal) law were valid, the whole of the Lafarge project on the VPA's land was sufficiently integrated into the ship/barge unloading facility to make federal regulation applicable to all aspects of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The Attorneys General argued that there was no operational conflict because Lafarge could apply for and obtain building permits from both the VPA and the City. Binnie and LeBel JJ. stated at para. 75: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But that argument overlooks the fact that the Lafarge project in its present form does not comply with the City's By-law. The By-law imposes a 30-foot height restriction. It would be within the City's discretion to waive the height limit up to 100 feet, but that would impose the condition precedent of an exercise of a discretion by the City to approve a project that has already been approved by the VPA. This would create an operational conflict that would flout the federal purpose, by depriving the VPA of its final decisional authority on the development of the port, in respect of matters which fall within the legislative authority of Parliament.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majority held that the laws were incapable of simultaneous enforcement because, if the ratepayers had succeeded in persuading the City to seek an injunction to stop the Lafarge project from going ahead without a city permit, the judge could not have given effect both to the federal law (which would have led to a dismissal of the application) and the municipal law (which would have led to the granting of an injunction).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Further, said the majority, such an application of the relevant municipal standards would frustrate the federal purpose, which was to give the VPA final say in respect of all matters falling within valid federal jurisdiction, in case of conflict.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xml:space="preserve">  Echoing its comments in </w:t>
      </w:r>
      <w:r>
        <w:rPr>
          <w:rFonts w:ascii="arial" w:eastAsia="arial" w:hAnsi="arial" w:cs="arial"/>
          <w:b/>
          <w:i/>
          <w:color w:val="000000"/>
          <w:sz w:val="20"/>
          <w:lang w:val="en-US" w:eastAsia="en-US" w:bidi="ar-SA"/>
        </w:rPr>
        <w:t>Canadian Western Bank</w:t>
      </w:r>
      <w:r>
        <w:rPr>
          <w:rFonts w:ascii="arial" w:eastAsia="arial" w:hAnsi="arial" w:cs="arial"/>
          <w:color w:val="000000"/>
          <w:sz w:val="20"/>
          <w:lang w:val="en-US" w:eastAsia="en-US" w:bidi="ar-SA"/>
        </w:rPr>
        <w:t>, the majority said that courts should not be astute to find ways to frustrate rather than facilitate federal-provincial cooperation if this can be done within the rules laid down by the Constitution (at para. 86). Though consent cannot confer jurisdiction where none exists, "...the project was found by those most closely concerned in the planning exercise to be sufficiently integrated in the marine offloading and storage operation to be dealt with through federal rather than municipal procedures", and the Court concluded that no reason had been shown for it to interfere (at para. 88).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Ordon Estate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Both the plaintiff and the petitioners place considerable emphasis on </w:t>
      </w:r>
      <w:r>
        <w:rPr>
          <w:rFonts w:ascii="arial" w:eastAsia="arial" w:hAnsi="arial" w:cs="arial"/>
          <w:b/>
          <w:i/>
          <w:color w:val="000000"/>
          <w:sz w:val="20"/>
          <w:lang w:val="en-US" w:eastAsia="en-US" w:bidi="ar-SA"/>
        </w:rPr>
        <w:t>Ordon Estate</w:t>
      </w:r>
      <w:r>
        <w:rPr>
          <w:rFonts w:ascii="arial" w:eastAsia="arial" w:hAnsi="arial" w:cs="arial"/>
          <w:color w:val="000000"/>
          <w:sz w:val="20"/>
          <w:lang w:val="en-US" w:eastAsia="en-US" w:bidi="ar-SA"/>
        </w:rPr>
        <w:t xml:space="preserve">. The issue in that case was whether provincial statutes governing aspects of tort law (for example,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applied in cases of boating accidents on lakes within a province. The Supreme Court of Canada stated (at para. 68) that recent maritime law jurisprudence makes clear that Canadian maritime law is a body of federal law, uniform across the country, within which there is no room for the application of provincial statutes. Iacobucci and Major JJ., for the Court, described a "reorientation" in the Court's maritime law jurisprudence, establishing a number of themes and principles, as follows (at para. 71):</w:t>
      </w:r>
      <w:r>
        <w:rPr>
          <w:rFonts w:ascii="arial" w:eastAsia="arial" w:hAnsi="arial" w:cs="arial"/>
          <w:sz w:val="20"/>
          <w:lang w:val="en-US" w:eastAsia="en-US" w:bidi="ar-SA"/>
        </w:rPr>
        <w:cr/>
      </w:r>
    </w:p>
    <w:p>
      <w:pPr>
        <w:numPr>
          <w:numId w:val="4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"Canadian maritime law" as defined in s. 2 of the </w:t>
      </w:r>
      <w:r>
        <w:rPr>
          <w:rFonts w:ascii="arial" w:eastAsia="arial" w:hAnsi="arial" w:cs="arial"/>
          <w:i/>
          <w:color w:val="000000"/>
          <w:sz w:val="20"/>
          <w:lang w:val="en-US" w:eastAsia="en-US" w:bidi="ar-SA"/>
        </w:rPr>
        <w:t>Federal Court Act</w:t>
      </w:r>
      <w:r>
        <w:rPr>
          <w:rFonts w:ascii="arial" w:eastAsia="arial" w:hAnsi="arial" w:cs="arial"/>
          <w:color w:val="000000"/>
          <w:sz w:val="20"/>
          <w:lang w:val="en-US" w:eastAsia="en-US" w:bidi="ar-SA"/>
        </w:rPr>
        <w:t xml:space="preserve"> is a </w:t>
      </w:r>
      <w:r>
        <w:rPr>
          <w:rFonts w:ascii="arial" w:eastAsia="arial" w:hAnsi="arial" w:cs="arial"/>
          <w:color w:val="000000"/>
          <w:sz w:val="20"/>
          <w:u w:val="single"/>
          <w:lang w:val="en-US" w:eastAsia="en-US" w:bidi="ar-SA"/>
        </w:rPr>
        <w:t>comprehensive body of federal law</w:t>
      </w:r>
      <w:r>
        <w:rPr>
          <w:rFonts w:ascii="arial" w:eastAsia="arial" w:hAnsi="arial" w:cs="arial"/>
          <w:color w:val="000000"/>
          <w:sz w:val="20"/>
          <w:lang w:val="en-US" w:eastAsia="en-US" w:bidi="ar-SA"/>
        </w:rPr>
        <w:t xml:space="preserve"> dealing with all claims in respect of maritime and admiralty matters. The scope of Canadian maritime law is not limited by the scope of English admiralty law at the time of its adoption into Canadian law in 1934. Rather, the word "maritime" is to be interpreted within the modern context of commerce and shipping, and </w:t>
      </w:r>
      <w:r>
        <w:rPr>
          <w:rFonts w:ascii="arial" w:eastAsia="arial" w:hAnsi="arial" w:cs="arial"/>
          <w:color w:val="000000"/>
          <w:sz w:val="20"/>
          <w:u w:val="single"/>
          <w:lang w:val="en-US" w:eastAsia="en-US" w:bidi="ar-SA"/>
        </w:rPr>
        <w:t xml:space="preserve">the ambit of Canadian maritime law should be considered limited only by the constitutional division of powers in the </w:t>
      </w:r>
      <w:r>
        <w:rPr>
          <w:rFonts w:ascii="arial" w:eastAsia="arial" w:hAnsi="arial" w:cs="arial"/>
          <w:i/>
          <w:color w:val="000000"/>
          <w:sz w:val="20"/>
          <w:u w:val="single"/>
          <w:lang w:val="en-US" w:eastAsia="en-US" w:bidi="ar-SA"/>
        </w:rPr>
        <w:t>Constitution Act, 1867</w:t>
      </w:r>
      <w:r>
        <w:rPr>
          <w:rFonts w:ascii="arial" w:eastAsia="arial" w:hAnsi="arial" w:cs="arial"/>
          <w:color w:val="000000"/>
          <w:sz w:val="20"/>
          <w:u w:val="single"/>
          <w:lang w:val="en-US" w:eastAsia="en-US" w:bidi="ar-SA"/>
        </w:rPr>
        <w:t>. The test for determining whether a subject matter under consideration is within maritime law requires a finding that the subject matter is so integrally connected to maritime matters as to be legitimate Canadian maritime law within federal competence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ITO</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p. 774; </w:t>
      </w:r>
      <w:r>
        <w:rPr>
          <w:rFonts w:ascii="arial" w:eastAsia="arial" w:hAnsi="arial" w:cs="arial"/>
          <w:i/>
          <w:color w:val="000000"/>
          <w:sz w:val="20"/>
          <w:lang w:val="en-US" w:eastAsia="en-US" w:bidi="ar-SA"/>
        </w:rPr>
        <w:t>Monk Corp.</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at p. 795.</w:t>
      </w:r>
    </w:p>
    <w:p>
      <w:pPr>
        <w:numPr>
          <w:numId w:val="4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Canadian maritime law is uniform throughout Canada, and it is not the law of any province of Canada. All of its principles constitute federal law and not an incidental application of provincial law</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ITO</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pp. 779, 782; </w:t>
      </w:r>
      <w:r>
        <w:rPr>
          <w:rFonts w:ascii="arial" w:eastAsia="arial" w:hAnsi="arial" w:cs="arial"/>
          <w:i/>
          <w:color w:val="000000"/>
          <w:sz w:val="20"/>
          <w:lang w:val="en-US" w:eastAsia="en-US" w:bidi="ar-SA"/>
        </w:rPr>
        <w:t>Chartwell</w:t>
      </w:r>
      <w:r>
        <w:rPr>
          <w:rFonts w:ascii="arial" w:eastAsia="arial" w:hAnsi="arial" w:cs="arial"/>
          <w:color w:val="000000"/>
          <w:sz w:val="20"/>
          <w:lang w:val="en-US" w:eastAsia="en-US" w:bidi="ar-SA"/>
        </w:rPr>
        <w:t xml:space="preserve">, </w:t>
      </w:r>
      <w:hyperlink r:id="rId690" w:history="1">
        <w:r>
          <w:rPr>
            <w:rFonts w:ascii="arial" w:eastAsia="arial" w:hAnsi="arial" w:cs="arial"/>
            <w:i/>
            <w:color w:val="0077CC"/>
            <w:sz w:val="20"/>
            <w:u w:val="single"/>
            <w:shd w:val="clear" w:color="auto" w:fill="FFFFFF"/>
            <w:lang w:val="en-US" w:eastAsia="en-US" w:bidi="ar-SA"/>
          </w:rPr>
          <w:t>[1989] 2 S.C.R. 683</w:t>
        </w:r>
      </w:hyperlink>
      <w:r>
        <w:rPr>
          <w:rFonts w:ascii="arial" w:eastAsia="arial" w:hAnsi="arial" w:cs="arial"/>
          <w:color w:val="000000"/>
          <w:sz w:val="20"/>
          <w:lang w:val="en-US" w:eastAsia="en-US" w:bidi="ar-SA"/>
        </w:rPr>
        <w:t>, at p. 696.</w:t>
      </w:r>
    </w:p>
    <w:p>
      <w:pPr>
        <w:numPr>
          <w:numId w:val="4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The substantive content of Canadian maritime law is to be determined by reference to its heritage</w:t>
      </w:r>
      <w:r>
        <w:rPr>
          <w:rFonts w:ascii="arial" w:eastAsia="arial" w:hAnsi="arial" w:cs="arial"/>
          <w:color w:val="000000"/>
          <w:sz w:val="20"/>
          <w:lang w:val="en-US" w:eastAsia="en-US" w:bidi="ar-SA"/>
        </w:rPr>
        <w:t xml:space="preserve">. It includes, but is not limited to, the body of law administered in England by the High Court on its Admiralty side in 1934, as that body of law has been amended by the Canadian Parliament and as it has developed by judicial precedent to date: </w:t>
      </w:r>
      <w:r>
        <w:rPr>
          <w:rFonts w:ascii="arial" w:eastAsia="arial" w:hAnsi="arial" w:cs="arial"/>
          <w:i/>
          <w:color w:val="000000"/>
          <w:sz w:val="20"/>
          <w:lang w:val="en-US" w:eastAsia="en-US" w:bidi="ar-SA"/>
        </w:rPr>
        <w:t>ITO</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pp. 771, 776; </w:t>
      </w:r>
      <w:r>
        <w:rPr>
          <w:rFonts w:ascii="arial" w:eastAsia="arial" w:hAnsi="arial" w:cs="arial"/>
          <w:i/>
          <w:color w:val="000000"/>
          <w:sz w:val="20"/>
          <w:lang w:val="en-US" w:eastAsia="en-US" w:bidi="ar-SA"/>
        </w:rPr>
        <w:t>Chartwell</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at pp. 695-96.</w:t>
      </w:r>
    </w:p>
    <w:p>
      <w:pPr>
        <w:numPr>
          <w:numId w:val="4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English admiralty law as incorporated into Canadian law in 1934 was an amalgam of principles deriving in large part from both the common law and the civilian tradition. It was composed of both the specialized rules and principles of admiralty, and the rules and principles adopted from the common law and applied in admiralty cases. </w:t>
      </w:r>
      <w:r>
        <w:rPr>
          <w:rFonts w:ascii="arial" w:eastAsia="arial" w:hAnsi="arial" w:cs="arial"/>
          <w:color w:val="000000"/>
          <w:sz w:val="20"/>
          <w:u w:val="single"/>
          <w:lang w:val="en-US" w:eastAsia="en-US" w:bidi="ar-SA"/>
        </w:rPr>
        <w:t>Although most of Canadian maritime law with respect to issues of tort, contract, agency and bailment is founded upon the English common law, there are issues specific to maritime law where reference may fruitfully be made to the experience of other countries and specifically, because of the genesis of admiralty jurisdiction, to civilian experience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ITO</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p. 776; </w:t>
      </w:r>
      <w:r>
        <w:rPr>
          <w:rFonts w:ascii="arial" w:eastAsia="arial" w:hAnsi="arial" w:cs="arial"/>
          <w:i/>
          <w:color w:val="000000"/>
          <w:sz w:val="20"/>
          <w:lang w:val="en-US" w:eastAsia="en-US" w:bidi="ar-SA"/>
        </w:rPr>
        <w:t>Chartwell</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at pp. 695-97.</w:t>
      </w:r>
    </w:p>
    <w:p>
      <w:pPr>
        <w:numPr>
          <w:numId w:val="4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The nature of navigation and shipping activities as they are practised in Canada makes a uniform maritime law a practical necessity. Much of maritime law is the product of international conventions, and the legal rights and obligations of those engaged in navigation and shipping should not arbitrarily change according to jurisdiction.</w:t>
      </w:r>
      <w:r>
        <w:rPr>
          <w:rFonts w:ascii="arial" w:eastAsia="arial" w:hAnsi="arial" w:cs="arial"/>
          <w:color w:val="000000"/>
          <w:sz w:val="20"/>
          <w:lang w:val="en-US" w:eastAsia="en-US" w:bidi="ar-SA"/>
        </w:rPr>
        <w:t xml:space="preserve"> The need for legal uniformity is particularly pressing in the area of tortious liability for collisions and other accidents that occur in the course of navigation: </w:t>
      </w:r>
      <w:r>
        <w:rPr>
          <w:rFonts w:ascii="arial" w:eastAsia="arial" w:hAnsi="arial" w:cs="arial"/>
          <w:i/>
          <w:color w:val="000000"/>
          <w:sz w:val="20"/>
          <w:lang w:val="en-US" w:eastAsia="en-US" w:bidi="ar-SA"/>
        </w:rPr>
        <w:t>Whitbread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pp. 1294-95; </w:t>
      </w:r>
      <w:r>
        <w:rPr>
          <w:rFonts w:ascii="arial" w:eastAsia="arial" w:hAnsi="arial" w:cs="arial"/>
          <w:i/>
          <w:color w:val="000000"/>
          <w:sz w:val="20"/>
          <w:lang w:val="en-US" w:eastAsia="en-US" w:bidi="ar-SA"/>
        </w:rPr>
        <w:t>Bow Valley Husky</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at pp. 1259-60.</w:t>
      </w:r>
    </w:p>
    <w:p>
      <w:pPr>
        <w:numPr>
          <w:numId w:val="4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In those instances where Parliament has not passed legislation dealing with a maritime matter, the inherited non-statutory principles embodied in Canadian maritime law as developed by Canadian courts remain applicable, and resort should be had to these principles before considering whether to apply provincial law to resolve an issue in a maritime action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ITO</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pp. 781-82; </w:t>
      </w:r>
      <w:r>
        <w:rPr>
          <w:rFonts w:ascii="arial" w:eastAsia="arial" w:hAnsi="arial" w:cs="arial"/>
          <w:i/>
          <w:color w:val="000000"/>
          <w:sz w:val="20"/>
          <w:lang w:val="en-US" w:eastAsia="en-US" w:bidi="ar-SA"/>
        </w:rPr>
        <w:t>Bow Valley Husky</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at p. 1260.</w:t>
      </w:r>
    </w:p>
    <w:p>
      <w:pPr>
        <w:numPr>
          <w:numId w:val="4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Canadian maritime law is not static or frozen. The general principles established by this Court with respect to judicial reform of the law apply to the reform of Canadian maritime law</w:t>
      </w:r>
      <w:r>
        <w:rPr>
          <w:rFonts w:ascii="arial" w:eastAsia="arial" w:hAnsi="arial" w:cs="arial"/>
          <w:color w:val="000000"/>
          <w:sz w:val="20"/>
          <w:lang w:val="en-US" w:eastAsia="en-US" w:bidi="ar-SA"/>
        </w:rPr>
        <w:t xml:space="preserve">, allowing development in the law where the appropriate criteria are met: </w:t>
      </w:r>
      <w:r>
        <w:rPr>
          <w:rFonts w:ascii="arial" w:eastAsia="arial" w:hAnsi="arial" w:cs="arial"/>
          <w:i/>
          <w:color w:val="000000"/>
          <w:sz w:val="20"/>
          <w:lang w:val="en-US" w:eastAsia="en-US" w:bidi="ar-SA"/>
        </w:rPr>
        <w:t>ITO</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p. 774; </w:t>
      </w:r>
      <w:r>
        <w:rPr>
          <w:rFonts w:ascii="arial" w:eastAsia="arial" w:hAnsi="arial" w:cs="arial"/>
          <w:i/>
          <w:color w:val="000000"/>
          <w:sz w:val="20"/>
          <w:lang w:val="en-US" w:eastAsia="en-US" w:bidi="ar-SA"/>
        </w:rPr>
        <w:t>Bow Valley Husky</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pp. 1261-68; </w:t>
      </w:r>
      <w:r>
        <w:rPr>
          <w:rFonts w:ascii="arial" w:eastAsia="arial" w:hAnsi="arial" w:cs="arial"/>
          <w:i/>
          <w:color w:val="000000"/>
          <w:sz w:val="20"/>
          <w:lang w:val="en-US" w:eastAsia="en-US" w:bidi="ar-SA"/>
        </w:rPr>
        <w:t>Porto Seguro</w:t>
      </w:r>
      <w:r>
        <w:rPr>
          <w:rFonts w:ascii="arial" w:eastAsia="arial" w:hAnsi="arial" w:cs="arial"/>
          <w:color w:val="000000"/>
          <w:sz w:val="20"/>
          <w:lang w:val="en-US" w:eastAsia="en-US" w:bidi="ar-SA"/>
        </w:rPr>
        <w:t xml:space="preserve">, </w:t>
      </w:r>
      <w:hyperlink r:id="rId691" w:history="1">
        <w:r>
          <w:rPr>
            <w:rFonts w:ascii="arial" w:eastAsia="arial" w:hAnsi="arial" w:cs="arial"/>
            <w:i/>
            <w:color w:val="0077CC"/>
            <w:sz w:val="20"/>
            <w:u w:val="single"/>
            <w:shd w:val="clear" w:color="auto" w:fill="FFFFFF"/>
            <w:lang w:val="en-US" w:eastAsia="en-US" w:bidi="ar-SA"/>
          </w:rPr>
          <w:t>[1997] 3 S.C.R. 1278</w:t>
        </w:r>
      </w:hyperlink>
      <w:r>
        <w:rPr>
          <w:rFonts w:ascii="arial" w:eastAsia="arial" w:hAnsi="arial" w:cs="arial"/>
          <w:color w:val="000000"/>
          <w:sz w:val="20"/>
          <w:lang w:val="en-US" w:eastAsia="en-US" w:bidi="ar-SA"/>
        </w:rPr>
        <w:t>, at pp. 1292-1300.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The Court, referring to </w:t>
      </w:r>
      <w:r>
        <w:rPr>
          <w:rFonts w:ascii="arial" w:eastAsia="arial" w:hAnsi="arial" w:cs="arial"/>
          <w:b/>
          <w:i/>
          <w:color w:val="000000"/>
          <w:sz w:val="20"/>
          <w:lang w:val="en-US" w:eastAsia="en-US" w:bidi="ar-SA"/>
        </w:rPr>
        <w:t>Bell Canada (1988)</w:t>
      </w:r>
      <w:r>
        <w:rPr>
          <w:rFonts w:ascii="arial" w:eastAsia="arial" w:hAnsi="arial" w:cs="arial"/>
          <w:color w:val="000000"/>
          <w:sz w:val="20"/>
          <w:lang w:val="en-US" w:eastAsia="en-US" w:bidi="ar-SA"/>
        </w:rPr>
        <w:t xml:space="preserve">, held that maritime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law is a core element of Parliament's jurisdiction over maritime law and that where the application of a provincial statute of general application would have the effect of regulating indirectly an issue of maritime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law, that is an intrusion upon the unassailable core of federal maritime law and constitutionally impermissible. It stated (at paras. 84-86) that similar principles are very likely applicable with respect to provincial statutes in other maritime law contexts.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xml:space="preserve">  In general, the scope of "navigation and shipping" under s. 91(10) of the </w:t>
      </w:r>
      <w:r>
        <w:rPr>
          <w:rFonts w:ascii="arial" w:eastAsia="arial" w:hAnsi="arial" w:cs="arial"/>
          <w:b/>
          <w:i/>
          <w:color w:val="000000"/>
          <w:sz w:val="20"/>
          <w:lang w:val="en-US" w:eastAsia="en-US" w:bidi="ar-SA"/>
        </w:rPr>
        <w:t>Constitution Act, 1867</w:t>
      </w:r>
      <w:r>
        <w:rPr>
          <w:rFonts w:ascii="arial" w:eastAsia="arial" w:hAnsi="arial" w:cs="arial"/>
          <w:color w:val="000000"/>
          <w:sz w:val="20"/>
          <w:lang w:val="en-US" w:eastAsia="en-US" w:bidi="ar-SA"/>
        </w:rPr>
        <w:t xml:space="preserve"> is to be broadly interpreted: </w:t>
      </w:r>
      <w:r>
        <w:rPr>
          <w:rFonts w:ascii="arial" w:eastAsia="arial" w:hAnsi="arial" w:cs="arial"/>
          <w:b/>
          <w:i/>
          <w:color w:val="000000"/>
          <w:sz w:val="20"/>
          <w:lang w:val="en-US" w:eastAsia="en-US" w:bidi="ar-SA"/>
        </w:rPr>
        <w:t>Whitbread v. Walley</w:t>
      </w:r>
      <w:r>
        <w:rPr>
          <w:rFonts w:ascii="arial" w:eastAsia="arial" w:hAnsi="arial" w:cs="arial"/>
          <w:color w:val="000000"/>
          <w:sz w:val="20"/>
          <w:lang w:val="en-US" w:eastAsia="en-US" w:bidi="ar-SA"/>
        </w:rPr>
        <w:t xml:space="preserve"> at para. 26; </w:t>
      </w:r>
      <w:r>
        <w:rPr>
          <w:rFonts w:ascii="arial" w:eastAsia="arial" w:hAnsi="arial" w:cs="arial"/>
          <w:b/>
          <w:i/>
          <w:color w:val="000000"/>
          <w:sz w:val="20"/>
          <w:lang w:val="en-US" w:eastAsia="en-US" w:bidi="ar-SA"/>
        </w:rPr>
        <w:t>Lafarge</w:t>
      </w:r>
      <w:r>
        <w:rPr>
          <w:rFonts w:ascii="arial" w:eastAsia="arial" w:hAnsi="arial" w:cs="arial"/>
          <w:color w:val="000000"/>
          <w:sz w:val="20"/>
          <w:lang w:val="en-US" w:eastAsia="en-US" w:bidi="ar-SA"/>
        </w:rPr>
        <w:t xml:space="preserve"> at para. 64. A broad range of activities has been classified as maritime in nature for the purpose of determining federal court jurisdiction, including: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a stevedore-terminal operator in the post-discharge storage of goods (</w:t>
      </w:r>
      <w:r>
        <w:rPr>
          <w:rFonts w:ascii="arial" w:eastAsia="arial" w:hAnsi="arial" w:cs="arial"/>
          <w:b/>
          <w:i/>
          <w:color w:val="000000"/>
          <w:sz w:val="20"/>
          <w:lang w:val="en-US" w:eastAsia="en-US" w:bidi="ar-SA"/>
        </w:rPr>
        <w:t>ITO-International Terminal Operators Ltd. v. Miida Electronics Inc.</w:t>
      </w:r>
      <w:r>
        <w:rPr>
          <w:rFonts w:ascii="arial" w:eastAsia="arial" w:hAnsi="arial" w:cs="arial"/>
          <w:color w:val="000000"/>
          <w:sz w:val="20"/>
          <w:lang w:val="en-US" w:eastAsia="en-US" w:bidi="ar-SA"/>
        </w:rPr>
        <w:t xml:space="preserve">, </w:t>
      </w:r>
      <w:hyperlink r:id="rId692" w:history="1">
        <w:r>
          <w:rPr>
            <w:rFonts w:ascii="arial" w:eastAsia="arial" w:hAnsi="arial" w:cs="arial"/>
            <w:i/>
            <w:color w:val="0077CC"/>
            <w:sz w:val="20"/>
            <w:u w:val="single"/>
            <w:shd w:val="clear" w:color="auto" w:fill="FFFFFF"/>
            <w:lang w:val="en-US" w:eastAsia="en-US" w:bidi="ar-SA"/>
          </w:rPr>
          <w:t>[1986] 1 S.C.R. 752</w:t>
        </w:r>
      </w:hyperlink>
      <w:r>
        <w:rPr>
          <w:rFonts w:ascii="arial" w:eastAsia="arial" w:hAnsi="arial" w:cs="arial"/>
          <w:color w:val="000000"/>
          <w:sz w:val="20"/>
          <w:lang w:val="en-US" w:eastAsia="en-US" w:bidi="ar-SA"/>
        </w:rPr>
        <w:t xml:space="preserve">, </w:t>
      </w:r>
      <w:hyperlink r:id="rId692" w:history="1">
        <w:r>
          <w:rPr>
            <w:rFonts w:ascii="arial" w:eastAsia="arial" w:hAnsi="arial" w:cs="arial"/>
            <w:i/>
            <w:color w:val="0077CC"/>
            <w:sz w:val="20"/>
            <w:u w:val="single"/>
            <w:shd w:val="clear" w:color="auto" w:fill="FFFFFF"/>
            <w:lang w:val="en-US" w:eastAsia="en-US" w:bidi="ar-SA"/>
          </w:rPr>
          <w:t>28 D.L.R. (4th) 641</w:t>
        </w:r>
      </w:hyperlink>
      <w:r>
        <w:rPr>
          <w:rFonts w:ascii="arial" w:eastAsia="arial" w:hAnsi="arial" w:cs="arial"/>
          <w:color w:val="000000"/>
          <w:sz w:val="20"/>
          <w:lang w:val="en-US" w:eastAsia="en-US" w:bidi="ar-SA"/>
        </w:rPr>
        <w:t>); specific performance of a contract for the sale of a ship (</w:t>
      </w:r>
      <w:r>
        <w:rPr>
          <w:rFonts w:ascii="arial" w:eastAsia="arial" w:hAnsi="arial" w:cs="arial"/>
          <w:b/>
          <w:i/>
          <w:color w:val="000000"/>
          <w:sz w:val="20"/>
          <w:lang w:val="en-US" w:eastAsia="en-US" w:bidi="ar-SA"/>
        </w:rPr>
        <w:t>Antares Shipping Corp. v. "Capricorn" (The)</w:t>
      </w:r>
      <w:r>
        <w:rPr>
          <w:rFonts w:ascii="arial" w:eastAsia="arial" w:hAnsi="arial" w:cs="arial"/>
          <w:color w:val="000000"/>
          <w:sz w:val="20"/>
          <w:lang w:val="en-US" w:eastAsia="en-US" w:bidi="ar-SA"/>
        </w:rPr>
        <w:t xml:space="preserve">, </w:t>
      </w:r>
      <w:hyperlink r:id="rId693" w:history="1">
        <w:r>
          <w:rPr>
            <w:rFonts w:ascii="arial" w:eastAsia="arial" w:hAnsi="arial" w:cs="arial"/>
            <w:i/>
            <w:color w:val="0077CC"/>
            <w:sz w:val="20"/>
            <w:u w:val="single"/>
            <w:shd w:val="clear" w:color="auto" w:fill="FFFFFF"/>
            <w:lang w:val="en-US" w:eastAsia="en-US" w:bidi="ar-SA"/>
          </w:rPr>
          <w:t>[1980] 1 S.C.R. 553</w:t>
        </w:r>
      </w:hyperlink>
      <w:r>
        <w:rPr>
          <w:rFonts w:ascii="arial" w:eastAsia="arial" w:hAnsi="arial" w:cs="arial"/>
          <w:color w:val="000000"/>
          <w:sz w:val="20"/>
          <w:lang w:val="en-US" w:eastAsia="en-US" w:bidi="ar-SA"/>
        </w:rPr>
        <w:t xml:space="preserve">, </w:t>
      </w:r>
      <w:hyperlink r:id="rId693" w:history="1">
        <w:r>
          <w:rPr>
            <w:rFonts w:ascii="arial" w:eastAsia="arial" w:hAnsi="arial" w:cs="arial"/>
            <w:i/>
            <w:color w:val="0077CC"/>
            <w:sz w:val="20"/>
            <w:u w:val="single"/>
            <w:shd w:val="clear" w:color="auto" w:fill="FFFFFF"/>
            <w:lang w:val="en-US" w:eastAsia="en-US" w:bidi="ar-SA"/>
          </w:rPr>
          <w:t>111 D.L.R. (3d) 289</w:t>
        </w:r>
      </w:hyperlink>
      <w:r>
        <w:rPr>
          <w:rFonts w:ascii="arial" w:eastAsia="arial" w:hAnsi="arial" w:cs="arial"/>
          <w:color w:val="000000"/>
          <w:sz w:val="20"/>
          <w:lang w:val="en-US" w:eastAsia="en-US" w:bidi="ar-SA"/>
        </w:rPr>
        <w:t>); and product liability and the duty to warn in the context of the supply of fire products on board an off-shore drilling rig (</w:t>
      </w:r>
      <w:r>
        <w:rPr>
          <w:rFonts w:ascii="arial" w:eastAsia="arial" w:hAnsi="arial" w:cs="arial"/>
          <w:b/>
          <w:i/>
          <w:color w:val="000000"/>
          <w:sz w:val="20"/>
          <w:lang w:val="en-US" w:eastAsia="en-US" w:bidi="ar-SA"/>
        </w:rPr>
        <w:t>Bow Valley Husky (Bermuda) Ltd. v. Saint John Shipbuilding Ltd.</w:t>
      </w:r>
      <w:r>
        <w:rPr>
          <w:rFonts w:ascii="arial" w:eastAsia="arial" w:hAnsi="arial" w:cs="arial"/>
          <w:color w:val="000000"/>
          <w:sz w:val="20"/>
          <w:lang w:val="en-US" w:eastAsia="en-US" w:bidi="ar-SA"/>
        </w:rPr>
        <w:t xml:space="preserve">, </w:t>
      </w:r>
      <w:hyperlink r:id="rId488" w:history="1">
        <w:r>
          <w:rPr>
            <w:rFonts w:ascii="arial" w:eastAsia="arial" w:hAnsi="arial" w:cs="arial"/>
            <w:i/>
            <w:color w:val="0077CC"/>
            <w:sz w:val="20"/>
            <w:u w:val="single"/>
            <w:shd w:val="clear" w:color="auto" w:fill="FFFFFF"/>
            <w:lang w:val="en-US" w:eastAsia="en-US" w:bidi="ar-SA"/>
          </w:rPr>
          <w:t>[1997] 3 S.C.R. 1210</w:t>
        </w:r>
      </w:hyperlink>
      <w:r>
        <w:rPr>
          <w:rFonts w:ascii="arial" w:eastAsia="arial" w:hAnsi="arial" w:cs="arial"/>
          <w:color w:val="000000"/>
          <w:sz w:val="20"/>
          <w:lang w:val="en-US" w:eastAsia="en-US" w:bidi="ar-SA"/>
        </w:rPr>
        <w:t xml:space="preserve">, </w:t>
      </w:r>
      <w:hyperlink r:id="rId488" w:history="1">
        <w:r>
          <w:rPr>
            <w:rFonts w:ascii="arial" w:eastAsia="arial" w:hAnsi="arial" w:cs="arial"/>
            <w:i/>
            <w:color w:val="0077CC"/>
            <w:sz w:val="20"/>
            <w:u w:val="single"/>
            <w:shd w:val="clear" w:color="auto" w:fill="FFFFFF"/>
            <w:lang w:val="en-US" w:eastAsia="en-US" w:bidi="ar-SA"/>
          </w:rPr>
          <w:t>153 D.L.R. (4th) 385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xml:space="preserve">  Iacobucci and Major JJ. said in </w:t>
      </w:r>
      <w:r>
        <w:rPr>
          <w:rFonts w:ascii="arial" w:eastAsia="arial" w:hAnsi="arial" w:cs="arial"/>
          <w:b/>
          <w:i/>
          <w:color w:val="000000"/>
          <w:sz w:val="20"/>
          <w:lang w:val="en-US" w:eastAsia="en-US" w:bidi="ar-SA"/>
        </w:rPr>
        <w:t>Ordon Estate</w:t>
      </w:r>
      <w:r>
        <w:rPr>
          <w:rFonts w:ascii="arial" w:eastAsia="arial" w:hAnsi="arial" w:cs="arial"/>
          <w:color w:val="000000"/>
          <w:sz w:val="20"/>
          <w:lang w:val="en-US" w:eastAsia="en-US" w:bidi="ar-SA"/>
        </w:rPr>
        <w:t xml:space="preserve"> that the allocation of exclusive legislative jurisdiction over navigation and shipping to Parliament stems in large part from the national and international dimensions of maritime law, and the corresponding requirement for uniformity in maritime law principles. This is because "[i]f matters of maritime law were regulated by the various provincial legislatures, this would drastically confuse the day-to-day reality of navigation and shipping in Canadian waters, and would make it impossible for Canada as a country to abide by its international treaty obligations relating to maritime matters" (at para. 86). Further, the Court observed that "the multiplicity of legal sources, including international sources, which nourish Canadian maritime law render it a body of law in which uniformity is especially appropriate" (at para. 92).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The Court concluded that the provincial statutes did not apply, but that maritime law should be amended in some significant respects, to include a number of the principles found in the provincial statutes.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w:t>
      </w:r>
      <w:r>
        <w:rPr>
          <w:rFonts w:ascii="arial" w:eastAsia="arial" w:hAnsi="arial" w:cs="arial"/>
          <w:b/>
          <w:i/>
          <w:color w:val="000000"/>
          <w:sz w:val="20"/>
          <w:lang w:val="en-US" w:eastAsia="en-US" w:bidi="ar-SA"/>
        </w:rPr>
        <w:t>Ordon Estate</w:t>
      </w:r>
      <w:r>
        <w:rPr>
          <w:rFonts w:ascii="arial" w:eastAsia="arial" w:hAnsi="arial" w:cs="arial"/>
          <w:color w:val="000000"/>
          <w:sz w:val="20"/>
          <w:lang w:val="en-US" w:eastAsia="en-US" w:bidi="ar-SA"/>
        </w:rPr>
        <w:t xml:space="preserve"> relied upon </w:t>
      </w:r>
      <w:r>
        <w:rPr>
          <w:rFonts w:ascii="arial" w:eastAsia="arial" w:hAnsi="arial" w:cs="arial"/>
          <w:b/>
          <w:i/>
          <w:color w:val="000000"/>
          <w:sz w:val="20"/>
          <w:lang w:val="en-US" w:eastAsia="en-US" w:bidi="ar-SA"/>
        </w:rPr>
        <w:t>Bell Canada (1988)</w:t>
      </w:r>
      <w:r>
        <w:rPr>
          <w:rFonts w:ascii="arial" w:eastAsia="arial" w:hAnsi="arial" w:cs="arial"/>
          <w:color w:val="000000"/>
          <w:sz w:val="20"/>
          <w:lang w:val="en-US" w:eastAsia="en-US" w:bidi="ar-SA"/>
        </w:rPr>
        <w:t xml:space="preserve"> regarding interjurisdictional immunity. Subsequently, in </w:t>
      </w:r>
      <w:r>
        <w:rPr>
          <w:rFonts w:ascii="arial" w:eastAsia="arial" w:hAnsi="arial" w:cs="arial"/>
          <w:b/>
          <w:i/>
          <w:color w:val="000000"/>
          <w:sz w:val="20"/>
          <w:lang w:val="en-US" w:eastAsia="en-US" w:bidi="ar-SA"/>
        </w:rPr>
        <w:t>Canadian Western Bank</w:t>
      </w:r>
      <w:r>
        <w:rPr>
          <w:rFonts w:ascii="arial" w:eastAsia="arial" w:hAnsi="arial" w:cs="arial"/>
          <w:color w:val="000000"/>
          <w:sz w:val="20"/>
          <w:lang w:val="en-US" w:eastAsia="en-US" w:bidi="ar-SA"/>
        </w:rPr>
        <w:t xml:space="preserve">, the Court did not embrace the </w:t>
      </w:r>
      <w:r>
        <w:rPr>
          <w:rFonts w:ascii="arial" w:eastAsia="arial" w:hAnsi="arial" w:cs="arial"/>
          <w:b/>
          <w:i/>
          <w:color w:val="000000"/>
          <w:sz w:val="20"/>
          <w:lang w:val="en-US" w:eastAsia="en-US" w:bidi="ar-SA"/>
        </w:rPr>
        <w:t>Bell Canada (1988)</w:t>
      </w:r>
      <w:r>
        <w:rPr>
          <w:rFonts w:ascii="arial" w:eastAsia="arial" w:hAnsi="arial" w:cs="arial"/>
          <w:color w:val="000000"/>
          <w:sz w:val="20"/>
          <w:lang w:val="en-US" w:eastAsia="en-US" w:bidi="ar-SA"/>
        </w:rPr>
        <w:t xml:space="preserve"> approach to interjurisdictional immunity. However, the Court in </w:t>
      </w:r>
      <w:r>
        <w:rPr>
          <w:rFonts w:ascii="arial" w:eastAsia="arial" w:hAnsi="arial" w:cs="arial"/>
          <w:b/>
          <w:i/>
          <w:color w:val="000000"/>
          <w:sz w:val="20"/>
          <w:lang w:val="en-US" w:eastAsia="en-US" w:bidi="ar-SA"/>
        </w:rPr>
        <w:t>Canadian Western Bank</w:t>
      </w:r>
      <w:r>
        <w:rPr>
          <w:rFonts w:ascii="arial" w:eastAsia="arial" w:hAnsi="arial" w:cs="arial"/>
          <w:color w:val="000000"/>
          <w:sz w:val="20"/>
          <w:lang w:val="en-US" w:eastAsia="en-US" w:bidi="ar-SA"/>
        </w:rPr>
        <w:t xml:space="preserve"> did not express anything but approval of </w:t>
      </w:r>
      <w:r>
        <w:rPr>
          <w:rFonts w:ascii="arial" w:eastAsia="arial" w:hAnsi="arial" w:cs="arial"/>
          <w:b/>
          <w:i/>
          <w:color w:val="000000"/>
          <w:sz w:val="20"/>
          <w:lang w:val="en-US" w:eastAsia="en-US" w:bidi="ar-SA"/>
        </w:rPr>
        <w:t>Ordon Estate</w:t>
      </w:r>
      <w:r>
        <w:rPr>
          <w:rFonts w:ascii="arial" w:eastAsia="arial" w:hAnsi="arial" w:cs="arial"/>
          <w:color w:val="000000"/>
          <w:sz w:val="20"/>
          <w:lang w:val="en-US" w:eastAsia="en-US" w:bidi="ar-SA"/>
        </w:rPr>
        <w:t xml:space="preserve"> and indeed, referred to the maritime law cases, including </w:t>
      </w:r>
      <w:r>
        <w:rPr>
          <w:rFonts w:ascii="arial" w:eastAsia="arial" w:hAnsi="arial" w:cs="arial"/>
          <w:b/>
          <w:i/>
          <w:color w:val="000000"/>
          <w:sz w:val="20"/>
          <w:lang w:val="en-US" w:eastAsia="en-US" w:bidi="ar-SA"/>
        </w:rPr>
        <w:t>Ordon Estate</w:t>
      </w:r>
      <w:r>
        <w:rPr>
          <w:rFonts w:ascii="arial" w:eastAsia="arial" w:hAnsi="arial" w:cs="arial"/>
          <w:color w:val="000000"/>
          <w:sz w:val="20"/>
          <w:lang w:val="en-US" w:eastAsia="en-US" w:bidi="ar-SA"/>
        </w:rPr>
        <w:t>, as examples of ones in which the doctrine of interjurisdictional immunity would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Thus, the Supreme Court's reorientation with respect to maritime law jurisprudence was followed by a recasting of the law with respect to interjurisdictional immunity. Both of the underlying principles referred to by the Supreme Court -- the practical necessity of a uniform body of maritime law, forming part of a comprehensive scheme under federal jurisdiction (</w:t>
      </w:r>
      <w:r>
        <w:rPr>
          <w:rFonts w:ascii="arial" w:eastAsia="arial" w:hAnsi="arial" w:cs="arial"/>
          <w:b/>
          <w:i/>
          <w:color w:val="000000"/>
          <w:sz w:val="20"/>
          <w:lang w:val="en-US" w:eastAsia="en-US" w:bidi="ar-SA"/>
        </w:rPr>
        <w:t>Ordon Estate</w:t>
      </w:r>
      <w:r>
        <w:rPr>
          <w:rFonts w:ascii="arial" w:eastAsia="arial" w:hAnsi="arial" w:cs="arial"/>
          <w:color w:val="000000"/>
          <w:sz w:val="20"/>
          <w:lang w:val="en-US" w:eastAsia="en-US" w:bidi="ar-SA"/>
        </w:rPr>
        <w:t>), and the practical necessity of cooperative federalism, leaving limited scope for interjurisdictional immunity (</w:t>
      </w:r>
      <w:r>
        <w:rPr>
          <w:rFonts w:ascii="arial" w:eastAsia="arial" w:hAnsi="arial" w:cs="arial"/>
          <w:b/>
          <w:i/>
          <w:color w:val="000000"/>
          <w:sz w:val="20"/>
          <w:lang w:val="en-US" w:eastAsia="en-US" w:bidi="ar-SA"/>
        </w:rPr>
        <w:t>Canadian Western Bank</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Lafarge</w:t>
      </w:r>
      <w:r>
        <w:rPr>
          <w:rFonts w:ascii="arial" w:eastAsia="arial" w:hAnsi="arial" w:cs="arial"/>
          <w:color w:val="000000"/>
          <w:sz w:val="20"/>
          <w:lang w:val="en-US" w:eastAsia="en-US" w:bidi="ar-SA"/>
        </w:rPr>
        <w:t>) - have application in the matters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Mersey Seafoods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xml:space="preserve">  After the hearing in this matter, the Nova Scotia Court of Appeal delivered its judgment in </w:t>
      </w:r>
      <w:r>
        <w:rPr>
          <w:rFonts w:ascii="arial" w:eastAsia="arial" w:hAnsi="arial" w:cs="arial"/>
          <w:b/>
          <w:i/>
          <w:color w:val="000000"/>
          <w:sz w:val="20"/>
          <w:lang w:val="en-US" w:eastAsia="en-US" w:bidi="ar-SA"/>
        </w:rPr>
        <w:t>Mersey Seafoods</w:t>
      </w:r>
      <w:r>
        <w:rPr>
          <w:rFonts w:ascii="arial" w:eastAsia="arial" w:hAnsi="arial" w:cs="arial"/>
          <w:color w:val="000000"/>
          <w:sz w:val="20"/>
          <w:lang w:val="en-US" w:eastAsia="en-US" w:bidi="ar-SA"/>
        </w:rPr>
        <w:t xml:space="preserve">, on a similar question to the one in these proceedings. It overturned the Nova Scotia Supreme Court decision in </w:t>
      </w:r>
      <w:r>
        <w:rPr>
          <w:rFonts w:ascii="arial" w:eastAsia="arial" w:hAnsi="arial" w:cs="arial"/>
          <w:b/>
          <w:i/>
          <w:color w:val="000000"/>
          <w:sz w:val="20"/>
          <w:lang w:val="en-US" w:eastAsia="en-US" w:bidi="ar-SA"/>
        </w:rPr>
        <w:t>Mersey Seafoods</w:t>
      </w:r>
      <w:r>
        <w:rPr>
          <w:rFonts w:ascii="arial" w:eastAsia="arial" w:hAnsi="arial" w:cs="arial"/>
          <w:color w:val="000000"/>
          <w:sz w:val="20"/>
          <w:lang w:val="en-US" w:eastAsia="en-US" w:bidi="ar-SA"/>
        </w:rPr>
        <w:t xml:space="preserve">, </w:t>
      </w:r>
      <w:hyperlink r:id="rId694" w:history="1">
        <w:r>
          <w:rPr>
            <w:rFonts w:ascii="arial" w:eastAsia="arial" w:hAnsi="arial" w:cs="arial"/>
            <w:i/>
            <w:color w:val="0077CC"/>
            <w:sz w:val="20"/>
            <w:u w:val="single"/>
            <w:shd w:val="clear" w:color="auto" w:fill="FFFFFF"/>
            <w:lang w:val="en-US" w:eastAsia="en-US" w:bidi="ar-SA"/>
          </w:rPr>
          <w:t>2007 NSSC 155</w:t>
        </w:r>
      </w:hyperlink>
      <w:r>
        <w:rPr>
          <w:rFonts w:ascii="arial" w:eastAsia="arial" w:hAnsi="arial" w:cs="arial"/>
          <w:color w:val="000000"/>
          <w:sz w:val="20"/>
          <w:lang w:val="en-US" w:eastAsia="en-US" w:bidi="ar-SA"/>
        </w:rPr>
        <w:t xml:space="preserve">, </w:t>
      </w:r>
      <w:hyperlink r:id="rId694" w:history="1">
        <w:r>
          <w:rPr>
            <w:rFonts w:ascii="arial" w:eastAsia="arial" w:hAnsi="arial" w:cs="arial"/>
            <w:i/>
            <w:color w:val="0077CC"/>
            <w:sz w:val="20"/>
            <w:u w:val="single"/>
            <w:shd w:val="clear" w:color="auto" w:fill="FFFFFF"/>
            <w:lang w:val="en-US" w:eastAsia="en-US" w:bidi="ar-SA"/>
          </w:rPr>
          <w:t>255 N.S.R. (2d) 245</w:t>
        </w:r>
      </w:hyperlink>
      <w:r>
        <w:rPr>
          <w:rFonts w:ascii="arial" w:eastAsia="arial" w:hAnsi="arial" w:cs="arial"/>
          <w:color w:val="000000"/>
          <w:sz w:val="20"/>
          <w:lang w:val="en-US" w:eastAsia="en-US" w:bidi="ar-SA"/>
        </w:rPr>
        <w:t>, upon which both the plaintiff and the petitioners had relied in their submissions at the hearing. The parties made further submissions in the light of this development in 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xml:space="preserve">  Mersey Seafoods carried on a fishing business in Nova Scotia, using vessels including the "Mersey Venture", a large seagoing vessel with a crew of 27, whose port of registry was Liverpool, Nova Scotia. Its fishing was conducted beyond 12 nautical miles from shore to as far as the Greenland coast. Mersey Seafoods was charged by the Province of Nova Scotia with safety infractions under the </w:t>
      </w:r>
      <w:r>
        <w:rPr>
          <w:rFonts w:ascii="arial" w:eastAsia="arial" w:hAnsi="arial" w:cs="arial"/>
          <w:b/>
          <w:i/>
          <w:color w:val="000000"/>
          <w:sz w:val="20"/>
          <w:lang w:val="en-US" w:eastAsia="en-US" w:bidi="ar-SA"/>
        </w:rPr>
        <w:t>Occupational Health and Safety Act</w:t>
      </w:r>
      <w:r>
        <w:rPr>
          <w:rFonts w:ascii="arial" w:eastAsia="arial" w:hAnsi="arial" w:cs="arial"/>
          <w:color w:val="000000"/>
          <w:sz w:val="20"/>
          <w:lang w:val="en-US" w:eastAsia="en-US" w:bidi="ar-SA"/>
        </w:rPr>
        <w:t xml:space="preserve">, </w:t>
      </w:r>
      <w:hyperlink r:id="rId659" w:history="1">
        <w:r>
          <w:rPr>
            <w:rFonts w:ascii="arial" w:eastAsia="arial" w:hAnsi="arial" w:cs="arial"/>
            <w:i/>
            <w:color w:val="0077CC"/>
            <w:sz w:val="20"/>
            <w:u w:val="single"/>
            <w:shd w:val="clear" w:color="auto" w:fill="FFFFFF"/>
            <w:lang w:val="en-US" w:eastAsia="en-US" w:bidi="ar-SA"/>
          </w:rPr>
          <w:t>S.N.S. 1996, c. 7</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OHS Act</w:t>
      </w: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xml:space="preserve">. Mersey Seafoods made a preliminary motion for dismissal of the charges, on the basis that the subject of the charges was within federal responsibility and the </w:t>
      </w:r>
      <w:r>
        <w:rPr>
          <w:rFonts w:ascii="arial" w:eastAsia="arial" w:hAnsi="arial" w:cs="arial"/>
          <w:b/>
          <w:i/>
          <w:color w:val="000000"/>
          <w:sz w:val="20"/>
          <w:lang w:val="en-US" w:eastAsia="en-US" w:bidi="ar-SA"/>
        </w:rPr>
        <w:t>OHS Act</w:t>
      </w:r>
      <w:r>
        <w:rPr>
          <w:rFonts w:ascii="arial" w:eastAsia="arial" w:hAnsi="arial" w:cs="arial"/>
          <w:color w:val="000000"/>
          <w:sz w:val="20"/>
          <w:lang w:val="en-US" w:eastAsia="en-US" w:bidi="ar-SA"/>
        </w:rPr>
        <w:t xml:space="preserve"> was either inapplicable because of interjurisdictional immunity or inoperative for paramountcy. The Provincial Court allowed the motion, quashing the charges.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On appeal to the Supreme Court of Nova Scotia, Warner J. dismissed the appeal, and agreed (at para. 78) that the operation and safety of maritime vessels, including fishing vessels, is a federal undertaking already regulated by federal law. He held (at para. 85) that the health and safety of workers on fishing vessels is, in pith and substance, "a matter properly characterized as maritime, and a vital or essential or integral part of the management of ships", going to the "essential core of the federal jurisdiction over navigation and shipping".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xml:space="preserve">  Warner J. referred to </w:t>
      </w:r>
      <w:r>
        <w:rPr>
          <w:rFonts w:ascii="arial" w:eastAsia="arial" w:hAnsi="arial" w:cs="arial"/>
          <w:b/>
          <w:i/>
          <w:color w:val="000000"/>
          <w:sz w:val="20"/>
          <w:lang w:val="en-US" w:eastAsia="en-US" w:bidi="ar-SA"/>
        </w:rPr>
        <w:t>Ordon Estate</w:t>
      </w:r>
      <w:r>
        <w:rPr>
          <w:rFonts w:ascii="arial" w:eastAsia="arial" w:hAnsi="arial" w:cs="arial"/>
          <w:color w:val="000000"/>
          <w:sz w:val="20"/>
          <w:lang w:val="en-US" w:eastAsia="en-US" w:bidi="ar-SA"/>
        </w:rPr>
        <w:t xml:space="preserve">, concluded that the impugned provincial legislation directly and vitally affected a federally-regulated undertaking and was integrally connected to maritime matters, and ruled that the application of the </w:t>
      </w:r>
      <w:r>
        <w:rPr>
          <w:rFonts w:ascii="arial" w:eastAsia="arial" w:hAnsi="arial" w:cs="arial"/>
          <w:b/>
          <w:i/>
          <w:color w:val="000000"/>
          <w:sz w:val="20"/>
          <w:lang w:val="en-US" w:eastAsia="en-US" w:bidi="ar-SA"/>
        </w:rPr>
        <w:t>OHS Act</w:t>
      </w:r>
      <w:r>
        <w:rPr>
          <w:rFonts w:ascii="arial" w:eastAsia="arial" w:hAnsi="arial" w:cs="arial"/>
          <w:color w:val="000000"/>
          <w:sz w:val="20"/>
          <w:lang w:val="en-US" w:eastAsia="en-US" w:bidi="ar-SA"/>
        </w:rPr>
        <w:t xml:space="preserve"> to Mersey Seafood and the "Mersey Venture" would offend jurisdictional immunity. (It should be noted that the Supreme Court of Canada decisions in </w:t>
      </w:r>
      <w:r>
        <w:rPr>
          <w:rFonts w:ascii="arial" w:eastAsia="arial" w:hAnsi="arial" w:cs="arial"/>
          <w:b/>
          <w:i/>
          <w:color w:val="000000"/>
          <w:sz w:val="20"/>
          <w:lang w:val="en-US" w:eastAsia="en-US" w:bidi="ar-SA"/>
        </w:rPr>
        <w:t>Canadian Western Bank</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Lafarge</w:t>
      </w:r>
      <w:r>
        <w:rPr>
          <w:rFonts w:ascii="arial" w:eastAsia="arial" w:hAnsi="arial" w:cs="arial"/>
          <w:color w:val="000000"/>
          <w:sz w:val="20"/>
          <w:lang w:val="en-US" w:eastAsia="en-US" w:bidi="ar-SA"/>
        </w:rPr>
        <w:t xml:space="preserve"> had not yet been handed down.) The remedy granted was to read down the </w:t>
      </w:r>
      <w:r>
        <w:rPr>
          <w:rFonts w:ascii="arial" w:eastAsia="arial" w:hAnsi="arial" w:cs="arial"/>
          <w:b/>
          <w:i/>
          <w:color w:val="000000"/>
          <w:sz w:val="20"/>
          <w:lang w:val="en-US" w:eastAsia="en-US" w:bidi="ar-SA"/>
        </w:rPr>
        <w:t>OHS Act</w:t>
      </w:r>
      <w:r>
        <w:rPr>
          <w:rFonts w:ascii="arial" w:eastAsia="arial" w:hAnsi="arial" w:cs="arial"/>
          <w:color w:val="000000"/>
          <w:sz w:val="20"/>
          <w:lang w:val="en-US" w:eastAsia="en-US" w:bidi="ar-SA"/>
        </w:rPr>
        <w:t xml:space="preserve"> to exclude its application. Alternatively, the Court held that the application of the </w:t>
      </w:r>
      <w:r>
        <w:rPr>
          <w:rFonts w:ascii="arial" w:eastAsia="arial" w:hAnsi="arial" w:cs="arial"/>
          <w:b/>
          <w:i/>
          <w:color w:val="000000"/>
          <w:sz w:val="20"/>
          <w:lang w:val="en-US" w:eastAsia="en-US" w:bidi="ar-SA"/>
        </w:rPr>
        <w:t>OHS Act</w:t>
      </w:r>
      <w:r>
        <w:rPr>
          <w:rFonts w:ascii="arial" w:eastAsia="arial" w:hAnsi="arial" w:cs="arial"/>
          <w:color w:val="000000"/>
          <w:sz w:val="20"/>
          <w:lang w:val="en-US" w:eastAsia="en-US" w:bidi="ar-SA"/>
        </w:rPr>
        <w:t xml:space="preserve"> would offend the paramountcy doctrine.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On appeal to the Nova Scotia Court of Appeal, Mr. Justice Fichaud (Cromwell and Hamilton JJ.A. concurring) overturned the decision below and upheld the provincial legislation.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The Court noted the position taken by the Attorney General of Canada in the proceedings, at para. 22: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the appeal, the Attorney General of Canada intervened, filed a factum and made submissions at the hearing. The Attorney General of Canada supported the Provincial Crown's position on all the constitutional issues. This is not a contest between levels of government.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xml:space="preserve">  The Court held that the "matter" to which the legislation essentially related (examining both its purpose and effect) was a matter within provincial jurisdiction. Fichaud J.A. referred to </w:t>
      </w:r>
      <w:r>
        <w:rPr>
          <w:rFonts w:ascii="arial" w:eastAsia="arial" w:hAnsi="arial" w:cs="arial"/>
          <w:b/>
          <w:i/>
          <w:color w:val="000000"/>
          <w:sz w:val="20"/>
          <w:lang w:val="en-US" w:eastAsia="en-US" w:bidi="ar-SA"/>
        </w:rPr>
        <w:t>Bell Canada (1988)</w:t>
      </w:r>
      <w:r>
        <w:rPr>
          <w:rFonts w:ascii="arial" w:eastAsia="arial" w:hAnsi="arial" w:cs="arial"/>
          <w:color w:val="000000"/>
          <w:sz w:val="20"/>
          <w:lang w:val="en-US" w:eastAsia="en-US" w:bidi="ar-SA"/>
        </w:rPr>
        <w:t xml:space="preserve"> and concluded (at para. 33) that the pith and substance of the Nova Scotia </w:t>
      </w:r>
      <w:r>
        <w:rPr>
          <w:rFonts w:ascii="arial" w:eastAsia="arial" w:hAnsi="arial" w:cs="arial"/>
          <w:b/>
          <w:i/>
          <w:color w:val="000000"/>
          <w:sz w:val="20"/>
          <w:lang w:val="en-US" w:eastAsia="en-US" w:bidi="ar-SA"/>
        </w:rPr>
        <w:t>OHS Act</w:t>
      </w:r>
      <w:r>
        <w:rPr>
          <w:rFonts w:ascii="arial" w:eastAsia="arial" w:hAnsi="arial" w:cs="arial"/>
          <w:color w:val="000000"/>
          <w:sz w:val="20"/>
          <w:lang w:val="en-US" w:eastAsia="en-US" w:bidi="ar-SA"/>
        </w:rPr>
        <w:t xml:space="preserve"> "engages the matters of working conditions, labour relations and the management of undertakings", falling within property and civil rights in the province under s. 92(13) of the </w:t>
      </w:r>
      <w:r>
        <w:rPr>
          <w:rFonts w:ascii="arial" w:eastAsia="arial" w:hAnsi="arial" w:cs="arial"/>
          <w:b/>
          <w:i/>
          <w:color w:val="000000"/>
          <w:sz w:val="20"/>
          <w:lang w:val="en-US" w:eastAsia="en-US" w:bidi="ar-SA"/>
        </w:rPr>
        <w:t>Constitution Act, 1867</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Fichaud J.A. referred to </w:t>
      </w:r>
      <w:r>
        <w:rPr>
          <w:rFonts w:ascii="arial" w:eastAsia="arial" w:hAnsi="arial" w:cs="arial"/>
          <w:b/>
          <w:i/>
          <w:color w:val="000000"/>
          <w:sz w:val="20"/>
          <w:lang w:val="en-US" w:eastAsia="en-US" w:bidi="ar-SA"/>
        </w:rPr>
        <w:t>Canadian Western Bank</w:t>
      </w:r>
      <w:r>
        <w:rPr>
          <w:rFonts w:ascii="arial" w:eastAsia="arial" w:hAnsi="arial" w:cs="arial"/>
          <w:color w:val="000000"/>
          <w:sz w:val="20"/>
          <w:lang w:val="en-US" w:eastAsia="en-US" w:bidi="ar-SA"/>
        </w:rPr>
        <w:t xml:space="preserve"> for the governing principles to use in assessing whether an otherwise valid statute has an </w:t>
      </w:r>
      <w:r>
        <w:rPr>
          <w:rFonts w:ascii="arial" w:eastAsia="arial" w:hAnsi="arial" w:cs="arial"/>
          <w:i/>
          <w:color w:val="000000"/>
          <w:sz w:val="20"/>
          <w:lang w:val="en-US" w:eastAsia="en-US" w:bidi="ar-SA"/>
        </w:rPr>
        <w:t>ultra vires</w:t>
      </w:r>
      <w:r>
        <w:rPr>
          <w:rFonts w:ascii="arial" w:eastAsia="arial" w:hAnsi="arial" w:cs="arial"/>
          <w:color w:val="000000"/>
          <w:sz w:val="20"/>
          <w:lang w:val="en-US" w:eastAsia="en-US" w:bidi="ar-SA"/>
        </w:rPr>
        <w:t xml:space="preserve"> effect, and concluded that the court below had erred in relying on </w:t>
      </w:r>
      <w:r>
        <w:rPr>
          <w:rFonts w:ascii="arial" w:eastAsia="arial" w:hAnsi="arial" w:cs="arial"/>
          <w:b/>
          <w:i/>
          <w:color w:val="000000"/>
          <w:sz w:val="20"/>
          <w:lang w:val="en-US" w:eastAsia="en-US" w:bidi="ar-SA"/>
        </w:rPr>
        <w:t>Ordon Estate</w:t>
      </w:r>
      <w:r>
        <w:rPr>
          <w:rFonts w:ascii="arial" w:eastAsia="arial" w:hAnsi="arial" w:cs="arial"/>
          <w:color w:val="000000"/>
          <w:sz w:val="20"/>
          <w:lang w:val="en-US" w:eastAsia="en-US" w:bidi="ar-SA"/>
        </w:rPr>
        <w:t xml:space="preserve"> to induce that "safety aboard ships, including fishing vessels" is exclusively federal under s. 91(10) of the </w:t>
      </w:r>
      <w:r>
        <w:rPr>
          <w:rFonts w:ascii="arial" w:eastAsia="arial" w:hAnsi="arial" w:cs="arial"/>
          <w:b/>
          <w:i/>
          <w:color w:val="000000"/>
          <w:sz w:val="20"/>
          <w:lang w:val="en-US" w:eastAsia="en-US" w:bidi="ar-SA"/>
        </w:rPr>
        <w:t>Constitution Act, 1867</w:t>
      </w:r>
      <w:r>
        <w:rPr>
          <w:rFonts w:ascii="arial" w:eastAsia="arial" w:hAnsi="arial" w:cs="arial"/>
          <w:color w:val="000000"/>
          <w:sz w:val="20"/>
          <w:lang w:val="en-US" w:eastAsia="en-US" w:bidi="ar-SA"/>
        </w:rPr>
        <w:t xml:space="preserve">. The Court of Appeal stated (at para. 43) that occupational health and safety legislation has its own genealogy, rooted in neither maritime law nor tort, and that its "matter" for pith and substance analysis is labour relations or management of an undertaking. Taking that as the starting point, the Court noted that the labour relations (including occupational health and safety) of a provincially based fishing undertaking generally is a matter within provincial jurisdiction. The Court referred to authorities including </w:t>
      </w:r>
      <w:r>
        <w:rPr>
          <w:rFonts w:ascii="arial" w:eastAsia="arial" w:hAnsi="arial" w:cs="arial"/>
          <w:b/>
          <w:i/>
          <w:color w:val="000000"/>
          <w:sz w:val="20"/>
          <w:lang w:val="en-US" w:eastAsia="en-US" w:bidi="ar-SA"/>
        </w:rPr>
        <w:t>Bell Canada (1988)</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Ward v. Canada (Attorney General)</w:t>
      </w:r>
      <w:r>
        <w:rPr>
          <w:rFonts w:ascii="arial" w:eastAsia="arial" w:hAnsi="arial" w:cs="arial"/>
          <w:color w:val="000000"/>
          <w:sz w:val="20"/>
          <w:lang w:val="en-US" w:eastAsia="en-US" w:bidi="ar-SA"/>
        </w:rPr>
        <w:t xml:space="preserve">, </w:t>
      </w:r>
      <w:hyperlink r:id="rId695" w:history="1">
        <w:r>
          <w:rPr>
            <w:rFonts w:ascii="arial" w:eastAsia="arial" w:hAnsi="arial" w:cs="arial"/>
            <w:i/>
            <w:color w:val="0077CC"/>
            <w:sz w:val="20"/>
            <w:u w:val="single"/>
            <w:shd w:val="clear" w:color="auto" w:fill="FFFFFF"/>
            <w:lang w:val="en-US" w:eastAsia="en-US" w:bidi="ar-SA"/>
          </w:rPr>
          <w:t>2002 SCC 17</w:t>
        </w:r>
      </w:hyperlink>
      <w:r>
        <w:rPr>
          <w:rFonts w:ascii="arial" w:eastAsia="arial" w:hAnsi="arial" w:cs="arial"/>
          <w:color w:val="000000"/>
          <w:sz w:val="20"/>
          <w:lang w:val="en-US" w:eastAsia="en-US" w:bidi="ar-SA"/>
        </w:rPr>
        <w:t xml:space="preserve">, </w:t>
      </w:r>
      <w:hyperlink r:id="rId695" w:history="1">
        <w:r>
          <w:rPr>
            <w:rFonts w:ascii="arial" w:eastAsia="arial" w:hAnsi="arial" w:cs="arial"/>
            <w:i/>
            <w:color w:val="0077CC"/>
            <w:sz w:val="20"/>
            <w:u w:val="single"/>
            <w:shd w:val="clear" w:color="auto" w:fill="FFFFFF"/>
            <w:lang w:val="en-US" w:eastAsia="en-US" w:bidi="ar-SA"/>
          </w:rPr>
          <w:t>[2002] 1 S.C.R. 569</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Mark Fishing Co. Limited v. United Fishermen and Allied Workers' Union</w:t>
      </w:r>
      <w:r>
        <w:rPr>
          <w:rFonts w:ascii="arial" w:eastAsia="arial" w:hAnsi="arial" w:cs="arial"/>
          <w:color w:val="000000"/>
          <w:sz w:val="20"/>
          <w:lang w:val="en-US" w:eastAsia="en-US" w:bidi="ar-SA"/>
        </w:rPr>
        <w:t xml:space="preserve"> </w:t>
      </w:r>
      <w:hyperlink r:id="rId696" w:history="1">
        <w:r>
          <w:rPr>
            <w:rFonts w:ascii="arial" w:eastAsia="arial" w:hAnsi="arial" w:cs="arial"/>
            <w:i/>
            <w:color w:val="0077CC"/>
            <w:sz w:val="20"/>
            <w:u w:val="single"/>
            <w:shd w:val="clear" w:color="auto" w:fill="FFFFFF"/>
            <w:lang w:val="en-US" w:eastAsia="en-US" w:bidi="ar-SA"/>
          </w:rPr>
          <w:t>(1972), 24 D.L.R. (3d) 585</w:t>
        </w:r>
      </w:hyperlink>
      <w:r>
        <w:rPr>
          <w:rFonts w:ascii="arial" w:eastAsia="arial" w:hAnsi="arial" w:cs="arial"/>
          <w:color w:val="000000"/>
          <w:sz w:val="20"/>
          <w:lang w:val="en-US" w:eastAsia="en-US" w:bidi="ar-SA"/>
        </w:rPr>
        <w:t xml:space="preserve">, </w:t>
      </w:r>
      <w:hyperlink r:id="rId696" w:history="1">
        <w:r>
          <w:rPr>
            <w:rFonts w:ascii="arial" w:eastAsia="arial" w:hAnsi="arial" w:cs="arial"/>
            <w:i/>
            <w:color w:val="0077CC"/>
            <w:sz w:val="20"/>
            <w:u w:val="single"/>
            <w:shd w:val="clear" w:color="auto" w:fill="FFFFFF"/>
            <w:lang w:val="en-US" w:eastAsia="en-US" w:bidi="ar-SA"/>
          </w:rPr>
          <w:t>[1972] 3 W.W.R. 641</w:t>
        </w:r>
      </w:hyperlink>
      <w:r>
        <w:rPr>
          <w:rFonts w:ascii="arial" w:eastAsia="arial" w:hAnsi="arial" w:cs="arial"/>
          <w:color w:val="000000"/>
          <w:sz w:val="20"/>
          <w:lang w:val="en-US" w:eastAsia="en-US" w:bidi="ar-SA"/>
        </w:rPr>
        <w:t xml:space="preserve"> (B.C.C.A.), affirmed summarily (1973), 38 D.L.R. (3d) 316 (S.C.C.); and </w:t>
      </w:r>
      <w:r>
        <w:rPr>
          <w:rFonts w:ascii="arial" w:eastAsia="arial" w:hAnsi="arial" w:cs="arial"/>
          <w:b/>
          <w:i/>
          <w:color w:val="000000"/>
          <w:sz w:val="20"/>
          <w:lang w:val="en-US" w:eastAsia="en-US" w:bidi="ar-SA"/>
        </w:rPr>
        <w:t>504578 Ontario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xml:space="preserve">  Fichaud J.A. stated at para. 45 of </w:t>
      </w:r>
      <w:r>
        <w:rPr>
          <w:rFonts w:ascii="arial" w:eastAsia="arial" w:hAnsi="arial" w:cs="arial"/>
          <w:b/>
          <w:i/>
          <w:color w:val="000000"/>
          <w:sz w:val="20"/>
          <w:lang w:val="en-US" w:eastAsia="en-US" w:bidi="ar-SA"/>
        </w:rPr>
        <w:t>Mersey Seafoods</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departure point is not the pith and substance of federal maritime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law, or federal statutes such as the </w:t>
      </w:r>
      <w:r>
        <w:rPr>
          <w:rFonts w:ascii="arial" w:eastAsia="arial" w:hAnsi="arial" w:cs="arial"/>
          <w:i/>
          <w:color w:val="000000"/>
          <w:sz w:val="20"/>
          <w:lang w:val="en-US" w:eastAsia="en-US" w:bidi="ar-SA"/>
        </w:rPr>
        <w:t>Canada Shipping Act</w:t>
      </w:r>
      <w:r>
        <w:rPr>
          <w:rFonts w:ascii="arial" w:eastAsia="arial" w:hAnsi="arial" w:cs="arial"/>
          <w:color w:val="000000"/>
          <w:sz w:val="20"/>
          <w:lang w:val="en-US" w:eastAsia="en-US" w:bidi="ar-SA"/>
        </w:rPr>
        <w:t xml:space="preserve">, or generic safety aboard ships. To exclude provincial legislative jurisdiction because federal law deals with safety connotes the discarded paramountcy doctrine that provincial legislation is inoperative if federal statutes occupy the field (discussed below paras. 68-69). The analysis stems from the question -- What is the "matter" to which the pith and substance of the impugned statute, Nova Scotia's </w:t>
      </w:r>
      <w:r>
        <w:rPr>
          <w:rFonts w:ascii="arial" w:eastAsia="arial" w:hAnsi="arial" w:cs="arial"/>
          <w:i/>
          <w:color w:val="000000"/>
          <w:sz w:val="20"/>
          <w:lang w:val="en-US" w:eastAsia="en-US" w:bidi="ar-SA"/>
        </w:rPr>
        <w:t>OHS Act</w:t>
      </w:r>
      <w:r>
        <w:rPr>
          <w:rFonts w:ascii="arial" w:eastAsia="arial" w:hAnsi="arial" w:cs="arial"/>
          <w:color w:val="000000"/>
          <w:sz w:val="20"/>
          <w:lang w:val="en-US" w:eastAsia="en-US" w:bidi="ar-SA"/>
        </w:rPr>
        <w:t>, relates? (</w:t>
      </w:r>
      <w:r>
        <w:rPr>
          <w:rFonts w:ascii="arial" w:eastAsia="arial" w:hAnsi="arial" w:cs="arial"/>
          <w:i/>
          <w:color w:val="000000"/>
          <w:sz w:val="20"/>
          <w:lang w:val="en-US" w:eastAsia="en-US" w:bidi="ar-SA"/>
        </w:rPr>
        <w:t>Canadian Western Bank</w:t>
      </w:r>
      <w:r>
        <w:rPr>
          <w:rFonts w:ascii="arial" w:eastAsia="arial" w:hAnsi="arial" w:cs="arial"/>
          <w:color w:val="000000"/>
          <w:sz w:val="20"/>
          <w:lang w:val="en-US" w:eastAsia="en-US" w:bidi="ar-SA"/>
        </w:rPr>
        <w:t>, paras. 25-26) The response to this question points to a different reasoning path marked by a different set of authorities than those considered by the SCAC.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The Court reasoned that if marine navigation ousted provincial jurisdiction, then labour relations in the fishing industry would be federal, which they are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At para. 57, the Court summarized the applicable principles as follows:</w:t>
      </w:r>
      <w:r>
        <w:rPr>
          <w:rFonts w:ascii="arial" w:eastAsia="arial" w:hAnsi="arial" w:cs="arial"/>
          <w:sz w:val="20"/>
          <w:lang w:val="en-US" w:eastAsia="en-US" w:bidi="ar-SA"/>
        </w:rPr>
        <w:cr/>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Nova Scotia's </w:t>
      </w:r>
      <w:r>
        <w:rPr>
          <w:rFonts w:ascii="arial" w:eastAsia="arial" w:hAnsi="arial" w:cs="arial"/>
          <w:i/>
          <w:color w:val="000000"/>
          <w:sz w:val="20"/>
          <w:lang w:val="en-US" w:eastAsia="en-US" w:bidi="ar-SA"/>
        </w:rPr>
        <w:t>OHS Act</w:t>
      </w:r>
      <w:r>
        <w:rPr>
          <w:rFonts w:ascii="arial" w:eastAsia="arial" w:hAnsi="arial" w:cs="arial"/>
          <w:color w:val="000000"/>
          <w:sz w:val="20"/>
          <w:lang w:val="en-US" w:eastAsia="en-US" w:bidi="ar-SA"/>
        </w:rPr>
        <w:t xml:space="preserve"> in pith and substance relates to the matters of labour relations or management of an undertaking.</w:t>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Labour relations and management of an undertaking generally are provincial under s. 92(13), unless the exercise of federal jurisdiction is integral to Parliament's exclusive jurisdiction over a class of subjects in s. 91.</w:t>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a subset of point 2, and subject to the same federal exception, labour relations of a provincially based fishing undertaking generally is provincial, notwithstanding that the vessels fish and navigate waters outside the provincial boundaries.</w:t>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Whether the labour relations (including occupational health and safety) of Mersey Seafoods or the </w:t>
      </w:r>
      <w:r>
        <w:rPr>
          <w:rFonts w:ascii="arial" w:eastAsia="arial" w:hAnsi="arial" w:cs="arial"/>
          <w:i/>
          <w:color w:val="000000"/>
          <w:sz w:val="20"/>
          <w:lang w:val="en-US" w:eastAsia="en-US" w:bidi="ar-SA"/>
        </w:rPr>
        <w:t>Mersey Venture</w:t>
      </w:r>
      <w:r>
        <w:rPr>
          <w:rFonts w:ascii="arial" w:eastAsia="arial" w:hAnsi="arial" w:cs="arial"/>
          <w:color w:val="000000"/>
          <w:sz w:val="20"/>
          <w:lang w:val="en-US" w:eastAsia="en-US" w:bidi="ar-SA"/>
        </w:rPr>
        <w:t xml:space="preserve"> is federal as an exception to the general rule, depends principally on whether Mersey Seafoods or </w:t>
      </w:r>
      <w:r>
        <w:rPr>
          <w:rFonts w:ascii="arial" w:eastAsia="arial" w:hAnsi="arial" w:cs="arial"/>
          <w:i/>
          <w:color w:val="000000"/>
          <w:sz w:val="20"/>
          <w:lang w:val="en-US" w:eastAsia="en-US" w:bidi="ar-SA"/>
        </w:rPr>
        <w:t>Mersey Venture</w:t>
      </w:r>
      <w:r>
        <w:rPr>
          <w:rFonts w:ascii="arial" w:eastAsia="arial" w:hAnsi="arial" w:cs="arial"/>
          <w:color w:val="000000"/>
          <w:sz w:val="20"/>
          <w:lang w:val="en-US" w:eastAsia="en-US" w:bidi="ar-SA"/>
        </w:rPr>
        <w:t xml:space="preserve"> is a federal undertaking.</w:t>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determination of whether the undertaking is federal or provincial depends on the normal and habitual activities of the business as a going concern. (Justice Dickson's sixth point in </w:t>
      </w:r>
      <w:r>
        <w:rPr>
          <w:rFonts w:ascii="arial" w:eastAsia="arial" w:hAnsi="arial" w:cs="arial"/>
          <w:i/>
          <w:color w:val="000000"/>
          <w:sz w:val="20"/>
          <w:lang w:val="en-US" w:eastAsia="en-US" w:bidi="ar-SA"/>
        </w:rPr>
        <w:t>Northern Telecom</w:t>
      </w:r>
      <w:r>
        <w:rPr>
          <w:rFonts w:ascii="arial" w:eastAsia="arial" w:hAnsi="arial" w:cs="arial"/>
          <w:color w:val="000000"/>
          <w:sz w:val="20"/>
          <w:lang w:val="en-US" w:eastAsia="en-US" w:bidi="ar-SA"/>
        </w:rPr>
        <w:t xml:space="preserve">, </w:t>
      </w:r>
      <w:hyperlink r:id="rId697" w:history="1">
        <w:r>
          <w:rPr>
            <w:rFonts w:ascii="arial" w:eastAsia="arial" w:hAnsi="arial" w:cs="arial"/>
            <w:i/>
            <w:color w:val="0077CC"/>
            <w:sz w:val="20"/>
            <w:u w:val="single"/>
            <w:shd w:val="clear" w:color="auto" w:fill="FFFFFF"/>
            <w:lang w:val="en-US" w:eastAsia="en-US" w:bidi="ar-SA"/>
          </w:rPr>
          <w:t>[1980] 1 S.C.R. 115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xml:space="preserve">  Fichaud J.A. referred to the evidence that Mersey Seafoods is in the business of catching and processing fish and selling fish product, that it is based and managed in Nova Scotia, and that its vessels catch fish at sea well beyond provincial boundaries and unload them in Nova Scotia. The Court held that Mersey Seafoods was a provincial undertaking, and that its provincially based fishing operation did not become a federal undertaking just because its vessels fished outside the boundary of Nova Scotia. (Later, at paras. 62-63, it held that the vessel and the company were a functional unit, distinguishing the case from </w:t>
      </w:r>
      <w:r>
        <w:rPr>
          <w:rFonts w:ascii="arial" w:eastAsia="arial" w:hAnsi="arial" w:cs="arial"/>
          <w:b/>
          <w:i/>
          <w:color w:val="000000"/>
          <w:sz w:val="20"/>
          <w:lang w:val="en-US" w:eastAsia="en-US" w:bidi="ar-SA"/>
        </w:rPr>
        <w:t>C.P.R. Co. v. British Columbia (Attorney General)</w:t>
      </w:r>
      <w:r>
        <w:rPr>
          <w:rFonts w:ascii="arial" w:eastAsia="arial" w:hAnsi="arial" w:cs="arial"/>
          <w:color w:val="000000"/>
          <w:sz w:val="20"/>
          <w:lang w:val="en-US" w:eastAsia="en-US" w:bidi="ar-SA"/>
        </w:rPr>
        <w:t xml:space="preserve">, </w:t>
      </w:r>
      <w:hyperlink r:id="rId698" w:history="1">
        <w:r>
          <w:rPr>
            <w:rFonts w:ascii="arial" w:eastAsia="arial" w:hAnsi="arial" w:cs="arial"/>
            <w:i/>
            <w:color w:val="0077CC"/>
            <w:sz w:val="20"/>
            <w:u w:val="single"/>
            <w:shd w:val="clear" w:color="auto" w:fill="FFFFFF"/>
            <w:lang w:val="en-US" w:eastAsia="en-US" w:bidi="ar-SA"/>
          </w:rPr>
          <w:t>[1950] 1 D.L.R. 721</w:t>
        </w:r>
      </w:hyperlink>
      <w:r>
        <w:rPr>
          <w:rFonts w:ascii="arial" w:eastAsia="arial" w:hAnsi="arial" w:cs="arial"/>
          <w:color w:val="000000"/>
          <w:sz w:val="20"/>
          <w:lang w:val="en-US" w:eastAsia="en-US" w:bidi="ar-SA"/>
        </w:rPr>
        <w:t xml:space="preserve">, </w:t>
      </w:r>
      <w:hyperlink r:id="rId698" w:history="1">
        <w:r>
          <w:rPr>
            <w:rFonts w:ascii="arial" w:eastAsia="arial" w:hAnsi="arial" w:cs="arial"/>
            <w:i/>
            <w:color w:val="0077CC"/>
            <w:sz w:val="20"/>
            <w:u w:val="single"/>
            <w:shd w:val="clear" w:color="auto" w:fill="FFFFFF"/>
            <w:lang w:val="en-US" w:eastAsia="en-US" w:bidi="ar-SA"/>
          </w:rPr>
          <w:t>[1950] A.C. 122</w:t>
        </w:r>
      </w:hyperlink>
      <w:r>
        <w:rPr>
          <w:rFonts w:ascii="arial" w:eastAsia="arial" w:hAnsi="arial" w:cs="arial"/>
          <w:color w:val="000000"/>
          <w:sz w:val="20"/>
          <w:lang w:val="en-US" w:eastAsia="en-US" w:bidi="ar-SA"/>
        </w:rPr>
        <w:t xml:space="preserve">, where the Empress Hotel was held to be a provincial undertaking, separate from the C.P.R.'s federal undertaking.) It concluded that the </w:t>
      </w:r>
      <w:r>
        <w:rPr>
          <w:rFonts w:ascii="arial" w:eastAsia="arial" w:hAnsi="arial" w:cs="arial"/>
          <w:b/>
          <w:i/>
          <w:color w:val="000000"/>
          <w:sz w:val="20"/>
          <w:lang w:val="en-US" w:eastAsia="en-US" w:bidi="ar-SA"/>
        </w:rPr>
        <w:t>OHS Act</w:t>
      </w:r>
      <w:r>
        <w:rPr>
          <w:rFonts w:ascii="arial" w:eastAsia="arial" w:hAnsi="arial" w:cs="arial"/>
          <w:color w:val="000000"/>
          <w:sz w:val="20"/>
          <w:lang w:val="en-US" w:eastAsia="en-US" w:bidi="ar-SA"/>
        </w:rPr>
        <w:t xml:space="preserve"> applied to Mersey Seafoods under s. 92(13) as an aspect of labour relations or management of an undertaking, and did not offend the exclusive federal jurisdiction over navigation and shipping under s. 91(10); any impact on navigation and shipping was incidental. The Court stated at para. 59: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That Mersey Seafoods also is subject to federal legislation governing navigation and shipping is the double aspect doctrine at work under our system of cooperative federalism (</w:t>
      </w:r>
      <w:r>
        <w:rPr>
          <w:rFonts w:ascii="arial" w:eastAsia="arial" w:hAnsi="arial" w:cs="arial"/>
          <w:i/>
          <w:color w:val="000000"/>
          <w:sz w:val="20"/>
          <w:lang w:val="en-US" w:eastAsia="en-US" w:bidi="ar-SA"/>
        </w:rPr>
        <w:t>Canadian Western Bank,</w:t>
      </w:r>
      <w:r>
        <w:rPr>
          <w:rFonts w:ascii="arial" w:eastAsia="arial" w:hAnsi="arial" w:cs="arial"/>
          <w:color w:val="000000"/>
          <w:sz w:val="20"/>
          <w:lang w:val="en-US" w:eastAsia="en-US" w:bidi="ar-SA"/>
        </w:rPr>
        <w:t xml:space="preserve"> para. 24, 30; </w:t>
      </w:r>
      <w:r>
        <w:rPr>
          <w:rFonts w:ascii="arial" w:eastAsia="arial" w:hAnsi="arial" w:cs="arial"/>
          <w:i/>
          <w:color w:val="000000"/>
          <w:sz w:val="20"/>
          <w:lang w:val="en-US" w:eastAsia="en-US" w:bidi="ar-SA"/>
        </w:rPr>
        <w:t>Ward</w:t>
      </w:r>
      <w:r>
        <w:rPr>
          <w:rFonts w:ascii="arial" w:eastAsia="arial" w:hAnsi="arial" w:cs="arial"/>
          <w:color w:val="000000"/>
          <w:sz w:val="20"/>
          <w:lang w:val="en-US" w:eastAsia="en-US" w:bidi="ar-SA"/>
        </w:rPr>
        <w:t>, para. 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xml:space="preserve">  The Court then described the </w:t>
      </w:r>
      <w:r>
        <w:rPr>
          <w:rFonts w:ascii="arial" w:eastAsia="arial" w:hAnsi="arial" w:cs="arial"/>
          <w:b/>
          <w:i/>
          <w:color w:val="000000"/>
          <w:sz w:val="20"/>
          <w:lang w:val="en-US" w:eastAsia="en-US" w:bidi="ar-SA"/>
        </w:rPr>
        <w:t>Canadian Western Bank</w:t>
      </w:r>
      <w:r>
        <w:rPr>
          <w:rFonts w:ascii="arial" w:eastAsia="arial" w:hAnsi="arial" w:cs="arial"/>
          <w:color w:val="000000"/>
          <w:sz w:val="20"/>
          <w:lang w:val="en-US" w:eastAsia="en-US" w:bidi="ar-SA"/>
        </w:rPr>
        <w:t xml:space="preserve"> case as recasting the principles of interjurisdictional immunity from those set out in </w:t>
      </w:r>
      <w:r>
        <w:rPr>
          <w:rFonts w:ascii="arial" w:eastAsia="arial" w:hAnsi="arial" w:cs="arial"/>
          <w:b/>
          <w:i/>
          <w:color w:val="000000"/>
          <w:sz w:val="20"/>
          <w:lang w:val="en-US" w:eastAsia="en-US" w:bidi="ar-SA"/>
        </w:rPr>
        <w:t>Ordon Estate</w:t>
      </w:r>
      <w:r>
        <w:rPr>
          <w:rFonts w:ascii="arial" w:eastAsia="arial" w:hAnsi="arial" w:cs="arial"/>
          <w:color w:val="000000"/>
          <w:sz w:val="20"/>
          <w:lang w:val="en-US" w:eastAsia="en-US" w:bidi="ar-SA"/>
        </w:rPr>
        <w:t>, and stated at para. 61: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Canadian Western Bank</w:t>
      </w:r>
      <w:r>
        <w:rPr>
          <w:rFonts w:ascii="arial" w:eastAsia="arial" w:hAnsi="arial" w:cs="arial"/>
          <w:color w:val="000000"/>
          <w:sz w:val="20"/>
          <w:lang w:val="en-US" w:eastAsia="en-US" w:bidi="ar-SA"/>
        </w:rPr>
        <w:t xml:space="preserve">, Justices Binnie and LeBel ... said that a provincial statute will offend federal interjurisdictional immunity when the statute "impairs" (rather than merely "affects" - the earlier test) either (1) the "core" of a federal competence or (2) a vital or essential part of a federal undertaking. It is navigation and shipping, not plenary "safety" </w:t>
      </w:r>
      <w:r>
        <w:rPr>
          <w:rFonts w:ascii="arial" w:eastAsia="arial" w:hAnsi="arial" w:cs="arial"/>
          <w:i/>
          <w:color w:val="000000"/>
          <w:sz w:val="20"/>
          <w:lang w:val="en-US" w:eastAsia="en-US" w:bidi="ar-SA"/>
        </w:rPr>
        <w:t>per se</w:t>
      </w:r>
      <w:r>
        <w:rPr>
          <w:rFonts w:ascii="arial" w:eastAsia="arial" w:hAnsi="arial" w:cs="arial"/>
          <w:color w:val="000000"/>
          <w:sz w:val="20"/>
          <w:lang w:val="en-US" w:eastAsia="en-US" w:bidi="ar-SA"/>
        </w:rPr>
        <w:t xml:space="preserve">, that is exclusively federal under s. 91(10). Provincial occupational health and safety standards may supplement federal shipping safety regulation without impairing the core of federal competence over navigation and shipping. Counsel for the Attorney General of Canada acknowledged in his submissions that the </w:t>
      </w:r>
      <w:r>
        <w:rPr>
          <w:rFonts w:ascii="arial" w:eastAsia="arial" w:hAnsi="arial" w:cs="arial"/>
          <w:i/>
          <w:color w:val="000000"/>
          <w:sz w:val="20"/>
          <w:lang w:val="en-US" w:eastAsia="en-US" w:bidi="ar-SA"/>
        </w:rPr>
        <w:t>OHS Act</w:t>
      </w:r>
      <w:r>
        <w:rPr>
          <w:rFonts w:ascii="arial" w:eastAsia="arial" w:hAnsi="arial" w:cs="arial"/>
          <w:color w:val="000000"/>
          <w:sz w:val="20"/>
          <w:lang w:val="en-US" w:eastAsia="en-US" w:bidi="ar-SA"/>
        </w:rPr>
        <w:t xml:space="preserve"> does not hamper federal navigation and shipping governance in theory or practice. As Mersey Seafoods is a provincial undertaking, the second test of interjurisdictional immunity does not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Thus, the Court of Appeal held, the court below had erred in ruling that the application of the occupational health and safety legislation to Mersey Seafoods and the "Mersey Venture" infringed Parliament's power over navigation and shipping in s. 91(10), and in ruling that the company or vessel was a federal undertaking. It held that there was no infringement of federal interjurisdictional immunity.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xml:space="preserve">  As to the argument based on paramountcy, the Nova Scotia Court of Appeal referred again to </w:t>
      </w:r>
      <w:r>
        <w:rPr>
          <w:rFonts w:ascii="arial" w:eastAsia="arial" w:hAnsi="arial" w:cs="arial"/>
          <w:b/>
          <w:i/>
          <w:color w:val="000000"/>
          <w:sz w:val="20"/>
          <w:lang w:val="en-US" w:eastAsia="en-US" w:bidi="ar-SA"/>
        </w:rPr>
        <w:t>Canadian Western Bank</w:t>
      </w:r>
      <w:r>
        <w:rPr>
          <w:rFonts w:ascii="arial" w:eastAsia="arial" w:hAnsi="arial" w:cs="arial"/>
          <w:color w:val="000000"/>
          <w:sz w:val="20"/>
          <w:lang w:val="en-US" w:eastAsia="en-US" w:bidi="ar-SA"/>
        </w:rPr>
        <w:t xml:space="preserve">, noting that the former "occupied field" test of paramountcy is not the law and that mere duplication will not render a provincial statute inoperative. The Court held that the courts below had made the incorrect assumption that Mersey Seafoods or the "Mersey Venture" had been regulated by the </w:t>
      </w:r>
      <w:r>
        <w:rPr>
          <w:rFonts w:ascii="arial" w:eastAsia="arial" w:hAnsi="arial" w:cs="arial"/>
          <w:b/>
          <w:i/>
          <w:color w:val="000000"/>
          <w:sz w:val="20"/>
          <w:lang w:val="en-US" w:eastAsia="en-US" w:bidi="ar-SA"/>
        </w:rPr>
        <w:t>Canada Labour Code</w:t>
      </w:r>
      <w:r>
        <w:rPr>
          <w:rFonts w:ascii="arial" w:eastAsia="arial" w:hAnsi="arial" w:cs="arial"/>
          <w:color w:val="000000"/>
          <w:sz w:val="20"/>
          <w:lang w:val="en-US" w:eastAsia="en-US" w:bidi="ar-SA"/>
        </w:rPr>
        <w:t xml:space="preserve"> Part I (Industrial Relations) or Part II (Occupational Health and Safety), leading to the erroneous conclusion that the </w:t>
      </w:r>
      <w:r>
        <w:rPr>
          <w:rFonts w:ascii="arial" w:eastAsia="arial" w:hAnsi="arial" w:cs="arial"/>
          <w:b/>
          <w:i/>
          <w:color w:val="000000"/>
          <w:sz w:val="20"/>
          <w:lang w:val="en-US" w:eastAsia="en-US" w:bidi="ar-SA"/>
        </w:rPr>
        <w:t>MOSH Regulations</w:t>
      </w:r>
      <w:r>
        <w:rPr>
          <w:rFonts w:ascii="arial" w:eastAsia="arial" w:hAnsi="arial" w:cs="arial"/>
          <w:color w:val="000000"/>
          <w:sz w:val="20"/>
          <w:lang w:val="en-US" w:eastAsia="en-US" w:bidi="ar-SA"/>
        </w:rPr>
        <w:t xml:space="preserve"> applied. It stated that the federal regulation of the "Mersey Venture" stems principally from the </w:t>
      </w:r>
      <w:r>
        <w:rPr>
          <w:rFonts w:ascii="arial" w:eastAsia="arial" w:hAnsi="arial" w:cs="arial"/>
          <w:b/>
          <w:i/>
          <w:color w:val="000000"/>
          <w:sz w:val="20"/>
          <w:lang w:val="en-US" w:eastAsia="en-US" w:bidi="ar-SA"/>
        </w:rPr>
        <w:t>Canada Shipping Act</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Fisheries Act</w:t>
      </w:r>
      <w:r>
        <w:rPr>
          <w:rFonts w:ascii="arial" w:eastAsia="arial" w:hAnsi="arial" w:cs="arial"/>
          <w:color w:val="000000"/>
          <w:sz w:val="20"/>
          <w:lang w:val="en-US" w:eastAsia="en-US" w:bidi="ar-SA"/>
        </w:rPr>
        <w:t xml:space="preserve"> and that, as a provincial undertaking, Mersey Seafoods is outside Part II of the </w:t>
      </w:r>
      <w:r>
        <w:rPr>
          <w:rFonts w:ascii="arial" w:eastAsia="arial" w:hAnsi="arial" w:cs="arial"/>
          <w:b/>
          <w:i/>
          <w:color w:val="000000"/>
          <w:sz w:val="20"/>
          <w:lang w:val="en-US" w:eastAsia="en-US" w:bidi="ar-SA"/>
        </w:rPr>
        <w:t>Canada Labour Code</w:t>
      </w:r>
      <w:r>
        <w:rPr>
          <w:rFonts w:ascii="arial" w:eastAsia="arial" w:hAnsi="arial" w:cs="arial"/>
          <w:color w:val="000000"/>
          <w:sz w:val="20"/>
          <w:lang w:val="en-US" w:eastAsia="en-US" w:bidi="ar-SA"/>
        </w:rPr>
        <w:t xml:space="preserve">. The Court stated the </w:t>
      </w:r>
      <w:r>
        <w:rPr>
          <w:rFonts w:ascii="arial" w:eastAsia="arial" w:hAnsi="arial" w:cs="arial"/>
          <w:b/>
          <w:i/>
          <w:color w:val="000000"/>
          <w:sz w:val="20"/>
          <w:lang w:val="en-US" w:eastAsia="en-US" w:bidi="ar-SA"/>
        </w:rPr>
        <w:t>OHS Act</w:t>
      </w:r>
      <w:r>
        <w:rPr>
          <w:rFonts w:ascii="arial" w:eastAsia="arial" w:hAnsi="arial" w:cs="arial"/>
          <w:color w:val="000000"/>
          <w:sz w:val="20"/>
          <w:lang w:val="en-US" w:eastAsia="en-US" w:bidi="ar-SA"/>
        </w:rPr>
        <w:t xml:space="preserve"> and Part II of the </w:t>
      </w:r>
      <w:r>
        <w:rPr>
          <w:rFonts w:ascii="arial" w:eastAsia="arial" w:hAnsi="arial" w:cs="arial"/>
          <w:b/>
          <w:i/>
          <w:color w:val="000000"/>
          <w:sz w:val="20"/>
          <w:lang w:val="en-US" w:eastAsia="en-US" w:bidi="ar-SA"/>
        </w:rPr>
        <w:t>Canada Labour Code</w:t>
      </w:r>
      <w:r>
        <w:rPr>
          <w:rFonts w:ascii="arial" w:eastAsia="arial" w:hAnsi="arial" w:cs="arial"/>
          <w:color w:val="000000"/>
          <w:sz w:val="20"/>
          <w:lang w:val="en-US" w:eastAsia="en-US" w:bidi="ar-SA"/>
        </w:rPr>
        <w:t xml:space="preserve"> create two mutually exclusive regimes between which paramountcy does not arise.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The Court then applied the test for paramountcy, and held that no operational conflict had been established (at para. 83); nor was there frustration of a federal purpose, stating (at para. 85):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Mersey Seafoods, including </w:t>
      </w:r>
      <w:r>
        <w:rPr>
          <w:rFonts w:ascii="arial" w:eastAsia="arial" w:hAnsi="arial" w:cs="arial"/>
          <w:i/>
          <w:color w:val="000000"/>
          <w:sz w:val="20"/>
          <w:lang w:val="en-US" w:eastAsia="en-US" w:bidi="ar-SA"/>
        </w:rPr>
        <w:t>Mersey Venture</w:t>
      </w:r>
      <w:r>
        <w:rPr>
          <w:rFonts w:ascii="arial" w:eastAsia="arial" w:hAnsi="arial" w:cs="arial"/>
          <w:color w:val="000000"/>
          <w:sz w:val="20"/>
          <w:lang w:val="en-US" w:eastAsia="en-US" w:bidi="ar-SA"/>
        </w:rPr>
        <w:t xml:space="preserve">, is a provincial undertaking, Part II of the </w:t>
      </w:r>
      <w:r>
        <w:rPr>
          <w:rFonts w:ascii="arial" w:eastAsia="arial" w:hAnsi="arial" w:cs="arial"/>
          <w:i/>
          <w:color w:val="000000"/>
          <w:sz w:val="20"/>
          <w:lang w:val="en-US" w:eastAsia="en-US" w:bidi="ar-SA"/>
        </w:rPr>
        <w:t>Canada Labour Code</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MOSH Regulations</w:t>
      </w:r>
      <w:r>
        <w:rPr>
          <w:rFonts w:ascii="arial" w:eastAsia="arial" w:hAnsi="arial" w:cs="arial"/>
          <w:color w:val="000000"/>
          <w:sz w:val="20"/>
          <w:lang w:val="en-US" w:eastAsia="en-US" w:bidi="ar-SA"/>
        </w:rPr>
        <w:t xml:space="preserve"> are replaced by Nova Scotia's </w:t>
      </w:r>
      <w:r>
        <w:rPr>
          <w:rFonts w:ascii="arial" w:eastAsia="arial" w:hAnsi="arial" w:cs="arial"/>
          <w:i/>
          <w:color w:val="000000"/>
          <w:sz w:val="20"/>
          <w:lang w:val="en-US" w:eastAsia="en-US" w:bidi="ar-SA"/>
        </w:rPr>
        <w:t>OHS Act</w:t>
      </w:r>
      <w:r>
        <w:rPr>
          <w:rFonts w:ascii="arial" w:eastAsia="arial" w:hAnsi="arial" w:cs="arial"/>
          <w:color w:val="000000"/>
          <w:sz w:val="20"/>
          <w:lang w:val="en-US" w:eastAsia="en-US" w:bidi="ar-SA"/>
        </w:rPr>
        <w:t xml:space="preserve">. But that substitution does not change the federal purpose -- the </w:t>
      </w:r>
      <w:r>
        <w:rPr>
          <w:rFonts w:ascii="arial" w:eastAsia="arial" w:hAnsi="arial" w:cs="arial"/>
          <w:i/>
          <w:color w:val="000000"/>
          <w:sz w:val="20"/>
          <w:lang w:val="en-US" w:eastAsia="en-US" w:bidi="ar-SA"/>
        </w:rPr>
        <w:t>Canada Shipping Act</w:t>
      </w:r>
      <w:r>
        <w:rPr>
          <w:rFonts w:ascii="arial" w:eastAsia="arial" w:hAnsi="arial" w:cs="arial"/>
          <w:color w:val="000000"/>
          <w:sz w:val="20"/>
          <w:lang w:val="en-US" w:eastAsia="en-US" w:bidi="ar-SA"/>
        </w:rPr>
        <w:t xml:space="preserve"> does not aim to exclude occupational health and safety legislation. Nova Scotia's </w:t>
      </w:r>
      <w:r>
        <w:rPr>
          <w:rFonts w:ascii="arial" w:eastAsia="arial" w:hAnsi="arial" w:cs="arial"/>
          <w:i/>
          <w:color w:val="000000"/>
          <w:sz w:val="20"/>
          <w:lang w:val="en-US" w:eastAsia="en-US" w:bidi="ar-SA"/>
        </w:rPr>
        <w:t>OHS Act</w:t>
      </w:r>
      <w:r>
        <w:rPr>
          <w:rFonts w:ascii="arial" w:eastAsia="arial" w:hAnsi="arial" w:cs="arial"/>
          <w:color w:val="000000"/>
          <w:sz w:val="20"/>
          <w:lang w:val="en-US" w:eastAsia="en-US" w:bidi="ar-SA"/>
        </w:rPr>
        <w:t xml:space="preserve"> does not frustrate any federal statutory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xml:space="preserve">  Although the appellate decision in </w:t>
      </w:r>
      <w:r>
        <w:rPr>
          <w:rFonts w:ascii="arial" w:eastAsia="arial" w:hAnsi="arial" w:cs="arial"/>
          <w:b/>
          <w:i/>
          <w:color w:val="000000"/>
          <w:sz w:val="20"/>
          <w:lang w:val="en-US" w:eastAsia="en-US" w:bidi="ar-SA"/>
        </w:rPr>
        <w:t>Mersey Seafoods</w:t>
      </w:r>
      <w:r>
        <w:rPr>
          <w:rFonts w:ascii="arial" w:eastAsia="arial" w:hAnsi="arial" w:cs="arial"/>
          <w:color w:val="000000"/>
          <w:sz w:val="20"/>
          <w:lang w:val="en-US" w:eastAsia="en-US" w:bidi="ar-SA"/>
        </w:rPr>
        <w:t xml:space="preserve"> is not binding on this Court, it is a persuasive authority. Counsel for the Attorney General and counsel for the WCB argued that it is directly on point, and should be followed.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xml:space="preserve">  On the other hand, the position of the petitioners in </w:t>
      </w:r>
      <w:r>
        <w:rPr>
          <w:rFonts w:ascii="arial" w:eastAsia="arial" w:hAnsi="arial" w:cs="arial"/>
          <w:b/>
          <w:i/>
          <w:color w:val="000000"/>
          <w:sz w:val="20"/>
          <w:lang w:val="en-US" w:eastAsia="en-US" w:bidi="ar-SA"/>
        </w:rPr>
        <w:t>Pattison</w:t>
      </w:r>
      <w:r>
        <w:rPr>
          <w:rFonts w:ascii="arial" w:eastAsia="arial" w:hAnsi="arial" w:cs="arial"/>
          <w:color w:val="000000"/>
          <w:sz w:val="20"/>
          <w:lang w:val="en-US" w:eastAsia="en-US" w:bidi="ar-SA"/>
        </w:rPr>
        <w:t xml:space="preserve"> and of the plaintiff in </w:t>
      </w:r>
      <w:r>
        <w:rPr>
          <w:rFonts w:ascii="arial" w:eastAsia="arial" w:hAnsi="arial" w:cs="arial"/>
          <w:b/>
          <w:i/>
          <w:color w:val="000000"/>
          <w:sz w:val="20"/>
          <w:lang w:val="en-US" w:eastAsia="en-US" w:bidi="ar-SA"/>
        </w:rPr>
        <w:t>Osprey Marine</w:t>
      </w:r>
      <w:r>
        <w:rPr>
          <w:rFonts w:ascii="arial" w:eastAsia="arial" w:hAnsi="arial" w:cs="arial"/>
          <w:color w:val="000000"/>
          <w:sz w:val="20"/>
          <w:lang w:val="en-US" w:eastAsia="en-US" w:bidi="ar-SA"/>
        </w:rPr>
        <w:t xml:space="preserve"> is that </w:t>
      </w:r>
      <w:r>
        <w:rPr>
          <w:rFonts w:ascii="arial" w:eastAsia="arial" w:hAnsi="arial" w:cs="arial"/>
          <w:b/>
          <w:i/>
          <w:color w:val="000000"/>
          <w:sz w:val="20"/>
          <w:lang w:val="en-US" w:eastAsia="en-US" w:bidi="ar-SA"/>
        </w:rPr>
        <w:t>Mersey Seafoods</w:t>
      </w:r>
      <w:r>
        <w:rPr>
          <w:rFonts w:ascii="arial" w:eastAsia="arial" w:hAnsi="arial" w:cs="arial"/>
          <w:color w:val="000000"/>
          <w:sz w:val="20"/>
          <w:lang w:val="en-US" w:eastAsia="en-US" w:bidi="ar-SA"/>
        </w:rPr>
        <w:t xml:space="preserve"> is distinguishable.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xml:space="preserve">  The first ground of distinction argued was that the Nova Scotia legislation is general in nature and makes no reference to fishing vessels or to vessels of any kind. Thus, all parties in the </w:t>
      </w:r>
      <w:r>
        <w:rPr>
          <w:rFonts w:ascii="arial" w:eastAsia="arial" w:hAnsi="arial" w:cs="arial"/>
          <w:b/>
          <w:i/>
          <w:color w:val="000000"/>
          <w:sz w:val="20"/>
          <w:lang w:val="en-US" w:eastAsia="en-US" w:bidi="ar-SA"/>
        </w:rPr>
        <w:t>Mersey</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Seafoods</w:t>
      </w:r>
      <w:r>
        <w:rPr>
          <w:rFonts w:ascii="arial" w:eastAsia="arial" w:hAnsi="arial" w:cs="arial"/>
          <w:color w:val="000000"/>
          <w:sz w:val="20"/>
          <w:lang w:val="en-US" w:eastAsia="en-US" w:bidi="ar-SA"/>
        </w:rPr>
        <w:t xml:space="preserve"> case agreed that the Nova Scotia </w:t>
      </w:r>
      <w:r>
        <w:rPr>
          <w:rFonts w:ascii="arial" w:eastAsia="arial" w:hAnsi="arial" w:cs="arial"/>
          <w:b/>
          <w:i/>
          <w:color w:val="000000"/>
          <w:sz w:val="20"/>
          <w:lang w:val="en-US" w:eastAsia="en-US" w:bidi="ar-SA"/>
        </w:rPr>
        <w:t>OHS Act</w:t>
      </w:r>
      <w:r>
        <w:rPr>
          <w:rFonts w:ascii="arial" w:eastAsia="arial" w:hAnsi="arial" w:cs="arial"/>
          <w:color w:val="000000"/>
          <w:sz w:val="20"/>
          <w:lang w:val="en-US" w:eastAsia="en-US" w:bidi="ar-SA"/>
        </w:rPr>
        <w:t xml:space="preserve"> and its </w:t>
      </w:r>
      <w:r>
        <w:rPr>
          <w:rFonts w:ascii="arial" w:eastAsia="arial" w:hAnsi="arial" w:cs="arial"/>
          <w:b/>
          <w:i/>
          <w:color w:val="000000"/>
          <w:sz w:val="20"/>
          <w:lang w:val="en-US" w:eastAsia="en-US" w:bidi="ar-SA"/>
        </w:rPr>
        <w:t>Regulations</w:t>
      </w:r>
      <w:r>
        <w:rPr>
          <w:rFonts w:ascii="arial" w:eastAsia="arial" w:hAnsi="arial" w:cs="arial"/>
          <w:color w:val="000000"/>
          <w:sz w:val="20"/>
          <w:lang w:val="en-US" w:eastAsia="en-US" w:bidi="ar-SA"/>
        </w:rPr>
        <w:t xml:space="preserve"> were </w:t>
      </w:r>
      <w:r>
        <w:rPr>
          <w:rFonts w:ascii="arial" w:eastAsia="arial" w:hAnsi="arial" w:cs="arial"/>
          <w:i/>
          <w:color w:val="000000"/>
          <w:sz w:val="20"/>
          <w:lang w:val="en-US" w:eastAsia="en-US" w:bidi="ar-SA"/>
        </w:rPr>
        <w:t>intra vires</w:t>
      </w:r>
      <w:r>
        <w:rPr>
          <w:rFonts w:ascii="arial" w:eastAsia="arial" w:hAnsi="arial" w:cs="arial"/>
          <w:color w:val="000000"/>
          <w:sz w:val="20"/>
          <w:lang w:val="en-US" w:eastAsia="en-US" w:bidi="ar-SA"/>
        </w:rPr>
        <w:t xml:space="preserve"> the Province of Nova Scotia, and the law's pith and substance was never a contested issue. That was not the starting point in this case, where the petitioners' and plaintiff's position is that the impugned regulations are, in pith and substance, about navigation and shipping - an exclusively federal responsibility.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xml:space="preserve">  Second, the plaintiff and petitioners submitted that the Nova Scotia Court of Appeal conclusion that the </w:t>
      </w:r>
      <w:r>
        <w:rPr>
          <w:rFonts w:ascii="arial" w:eastAsia="arial" w:hAnsi="arial" w:cs="arial"/>
          <w:b/>
          <w:i/>
          <w:color w:val="000000"/>
          <w:sz w:val="20"/>
          <w:lang w:val="en-US" w:eastAsia="en-US" w:bidi="ar-SA"/>
        </w:rPr>
        <w:t>Canada Labour Code</w:t>
      </w:r>
      <w:r>
        <w:rPr>
          <w:rFonts w:ascii="arial" w:eastAsia="arial" w:hAnsi="arial" w:cs="arial"/>
          <w:color w:val="000000"/>
          <w:sz w:val="20"/>
          <w:lang w:val="en-US" w:eastAsia="en-US" w:bidi="ar-SA"/>
        </w:rPr>
        <w:t xml:space="preserve"> did not apply flowed from its finding that Mersey Seafoods was a provincial undertaking. Here, they said that there is evidence of the application of the federal statute and regulations. (They conceded, however, that such application is not a question of evidence but of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Counsel for Osprey Marine argued that the Nova Scotia Court of Appeal was in error when it concluded that the emphasis should be on whether the undertaking is federal or provincial and that if the fishing undertaking is provincial, the mere fact that its vessel is navigated does not reassign constitutional jurisdiction over its labour relations exclusively to Parliament. Its position is that some fishing operations conducted on Canadian vessels and crewed by Canadians will be federal undertakings - such as those that fish outside the boundary of the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xml:space="preserve">  Further, it was argued that </w:t>
      </w:r>
      <w:r>
        <w:rPr>
          <w:rFonts w:ascii="arial" w:eastAsia="arial" w:hAnsi="arial" w:cs="arial"/>
          <w:b/>
          <w:i/>
          <w:color w:val="000000"/>
          <w:sz w:val="20"/>
          <w:lang w:val="en-US" w:eastAsia="en-US" w:bidi="ar-SA"/>
        </w:rPr>
        <w:t>Mersey Seafoods</w:t>
      </w:r>
      <w:r>
        <w:rPr>
          <w:rFonts w:ascii="arial" w:eastAsia="arial" w:hAnsi="arial" w:cs="arial"/>
          <w:color w:val="000000"/>
          <w:sz w:val="20"/>
          <w:lang w:val="en-US" w:eastAsia="en-US" w:bidi="ar-SA"/>
        </w:rPr>
        <w:t xml:space="preserve"> should not be followed because the Nova Scotia Court of Appeal took a restrictive view of Parliament's powers under s. 91(10) of the </w:t>
      </w:r>
      <w:r>
        <w:rPr>
          <w:rFonts w:ascii="arial" w:eastAsia="arial" w:hAnsi="arial" w:cs="arial"/>
          <w:b/>
          <w:i/>
          <w:color w:val="000000"/>
          <w:sz w:val="20"/>
          <w:lang w:val="en-US" w:eastAsia="en-US" w:bidi="ar-SA"/>
        </w:rPr>
        <w:t>Constitution Act, 1867</w:t>
      </w:r>
      <w:r>
        <w:rPr>
          <w:rFonts w:ascii="arial" w:eastAsia="arial" w:hAnsi="arial" w:cs="arial"/>
          <w:color w:val="000000"/>
          <w:sz w:val="20"/>
          <w:lang w:val="en-US" w:eastAsia="en-US" w:bidi="ar-SA"/>
        </w:rPr>
        <w:t xml:space="preserve">, inconsistent with recent decisions of the Supreme Court of Canada such as </w:t>
      </w:r>
      <w:r>
        <w:rPr>
          <w:rFonts w:ascii="arial" w:eastAsia="arial" w:hAnsi="arial" w:cs="arial"/>
          <w:b/>
          <w:i/>
          <w:color w:val="000000"/>
          <w:sz w:val="20"/>
          <w:lang w:val="en-US" w:eastAsia="en-US" w:bidi="ar-SA"/>
        </w:rPr>
        <w:t>Ordon Estate</w:t>
      </w:r>
      <w:r>
        <w:rPr>
          <w:rFonts w:ascii="arial" w:eastAsia="arial" w:hAnsi="arial" w:cs="arial"/>
          <w:color w:val="000000"/>
          <w:sz w:val="20"/>
          <w:lang w:val="en-US" w:eastAsia="en-US" w:bidi="ar-SA"/>
        </w:rPr>
        <w:t>, and did not acknowledge the "reorientation" that has occurred in Canadian maritime law jurisprudence.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Pith and Substance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The first task is to identify the pith and substance of the impugned legislation, recognizing that the fact that a law affects matters outside the legislature's jurisdiction will not automatically render it unconstitutional.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xml:space="preserve">  The Supreme Court of Canada stated in </w:t>
      </w:r>
      <w:r>
        <w:rPr>
          <w:rFonts w:ascii="arial" w:eastAsia="arial" w:hAnsi="arial" w:cs="arial"/>
          <w:b/>
          <w:i/>
          <w:color w:val="000000"/>
          <w:sz w:val="20"/>
          <w:lang w:val="en-US" w:eastAsia="en-US" w:bidi="ar-SA"/>
        </w:rPr>
        <w:t>Bell Canada (1988)</w:t>
      </w:r>
      <w:r>
        <w:rPr>
          <w:rFonts w:ascii="arial" w:eastAsia="arial" w:hAnsi="arial" w:cs="arial"/>
          <w:color w:val="000000"/>
          <w:sz w:val="20"/>
          <w:lang w:val="en-US" w:eastAsia="en-US" w:bidi="ar-SA"/>
        </w:rPr>
        <w:t xml:space="preserve"> that the general rule is that the provinces have jurisdiction over labour relations and working conditions, including industrial health and safety (at para. 18), subject to the exception (at para. 19) that "Parliament is vested with exclusive legislative jurisdiction over labour relations and working conditions when that jurisdiction is an integral part of its primary and exclusive jurisdiction over another class of subjects, as is the case with labour relations and working conditions in the federal undertakings covered by ss. 91(29) and 92(10)a., b. and c. of the </w:t>
      </w:r>
      <w:r>
        <w:rPr>
          <w:rFonts w:ascii="arial" w:eastAsia="arial" w:hAnsi="arial" w:cs="arial"/>
          <w:i/>
          <w:color w:val="000000"/>
          <w:sz w:val="20"/>
          <w:lang w:val="en-US" w:eastAsia="en-US" w:bidi="ar-SA"/>
        </w:rPr>
        <w:t>Constitution Act, 1867</w:t>
      </w:r>
      <w:r>
        <w:rPr>
          <w:rFonts w:ascii="arial" w:eastAsia="arial" w:hAnsi="arial" w:cs="arial"/>
          <w:color w:val="000000"/>
          <w:sz w:val="20"/>
          <w:lang w:val="en-US" w:eastAsia="en-US" w:bidi="ar-SA"/>
        </w:rPr>
        <w: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xml:space="preserve">  This principle was stated earlier in </w:t>
      </w:r>
      <w:r>
        <w:rPr>
          <w:rFonts w:ascii="arial" w:eastAsia="arial" w:hAnsi="arial" w:cs="arial"/>
          <w:b/>
          <w:i/>
          <w:color w:val="000000"/>
          <w:sz w:val="20"/>
          <w:lang w:val="en-US" w:eastAsia="en-US" w:bidi="ar-SA"/>
        </w:rPr>
        <w:t>Four B Manufacturing Ld. v. United Garment Workers of America</w:t>
      </w:r>
      <w:r>
        <w:rPr>
          <w:rFonts w:ascii="arial" w:eastAsia="arial" w:hAnsi="arial" w:cs="arial"/>
          <w:color w:val="000000"/>
          <w:sz w:val="20"/>
          <w:lang w:val="en-US" w:eastAsia="en-US" w:bidi="ar-SA"/>
        </w:rPr>
        <w:t xml:space="preserve">, </w:t>
      </w:r>
      <w:hyperlink r:id="rId699" w:history="1">
        <w:r>
          <w:rPr>
            <w:rFonts w:ascii="arial" w:eastAsia="arial" w:hAnsi="arial" w:cs="arial"/>
            <w:i/>
            <w:color w:val="0077CC"/>
            <w:sz w:val="20"/>
            <w:u w:val="single"/>
            <w:shd w:val="clear" w:color="auto" w:fill="FFFFFF"/>
            <w:lang w:val="en-US" w:eastAsia="en-US" w:bidi="ar-SA"/>
          </w:rPr>
          <w:t>[1980] 1 S.C.R. 1031</w:t>
        </w:r>
      </w:hyperlink>
      <w:r>
        <w:rPr>
          <w:rFonts w:ascii="arial" w:eastAsia="arial" w:hAnsi="arial" w:cs="arial"/>
          <w:color w:val="000000"/>
          <w:sz w:val="20"/>
          <w:lang w:val="en-US" w:eastAsia="en-US" w:bidi="ar-SA"/>
        </w:rPr>
        <w:t xml:space="preserve">, </w:t>
      </w:r>
      <w:hyperlink r:id="rId699" w:history="1">
        <w:r>
          <w:rPr>
            <w:rFonts w:ascii="arial" w:eastAsia="arial" w:hAnsi="arial" w:cs="arial"/>
            <w:i/>
            <w:color w:val="0077CC"/>
            <w:sz w:val="20"/>
            <w:u w:val="single"/>
            <w:shd w:val="clear" w:color="auto" w:fill="FFFFFF"/>
            <w:lang w:val="en-US" w:eastAsia="en-US" w:bidi="ar-SA"/>
          </w:rPr>
          <w:t>102 D.L.R. (3d) 385</w:t>
        </w:r>
      </w:hyperlink>
      <w:r>
        <w:rPr>
          <w:rFonts w:ascii="arial" w:eastAsia="arial" w:hAnsi="arial" w:cs="arial"/>
          <w:color w:val="000000"/>
          <w:sz w:val="20"/>
          <w:lang w:val="en-US" w:eastAsia="en-US" w:bidi="ar-SA"/>
        </w:rPr>
        <w:t>, where the Supreme Court of Canada held that the Ontario Labour Relations Board had jurisdiction over labour relations within a privately owned Ontario corporation operating a factory on a Mohawk Indian Reserve, pursuant to a licence issued by the Ministry of Indian Affairs. At 1045, Beetz J. (for the majority)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respect to labour relations, exclusive provincial competence is the rule, exclusive federal competence is the exception. The exception comprises, in the main, labour relations in undertakings, services and businesses which, having regard to the functional test of their nature of their operations and their normal activities, can be characterized as federal undertakings, services or businesses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xml:space="preserve">  The compensation scheme in the </w:t>
      </w:r>
      <w:r>
        <w:rPr>
          <w:rFonts w:ascii="arial" w:eastAsia="arial" w:hAnsi="arial" w:cs="arial"/>
          <w:b/>
          <w:i/>
          <w:color w:val="000000"/>
          <w:sz w:val="20"/>
          <w:lang w:val="en-US" w:eastAsia="en-US" w:bidi="ar-SA"/>
        </w:rPr>
        <w:t>WCA</w:t>
      </w:r>
      <w:r>
        <w:rPr>
          <w:rFonts w:ascii="arial" w:eastAsia="arial" w:hAnsi="arial" w:cs="arial"/>
          <w:color w:val="000000"/>
          <w:sz w:val="20"/>
          <w:lang w:val="en-US" w:eastAsia="en-US" w:bidi="ar-SA"/>
        </w:rPr>
        <w:t xml:space="preserve"> embodies a historic trade-off. A statutory bar prevents suits against employers where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causes injury to workers, but employers in return are required to contribute to the compensation scheme which provides limited benefits to injured workers. It was common ground among the parties that the compensation scheme (with its statutory bar) applies to the employees of the petitioners and the plaintiff. It has been held in this Court that the statutory bar to an action by a worker does not intrude on the federal power over navigation and shipping: </w:t>
      </w:r>
      <w:r>
        <w:rPr>
          <w:rFonts w:ascii="arial" w:eastAsia="arial" w:hAnsi="arial" w:cs="arial"/>
          <w:b/>
          <w:i/>
          <w:color w:val="000000"/>
          <w:sz w:val="20"/>
          <w:lang w:val="en-US" w:eastAsia="en-US" w:bidi="ar-SA"/>
        </w:rPr>
        <w:t>Laboucane v. Brooks</w:t>
      </w:r>
      <w:r>
        <w:rPr>
          <w:rFonts w:ascii="arial" w:eastAsia="arial" w:hAnsi="arial" w:cs="arial"/>
          <w:color w:val="000000"/>
          <w:sz w:val="20"/>
          <w:lang w:val="en-US" w:eastAsia="en-US" w:bidi="ar-SA"/>
        </w:rPr>
        <w:t xml:space="preserve">, </w:t>
      </w:r>
      <w:hyperlink r:id="rId700" w:history="1">
        <w:r>
          <w:rPr>
            <w:rFonts w:ascii="arial" w:eastAsia="arial" w:hAnsi="arial" w:cs="arial"/>
            <w:i/>
            <w:color w:val="0077CC"/>
            <w:sz w:val="20"/>
            <w:u w:val="single"/>
            <w:shd w:val="clear" w:color="auto" w:fill="FFFFFF"/>
            <w:lang w:val="en-US" w:eastAsia="en-US" w:bidi="ar-SA"/>
          </w:rPr>
          <w:t>2003 BCSC 1247</w:t>
        </w:r>
      </w:hyperlink>
      <w:r>
        <w:rPr>
          <w:rFonts w:ascii="arial" w:eastAsia="arial" w:hAnsi="arial" w:cs="arial"/>
          <w:color w:val="000000"/>
          <w:sz w:val="20"/>
          <w:lang w:val="en-US" w:eastAsia="en-US" w:bidi="ar-SA"/>
        </w:rPr>
        <w:t xml:space="preserve">, </w:t>
      </w:r>
      <w:hyperlink r:id="rId700" w:history="1">
        <w:r>
          <w:rPr>
            <w:rFonts w:ascii="arial" w:eastAsia="arial" w:hAnsi="arial" w:cs="arial"/>
            <w:i/>
            <w:color w:val="0077CC"/>
            <w:sz w:val="20"/>
            <w:u w:val="single"/>
            <w:shd w:val="clear" w:color="auto" w:fill="FFFFFF"/>
            <w:lang w:val="en-US" w:eastAsia="en-US" w:bidi="ar-SA"/>
          </w:rPr>
          <w:t>229 D.L.R. (4th) 747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Burnyeat 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xml:space="preserve">  However, the occupational health and safety aspects of the </w:t>
      </w:r>
      <w:r>
        <w:rPr>
          <w:rFonts w:ascii="arial" w:eastAsia="arial" w:hAnsi="arial" w:cs="arial"/>
          <w:b/>
          <w:i/>
          <w:color w:val="000000"/>
          <w:sz w:val="20"/>
          <w:lang w:val="en-US" w:eastAsia="en-US" w:bidi="ar-SA"/>
        </w:rPr>
        <w:t>WCA</w:t>
      </w:r>
      <w:r>
        <w:rPr>
          <w:rFonts w:ascii="arial" w:eastAsia="arial" w:hAnsi="arial" w:cs="arial"/>
          <w:color w:val="000000"/>
          <w:sz w:val="20"/>
          <w:lang w:val="en-US" w:eastAsia="en-US" w:bidi="ar-SA"/>
        </w:rPr>
        <w:t xml:space="preserve"> are distinct from the injured-worker compensation aspects. Indeed, in some provinces they are found in different statutes. In </w:t>
      </w:r>
      <w:r>
        <w:rPr>
          <w:rFonts w:ascii="arial" w:eastAsia="arial" w:hAnsi="arial" w:cs="arial"/>
          <w:b/>
          <w:i/>
          <w:color w:val="000000"/>
          <w:sz w:val="20"/>
          <w:lang w:val="en-US" w:eastAsia="en-US" w:bidi="ar-SA"/>
        </w:rPr>
        <w:t>Bell Canada (1988)</w:t>
      </w:r>
      <w:r>
        <w:rPr>
          <w:rFonts w:ascii="arial" w:eastAsia="arial" w:hAnsi="arial" w:cs="arial"/>
          <w:color w:val="000000"/>
          <w:sz w:val="20"/>
          <w:lang w:val="en-US" w:eastAsia="en-US" w:bidi="ar-SA"/>
        </w:rPr>
        <w:t>, the Supreme Court of Canada stated, with reference to compensation schemes, at paras. 851-52: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Although their purpose is to compensate workers they are not part of the contract of employment, they are not labour relations schemes and they do not constitute working conditions: they do not intervene to compensate workers until after their health or safety has been affected. They also do not impinge on the management or operation of undertakings.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shown earlier, it is precisely because they do not impinge on the labour relations, working conditions, management or operation of undertakings that such compensatory schemes can be applied to federal undertakings.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Thus, the Court concluded, the occupational health and safety provisions are not part of an indivisible whole with the compensation provisions, and can be severed.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Alltrans Express Ltd.</w:t>
      </w:r>
      <w:r>
        <w:rPr>
          <w:rFonts w:ascii="arial" w:eastAsia="arial" w:hAnsi="arial" w:cs="arial"/>
          <w:color w:val="000000"/>
          <w:sz w:val="20"/>
          <w:lang w:val="en-US" w:eastAsia="en-US" w:bidi="ar-SA"/>
        </w:rPr>
        <w:t xml:space="preserve">, an interprovincial and international trucking service was found to be a federal undertaking under s. 91(29) and s. 92(10)(a) of the </w:t>
      </w:r>
      <w:r>
        <w:rPr>
          <w:rFonts w:ascii="arial" w:eastAsia="arial" w:hAnsi="arial" w:cs="arial"/>
          <w:b/>
          <w:i/>
          <w:color w:val="000000"/>
          <w:sz w:val="20"/>
          <w:lang w:val="en-US" w:eastAsia="en-US" w:bidi="ar-SA"/>
        </w:rPr>
        <w:t>Constitution Act, 1867</w:t>
      </w:r>
      <w:r>
        <w:rPr>
          <w:rFonts w:ascii="arial" w:eastAsia="arial" w:hAnsi="arial" w:cs="arial"/>
          <w:color w:val="000000"/>
          <w:sz w:val="20"/>
          <w:lang w:val="en-US" w:eastAsia="en-US" w:bidi="ar-SA"/>
        </w:rPr>
        <w:t xml:space="preserve"> and the attempt by the British Columbia WCB to enforce footwear regulations was repelled. The Supreme Court of Canada said that it was irrelevant that the regulations were in the same piece of legislation as the compensation scheme.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xml:space="preserve">  The overall purpose of the </w:t>
      </w:r>
      <w:r>
        <w:rPr>
          <w:rFonts w:ascii="arial" w:eastAsia="arial" w:hAnsi="arial" w:cs="arial"/>
          <w:b/>
          <w:i/>
          <w:color w:val="000000"/>
          <w:sz w:val="20"/>
          <w:lang w:val="en-US" w:eastAsia="en-US" w:bidi="ar-SA"/>
        </w:rPr>
        <w:t>WCA</w:t>
      </w:r>
      <w:r>
        <w:rPr>
          <w:rFonts w:ascii="arial" w:eastAsia="arial" w:hAnsi="arial" w:cs="arial"/>
          <w:color w:val="000000"/>
          <w:sz w:val="20"/>
          <w:lang w:val="en-US" w:eastAsia="en-US" w:bidi="ar-SA"/>
        </w:rPr>
        <w:t xml:space="preserve"> Part 3 - Occupational Health and Safety is stated in s. 107 - "to benefit all citizens of British Columbia by promoting occupational health and safety and protecting workers and other persons present at workplaces from work related risks to their health and safety." In addition to its general provisions, the </w:t>
      </w:r>
      <w:r>
        <w:rPr>
          <w:rFonts w:ascii="arial" w:eastAsia="arial" w:hAnsi="arial" w:cs="arial"/>
          <w:b/>
          <w:i/>
          <w:color w:val="000000"/>
          <w:sz w:val="20"/>
          <w:lang w:val="en-US" w:eastAsia="en-US" w:bidi="ar-SA"/>
        </w:rPr>
        <w:t>OH&amp;SR</w:t>
      </w:r>
      <w:r>
        <w:rPr>
          <w:rFonts w:ascii="arial" w:eastAsia="arial" w:hAnsi="arial" w:cs="arial"/>
          <w:color w:val="000000"/>
          <w:sz w:val="20"/>
          <w:lang w:val="en-US" w:eastAsia="en-US" w:bidi="ar-SA"/>
        </w:rPr>
        <w:t xml:space="preserve"> has provisions with respect to a number of specific workplaces, such as those involving forestry (Part 26), oil and gas (Part 23), and aircraft (Part 29), as well as fishboats in Part 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xml:space="preserve">  However, the first step is to look at the impugned provisions, not the overall scheme: </w:t>
      </w:r>
      <w:r>
        <w:rPr>
          <w:rFonts w:ascii="arial" w:eastAsia="arial" w:hAnsi="arial" w:cs="arial"/>
          <w:b/>
          <w:i/>
          <w:color w:val="000000"/>
          <w:sz w:val="20"/>
          <w:lang w:val="en-US" w:eastAsia="en-US" w:bidi="ar-SA"/>
        </w:rPr>
        <w:t>Kitkatla Band v. British Columbia (Minister of Small Business, Tourism and Culture)</w:t>
      </w:r>
      <w:r>
        <w:rPr>
          <w:rFonts w:ascii="arial" w:eastAsia="arial" w:hAnsi="arial" w:cs="arial"/>
          <w:color w:val="000000"/>
          <w:sz w:val="20"/>
          <w:lang w:val="en-US" w:eastAsia="en-US" w:bidi="ar-SA"/>
        </w:rPr>
        <w:t xml:space="preserve">, </w:t>
      </w:r>
      <w:hyperlink r:id="rId701" w:history="1">
        <w:r>
          <w:rPr>
            <w:rFonts w:ascii="arial" w:eastAsia="arial" w:hAnsi="arial" w:cs="arial"/>
            <w:i/>
            <w:color w:val="0077CC"/>
            <w:sz w:val="20"/>
            <w:u w:val="single"/>
            <w:shd w:val="clear" w:color="auto" w:fill="FFFFFF"/>
            <w:lang w:val="en-US" w:eastAsia="en-US" w:bidi="ar-SA"/>
          </w:rPr>
          <w:t>2002 SCC 31</w:t>
        </w:r>
      </w:hyperlink>
      <w:r>
        <w:rPr>
          <w:rFonts w:ascii="arial" w:eastAsia="arial" w:hAnsi="arial" w:cs="arial"/>
          <w:color w:val="000000"/>
          <w:sz w:val="20"/>
          <w:lang w:val="en-US" w:eastAsia="en-US" w:bidi="ar-SA"/>
        </w:rPr>
        <w:t xml:space="preserve">, </w:t>
      </w:r>
      <w:hyperlink r:id="rId701" w:history="1">
        <w:r>
          <w:rPr>
            <w:rFonts w:ascii="arial" w:eastAsia="arial" w:hAnsi="arial" w:cs="arial"/>
            <w:i/>
            <w:color w:val="0077CC"/>
            <w:sz w:val="20"/>
            <w:u w:val="single"/>
            <w:shd w:val="clear" w:color="auto" w:fill="FFFFFF"/>
            <w:lang w:val="en-US" w:eastAsia="en-US" w:bidi="ar-SA"/>
          </w:rPr>
          <w:t>[2002] 2 S.C.R. 146</w:t>
        </w:r>
      </w:hyperlink>
      <w:r>
        <w:rPr>
          <w:rFonts w:ascii="arial" w:eastAsia="arial" w:hAnsi="arial" w:cs="arial"/>
          <w:color w:val="000000"/>
          <w:sz w:val="20"/>
          <w:lang w:val="en-US" w:eastAsia="en-US" w:bidi="ar-SA"/>
        </w:rPr>
        <w:t xml:space="preserve"> at para. 56: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my opinion, the proper approach to follow in a case such as this is to look first to the challenged provisions. Such a rule is stated in the dictum of Dickson J. (as he then was) in </w:t>
      </w:r>
      <w:r>
        <w:rPr>
          <w:rFonts w:ascii="arial" w:eastAsia="arial" w:hAnsi="arial" w:cs="arial"/>
          <w:i/>
          <w:color w:val="000000"/>
          <w:sz w:val="20"/>
          <w:lang w:val="en-US" w:eastAsia="en-US" w:bidi="ar-SA"/>
        </w:rPr>
        <w:t>Attorney General of Canada v. Canadian National Transportation Ltd</w:t>
      </w:r>
      <w:r>
        <w:rPr>
          <w:rFonts w:ascii="arial" w:eastAsia="arial" w:hAnsi="arial" w:cs="arial"/>
          <w:color w:val="000000"/>
          <w:sz w:val="20"/>
          <w:lang w:val="en-US" w:eastAsia="en-US" w:bidi="ar-SA"/>
        </w:rPr>
        <w:t xml:space="preserve">., </w:t>
      </w:r>
      <w:hyperlink r:id="rId702" w:history="1">
        <w:r>
          <w:rPr>
            <w:rFonts w:ascii="arial" w:eastAsia="arial" w:hAnsi="arial" w:cs="arial"/>
            <w:i/>
            <w:color w:val="0077CC"/>
            <w:sz w:val="20"/>
            <w:u w:val="single"/>
            <w:shd w:val="clear" w:color="auto" w:fill="FFFFFF"/>
            <w:lang w:val="en-US" w:eastAsia="en-US" w:bidi="ar-SA"/>
          </w:rPr>
          <w:t>[1983] 2 S.C.R. 206</w:t>
        </w:r>
      </w:hyperlink>
      <w:r>
        <w:rPr>
          <w:rFonts w:ascii="arial" w:eastAsia="arial" w:hAnsi="arial" w:cs="arial"/>
          <w:color w:val="000000"/>
          <w:sz w:val="20"/>
          <w:lang w:val="en-US" w:eastAsia="en-US" w:bidi="ar-SA"/>
        </w:rPr>
        <w:t xml:space="preserve">, at p. 270 (quoted by Dickson C.J. in </w:t>
      </w:r>
      <w:r>
        <w:rPr>
          <w:rFonts w:ascii="arial" w:eastAsia="arial" w:hAnsi="arial" w:cs="arial"/>
          <w:i/>
          <w:color w:val="000000"/>
          <w:sz w:val="20"/>
          <w:lang w:val="en-US" w:eastAsia="en-US" w:bidi="ar-SA"/>
        </w:rPr>
        <w:t>General Motors of Canada Ltd. v. City National Leasing</w:t>
      </w:r>
      <w:r>
        <w:rPr>
          <w:rFonts w:ascii="arial" w:eastAsia="arial" w:hAnsi="arial" w:cs="arial"/>
          <w:color w:val="000000"/>
          <w:sz w:val="20"/>
          <w:lang w:val="en-US" w:eastAsia="en-US" w:bidi="ar-SA"/>
        </w:rPr>
        <w:t xml:space="preserve">, </w:t>
      </w:r>
      <w:hyperlink r:id="rId685" w:history="1">
        <w:r>
          <w:rPr>
            <w:rFonts w:ascii="arial" w:eastAsia="arial" w:hAnsi="arial" w:cs="arial"/>
            <w:i/>
            <w:color w:val="0077CC"/>
            <w:sz w:val="20"/>
            <w:u w:val="single"/>
            <w:shd w:val="clear" w:color="auto" w:fill="FFFFFF"/>
            <w:lang w:val="en-US" w:eastAsia="en-US" w:bidi="ar-SA"/>
          </w:rPr>
          <w:t>[1989] 1 S.C.R. 641</w:t>
        </w:r>
      </w:hyperlink>
      <w:r>
        <w:rPr>
          <w:rFonts w:ascii="arial" w:eastAsia="arial" w:hAnsi="arial" w:cs="arial"/>
          <w:color w:val="000000"/>
          <w:sz w:val="20"/>
          <w:lang w:val="en-US" w:eastAsia="en-US" w:bidi="ar-SA"/>
        </w:rPr>
        <w:t>, at p. 665):</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is obvious at the outset that a constitutionally invalid provision will not be saved by being put into an otherwise valid statute, even if the statute comprises a regulatory scheme under the general trade and commerce branch of s. 91(2). The correct approach, where there is some doubt that the impugned provision has the same constitutional characterization as the Act in which it is found, is to start with the challenged section rather than with a demonstration of the validity of the statute as a whole. I do not think, however, this means that the section in question must be read in isolation. If the claim to constitutional validity is based on the contention that the impugned provision is part of a regulatory scheme it would seem necessary to read it in its context. If it can in fact be seen as part of such a scheme, attention will then shift to the constitutionality of the scheme as a whole.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xml:space="preserve">  I have set out above [at para. 53] a number of the provisions of Part 24 of the </w:t>
      </w:r>
      <w:r>
        <w:rPr>
          <w:rFonts w:ascii="arial" w:eastAsia="arial" w:hAnsi="arial" w:cs="arial"/>
          <w:b/>
          <w:i/>
          <w:color w:val="000000"/>
          <w:sz w:val="20"/>
          <w:lang w:val="en-US" w:eastAsia="en-US" w:bidi="ar-SA"/>
        </w:rPr>
        <w:t>OH&amp;SR</w:t>
      </w:r>
      <w:r>
        <w:rPr>
          <w:rFonts w:ascii="arial" w:eastAsia="arial" w:hAnsi="arial" w:cs="arial"/>
          <w:color w:val="000000"/>
          <w:sz w:val="20"/>
          <w:lang w:val="en-US" w:eastAsia="en-US" w:bidi="ar-SA"/>
        </w:rPr>
        <w:t>. As may be seen, those provisions range from the broadly defined (maintaining vessels in seaworthy condition - s. 24.70) to the fairly specific (for example, deck openings - s. 24.85; equipment guards - s. 24.81). They require that the owner provide documentation readily accessible to crew members which describes engine room instructions, vessel characteristics, including stability, the location and use of firefighting equipment and the location and use of emergency equipment (s. 24.72). They require that the master establish procedures and assign responsibilities to each crew member (and conduct drills) to cover all emergencies including: crew member overboard; fire on board; flooding of the vessel; abandoning ship; and calling for help (s. 24.74).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xml:space="preserve">  These provisions are specifically directed at commercial fishing operations, and differ from the more generic provisions at issue in </w:t>
      </w:r>
      <w:r>
        <w:rPr>
          <w:rFonts w:ascii="arial" w:eastAsia="arial" w:hAnsi="arial" w:cs="arial"/>
          <w:b/>
          <w:i/>
          <w:color w:val="000000"/>
          <w:sz w:val="20"/>
          <w:lang w:val="en-US" w:eastAsia="en-US" w:bidi="ar-SA"/>
        </w:rPr>
        <w:t>Mersey Seafoods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Mr. Swanson on behalf of the petitioners argued that the regulation of safety on board a fishing vessel is an integral part of the government and management of the vessel, that the supply, qualification and training of crew regarding safety procedures are part of the operation of a ship, and that safety on board fishing vessels is critical to the overall safety of the vessel and its crew.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Further, he submitted, vessel stability is a fundamental aspect of ship safety, addressed in many different ways by the federal regulatory regime. He urged that "[a]ny attempt to hive off and regulate discrete aspects of vessel safety (such as emergency procedures and vessel stability documentation) is not only impractical and dangerous, it strikes at the core of shipping and navigation."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xml:space="preserve">  The petitioners' position is that portions of the </w:t>
      </w:r>
      <w:r>
        <w:rPr>
          <w:rFonts w:ascii="arial" w:eastAsia="arial" w:hAnsi="arial" w:cs="arial"/>
          <w:b/>
          <w:i/>
          <w:color w:val="000000"/>
          <w:sz w:val="20"/>
          <w:lang w:val="en-US" w:eastAsia="en-US" w:bidi="ar-SA"/>
        </w:rPr>
        <w:t>OH&amp;SR</w:t>
      </w:r>
      <w:r>
        <w:rPr>
          <w:rFonts w:ascii="arial" w:eastAsia="arial" w:hAnsi="arial" w:cs="arial"/>
          <w:color w:val="000000"/>
          <w:sz w:val="20"/>
          <w:lang w:val="en-US" w:eastAsia="en-US" w:bidi="ar-SA"/>
        </w:rPr>
        <w:t xml:space="preserve"> (ss. 24.69 - 24.143) are clearly directed at the subject of overall safety on fishing vessels, a sub-set of ship safety, a matter which is at the heart of the power to regulate navigation and shipping. Therefore, Mr. Swanson said, a firm application of the pith and substance doctrine leads to the conclusion that the provincial legislation is invalid.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xml:space="preserve">  The plaintiff's position, similarly, is that the provisions of Part 24 of the </w:t>
      </w:r>
      <w:r>
        <w:rPr>
          <w:rFonts w:ascii="arial" w:eastAsia="arial" w:hAnsi="arial" w:cs="arial"/>
          <w:b/>
          <w:i/>
          <w:color w:val="000000"/>
          <w:sz w:val="20"/>
          <w:lang w:val="en-US" w:eastAsia="en-US" w:bidi="ar-SA"/>
        </w:rPr>
        <w:t>OH&amp;SR</w:t>
      </w:r>
      <w:r>
        <w:rPr>
          <w:rFonts w:ascii="arial" w:eastAsia="arial" w:hAnsi="arial" w:cs="arial"/>
          <w:color w:val="000000"/>
          <w:sz w:val="20"/>
          <w:lang w:val="en-US" w:eastAsia="en-US" w:bidi="ar-SA"/>
        </w:rPr>
        <w:t xml:space="preserve"> relate specifically to the safe operation and the safety of crew on board fishing vessels, matters over which Parliament has exclusive jurisdiction under s. 91(10).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xml:space="preserve">  Counsel referred to in </w:t>
      </w:r>
      <w:r>
        <w:rPr>
          <w:rFonts w:ascii="arial" w:eastAsia="arial" w:hAnsi="arial" w:cs="arial"/>
          <w:b/>
          <w:i/>
          <w:color w:val="000000"/>
          <w:sz w:val="20"/>
          <w:lang w:val="en-US" w:eastAsia="en-US" w:bidi="ar-SA"/>
        </w:rPr>
        <w:t>Singbeil v. Hansen</w:t>
      </w:r>
      <w:r>
        <w:rPr>
          <w:rFonts w:ascii="arial" w:eastAsia="arial" w:hAnsi="arial" w:cs="arial"/>
          <w:color w:val="000000"/>
          <w:sz w:val="20"/>
          <w:lang w:val="en-US" w:eastAsia="en-US" w:bidi="ar-SA"/>
        </w:rPr>
        <w:t xml:space="preserve">, </w:t>
      </w:r>
      <w:hyperlink r:id="rId703" w:history="1">
        <w:r>
          <w:rPr>
            <w:rFonts w:ascii="arial" w:eastAsia="arial" w:hAnsi="arial" w:cs="arial"/>
            <w:i/>
            <w:color w:val="0077CC"/>
            <w:sz w:val="20"/>
            <w:u w:val="single"/>
            <w:shd w:val="clear" w:color="auto" w:fill="FFFFFF"/>
            <w:lang w:val="en-US" w:eastAsia="en-US" w:bidi="ar-SA"/>
          </w:rPr>
          <w:t>[1985] 5 W.W.R. 237</w:t>
        </w:r>
      </w:hyperlink>
      <w:r>
        <w:rPr>
          <w:rFonts w:ascii="arial" w:eastAsia="arial" w:hAnsi="arial" w:cs="arial"/>
          <w:color w:val="000000"/>
          <w:sz w:val="20"/>
          <w:lang w:val="en-US" w:eastAsia="en-US" w:bidi="ar-SA"/>
        </w:rPr>
        <w:t xml:space="preserve">, </w:t>
      </w:r>
      <w:hyperlink r:id="rId703" w:history="1">
        <w:r>
          <w:rPr>
            <w:rFonts w:ascii="arial" w:eastAsia="arial" w:hAnsi="arial" w:cs="arial"/>
            <w:i/>
            <w:color w:val="0077CC"/>
            <w:sz w:val="20"/>
            <w:u w:val="single"/>
            <w:shd w:val="clear" w:color="auto" w:fill="FFFFFF"/>
            <w:lang w:val="en-US" w:eastAsia="en-US" w:bidi="ar-SA"/>
          </w:rPr>
          <w:t>19 D.L.R. (4th) 48</w:t>
        </w:r>
      </w:hyperlink>
      <w:r>
        <w:rPr>
          <w:rFonts w:ascii="arial" w:eastAsia="arial" w:hAnsi="arial" w:cs="arial"/>
          <w:color w:val="000000"/>
          <w:sz w:val="20"/>
          <w:lang w:val="en-US" w:eastAsia="en-US" w:bidi="ar-SA"/>
        </w:rPr>
        <w:t xml:space="preserve"> (B.C.C.A.), which held that the brief passage of B.C. ferries through American waters did not change the status of B.C. Ferries as a provincial undertaking, and that federal legislation preventing the attachment or garnishment of a seaman's wages did not apply to a B.C. Ferries employee. At 242, Seaton J.A.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leads me to conclude first, that the British Columbia ferry system is a local work or undertaking, and second, that some things that fall within federal jurisdiction regarding interprovincial and international shipping fall within provincial jurisdiction regarding intraprovincial shipping.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expect that the ferries are within "Navigation and Shipping" with respect to crew qualifications, </w:t>
      </w:r>
      <w:r>
        <w:rPr>
          <w:rFonts w:ascii="arial" w:eastAsia="arial" w:hAnsi="arial" w:cs="arial"/>
          <w:color w:val="000000"/>
          <w:sz w:val="20"/>
          <w:u w:val="single"/>
          <w:lang w:val="en-US" w:eastAsia="en-US" w:bidi="ar-SA"/>
        </w:rPr>
        <w:t>safety equipment</w:t>
      </w:r>
      <w:r>
        <w:rPr>
          <w:rFonts w:ascii="arial" w:eastAsia="arial" w:hAnsi="arial" w:cs="arial"/>
          <w:color w:val="000000"/>
          <w:sz w:val="20"/>
          <w:lang w:val="en-US" w:eastAsia="en-US" w:bidi="ar-SA"/>
        </w:rPr>
        <w:t>, communication procedures, rules of the road, and that sort of thing. But there are other matters that fall within provincial jurisdiction. I think that garnishment of seamen's wages is one of them.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 note, however, that the issue raised in these proceedings was not before the Court of Appeal in </w:t>
      </w:r>
      <w:r>
        <w:rPr>
          <w:rFonts w:ascii="arial" w:eastAsia="arial" w:hAnsi="arial" w:cs="arial"/>
          <w:b/>
          <w:i/>
          <w:color w:val="000000"/>
          <w:sz w:val="20"/>
          <w:lang w:val="en-US" w:eastAsia="en-US" w:bidi="ar-SA"/>
        </w:rPr>
        <w:t>Singbeil</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xml:space="preserve">  Counsel for the petitioners argued that this is a clear statement from the Court of Appeal that ship safety is federal, even with respect to a provincial undertaking. Counsel referred as well to </w:t>
      </w:r>
      <w:r>
        <w:rPr>
          <w:rFonts w:ascii="arial" w:eastAsia="arial" w:hAnsi="arial" w:cs="arial"/>
          <w:b/>
          <w:i/>
          <w:color w:val="000000"/>
          <w:sz w:val="20"/>
          <w:lang w:val="en-US" w:eastAsia="en-US" w:bidi="ar-SA"/>
        </w:rPr>
        <w:t>Nanaimo Harbour Link Corp. v. Abakhan &amp; Associates Inc.</w:t>
      </w:r>
      <w:r>
        <w:rPr>
          <w:rFonts w:ascii="arial" w:eastAsia="arial" w:hAnsi="arial" w:cs="arial"/>
          <w:color w:val="000000"/>
          <w:sz w:val="20"/>
          <w:lang w:val="en-US" w:eastAsia="en-US" w:bidi="ar-SA"/>
        </w:rPr>
        <w:t xml:space="preserve">, </w:t>
      </w:r>
      <w:hyperlink r:id="rId704" w:history="1">
        <w:r>
          <w:rPr>
            <w:rFonts w:ascii="arial" w:eastAsia="arial" w:hAnsi="arial" w:cs="arial"/>
            <w:i/>
            <w:color w:val="0077CC"/>
            <w:sz w:val="20"/>
            <w:u w:val="single"/>
            <w:shd w:val="clear" w:color="auto" w:fill="FFFFFF"/>
            <w:lang w:val="en-US" w:eastAsia="en-US" w:bidi="ar-SA"/>
          </w:rPr>
          <w:t>2007 BCSC 109</w:t>
        </w:r>
      </w:hyperlink>
      <w:r>
        <w:rPr>
          <w:rFonts w:ascii="arial" w:eastAsia="arial" w:hAnsi="arial" w:cs="arial"/>
          <w:color w:val="000000"/>
          <w:sz w:val="20"/>
          <w:lang w:val="en-US" w:eastAsia="en-US" w:bidi="ar-SA"/>
        </w:rPr>
        <w:t xml:space="preserve">, </w:t>
      </w:r>
      <w:hyperlink r:id="rId704" w:history="1">
        <w:r>
          <w:rPr>
            <w:rFonts w:ascii="arial" w:eastAsia="arial" w:hAnsi="arial" w:cs="arial"/>
            <w:i/>
            <w:color w:val="0077CC"/>
            <w:sz w:val="20"/>
            <w:u w:val="single"/>
            <w:shd w:val="clear" w:color="auto" w:fill="FFFFFF"/>
            <w:lang w:val="en-US" w:eastAsia="en-US" w:bidi="ar-SA"/>
          </w:rPr>
          <w:t>67 B.C.L.R. (4th) 332</w:t>
        </w:r>
      </w:hyperlink>
      <w:r>
        <w:rPr>
          <w:rFonts w:ascii="arial" w:eastAsia="arial" w:hAnsi="arial" w:cs="arial"/>
          <w:color w:val="000000"/>
          <w:sz w:val="20"/>
          <w:lang w:val="en-US" w:eastAsia="en-US" w:bidi="ar-SA"/>
        </w:rPr>
        <w:t>, where the question was whether federal maritime law (entitling unpaid workers to assert liens for wages) was inapplicable to crew members of a vessel travelling solely in provincial waters. Garson J. held that Canadian maritime law applied and that maritime liens for seafarers' wages were in pith and substance related to the operation and navigation of a 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xml:space="preserve">  Mr. Neilsen for the WCB relied on the authorities stating that the business of fishing is a provincial matter, and argued that the pith and substance of the legislation is the protection of workers from industrial injury, a matter falling squarely within provincial competence. The position of the WCB is that the regulations in question are not about vessel stability or seaworthiness </w:t>
      </w:r>
      <w:r>
        <w:rPr>
          <w:rFonts w:ascii="arial" w:eastAsia="arial" w:hAnsi="arial" w:cs="arial"/>
          <w:i/>
          <w:color w:val="000000"/>
          <w:sz w:val="20"/>
          <w:lang w:val="en-US" w:eastAsia="en-US" w:bidi="ar-SA"/>
        </w:rPr>
        <w:t>per se</w:t>
      </w:r>
      <w:r>
        <w:rPr>
          <w:rFonts w:ascii="arial" w:eastAsia="arial" w:hAnsi="arial" w:cs="arial"/>
          <w:color w:val="000000"/>
          <w:sz w:val="20"/>
          <w:lang w:val="en-US" w:eastAsia="en-US" w:bidi="ar-SA"/>
        </w:rPr>
        <w:t xml:space="preserve"> (matters falling under the navigation and shipping power), but, instead, </w:t>
      </w:r>
      <w:r>
        <w:rPr>
          <w:rFonts w:ascii="arial" w:eastAsia="arial" w:hAnsi="arial" w:cs="arial"/>
          <w:color w:val="000000"/>
          <w:sz w:val="20"/>
          <w:u w:val="single"/>
          <w:lang w:val="en-US" w:eastAsia="en-US" w:bidi="ar-SA"/>
        </w:rPr>
        <w:t>documentation</w:t>
      </w:r>
      <w:r>
        <w:rPr>
          <w:rFonts w:ascii="arial" w:eastAsia="arial" w:hAnsi="arial" w:cs="arial"/>
          <w:color w:val="000000"/>
          <w:sz w:val="20"/>
          <w:lang w:val="en-US" w:eastAsia="en-US" w:bidi="ar-SA"/>
        </w:rPr>
        <w:t xml:space="preserve"> of vessel stability and the maintenance of a safe workplace, matters related to worker safety.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xml:space="preserve">  Counsel for the Attorney General of British Columbia also submitted that the </w:t>
      </w:r>
      <w:r>
        <w:rPr>
          <w:rFonts w:ascii="arial" w:eastAsia="arial" w:hAnsi="arial" w:cs="arial"/>
          <w:b/>
          <w:i/>
          <w:color w:val="000000"/>
          <w:sz w:val="20"/>
          <w:lang w:val="en-US" w:eastAsia="en-US" w:bidi="ar-SA"/>
        </w:rPr>
        <w:t>OH&amp;SR</w:t>
      </w:r>
      <w:r>
        <w:rPr>
          <w:rFonts w:ascii="arial" w:eastAsia="arial" w:hAnsi="arial" w:cs="arial"/>
          <w:color w:val="000000"/>
          <w:sz w:val="20"/>
          <w:lang w:val="en-US" w:eastAsia="en-US" w:bidi="ar-SA"/>
        </w:rPr>
        <w:t xml:space="preserve"> provisions fall squarely within the legislative competence of the Province under property and civil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xml:space="preserve">  There can be no doubt that Part 3 of the </w:t>
      </w:r>
      <w:r>
        <w:rPr>
          <w:rFonts w:ascii="arial" w:eastAsia="arial" w:hAnsi="arial" w:cs="arial"/>
          <w:b/>
          <w:i/>
          <w:color w:val="000000"/>
          <w:sz w:val="20"/>
          <w:lang w:val="en-US" w:eastAsia="en-US" w:bidi="ar-SA"/>
        </w:rPr>
        <w:t>WCA</w:t>
      </w:r>
      <w:r>
        <w:rPr>
          <w:rFonts w:ascii="arial" w:eastAsia="arial" w:hAnsi="arial" w:cs="arial"/>
          <w:color w:val="000000"/>
          <w:sz w:val="20"/>
          <w:lang w:val="en-US" w:eastAsia="en-US" w:bidi="ar-SA"/>
        </w:rPr>
        <w:t xml:space="preserve"> (the general provisions) is valid provincial legislation: </w:t>
      </w:r>
      <w:r>
        <w:rPr>
          <w:rFonts w:ascii="arial" w:eastAsia="arial" w:hAnsi="arial" w:cs="arial"/>
          <w:b/>
          <w:i/>
          <w:color w:val="000000"/>
          <w:sz w:val="20"/>
          <w:lang w:val="en-US" w:eastAsia="en-US" w:bidi="ar-SA"/>
        </w:rPr>
        <w:t>Alltrans</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Bell Canada (1988)</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Mersey Seafoods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xml:space="preserve">  The issue, however, is whether the more specific provisions regarding fishing vessels in </w:t>
      </w:r>
      <w:r>
        <w:rPr>
          <w:rFonts w:ascii="arial" w:eastAsia="arial" w:hAnsi="arial" w:cs="arial"/>
          <w:b/>
          <w:i/>
          <w:color w:val="000000"/>
          <w:sz w:val="20"/>
          <w:lang w:val="en-US" w:eastAsia="en-US" w:bidi="ar-SA"/>
        </w:rPr>
        <w:t>OH&amp;SR</w:t>
      </w:r>
      <w:r>
        <w:rPr>
          <w:rFonts w:ascii="arial" w:eastAsia="arial" w:hAnsi="arial" w:cs="arial"/>
          <w:color w:val="000000"/>
          <w:sz w:val="20"/>
          <w:lang w:val="en-US" w:eastAsia="en-US" w:bidi="ar-SA"/>
        </w:rPr>
        <w:t xml:space="preserve"> Part 24 are validly enacted under a provincial head of power. Those provisions do refer in some respects to matters that are the subject of maritime law, such as seaworthiness, vessel stability, and the duties of a master, and touch on areas (navigation and shipping, and fisheries) that are exclusively federal. However, they do so in the context of an attempt to impose, on commercial fishing employers, requirements designed to enhance the safety of workers on board fishing vessels.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Having regard to both the purpose and the legal effect of the impugned provisions, I find that their pith and substance is the prevention of risks to the health or safety of British Columbia workers on fishing boats, and the promotion of sound occupational health and safety practices in that sector. The fact that Part 24 specifically addresses issues arising on fishing vessels does not change the fact that its "matter" is the health and safety of workers on those vessels. Some provisions in Part 24 incidentally affect matters beyond provincial jurisdiction, but at this stage it is their dominant purpose that is determinative, and I find that to be occupational health and safety.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xml:space="preserve">  I conclude that Part 24 of the </w:t>
      </w:r>
      <w:r>
        <w:rPr>
          <w:rFonts w:ascii="arial" w:eastAsia="arial" w:hAnsi="arial" w:cs="arial"/>
          <w:b/>
          <w:i/>
          <w:color w:val="000000"/>
          <w:sz w:val="20"/>
          <w:lang w:val="en-US" w:eastAsia="en-US" w:bidi="ar-SA"/>
        </w:rPr>
        <w:t>OH&amp;SR</w:t>
      </w:r>
      <w:r>
        <w:rPr>
          <w:rFonts w:ascii="arial" w:eastAsia="arial" w:hAnsi="arial" w:cs="arial"/>
          <w:color w:val="000000"/>
          <w:sz w:val="20"/>
          <w:lang w:val="en-US" w:eastAsia="en-US" w:bidi="ar-SA"/>
        </w:rPr>
        <w:t xml:space="preserve"> is valid provincial legislation pursuant to s. 92(10) and (13) of the </w:t>
      </w:r>
      <w:r>
        <w:rPr>
          <w:rFonts w:ascii="arial" w:eastAsia="arial" w:hAnsi="arial" w:cs="arial"/>
          <w:b/>
          <w:i/>
          <w:color w:val="000000"/>
          <w:sz w:val="20"/>
          <w:lang w:val="en-US" w:eastAsia="en-US" w:bidi="ar-SA"/>
        </w:rPr>
        <w:t>Constitution Act, 1867</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Paramountcy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xml:space="preserve">  It was undisputed that the federal Parliament has jurisdiction under its navigation and shipping power to enact the </w:t>
      </w:r>
      <w:r>
        <w:rPr>
          <w:rFonts w:ascii="arial" w:eastAsia="arial" w:hAnsi="arial" w:cs="arial"/>
          <w:b/>
          <w:i/>
          <w:color w:val="000000"/>
          <w:sz w:val="20"/>
          <w:lang w:val="en-US" w:eastAsia="en-US" w:bidi="ar-SA"/>
        </w:rPr>
        <w:t>CSA</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CSA, 2001</w:t>
      </w:r>
      <w:r>
        <w:rPr>
          <w:rFonts w:ascii="arial" w:eastAsia="arial" w:hAnsi="arial" w:cs="arial"/>
          <w:color w:val="000000"/>
          <w:sz w:val="20"/>
          <w:lang w:val="en-US" w:eastAsia="en-US" w:bidi="ar-SA"/>
        </w:rPr>
        <w:t xml:space="preserve"> and the regulations thereunder, including the safety-related regulations to which the petitioners and plaintiff pointed. Thus, both provincial and federal legislation touches on safety issues on fishing vessels.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xml:space="preserve">  The Supreme Court of Canada has recognized that the mere existence of duplication of norms at the federal and provincial levels does not necessarily trigger the application of the paramountcy doctrine. Provincial legislation may add to federal requirements without violating federal paramountcy: </w:t>
      </w:r>
      <w:r>
        <w:rPr>
          <w:rFonts w:ascii="arial" w:eastAsia="arial" w:hAnsi="arial" w:cs="arial"/>
          <w:b/>
          <w:i/>
          <w:color w:val="000000"/>
          <w:sz w:val="20"/>
          <w:lang w:val="en-US" w:eastAsia="en-US" w:bidi="ar-SA"/>
        </w:rPr>
        <w:t>114957 Canada Ltée (Spraytech, Société d'arrosage) v. Hudson (Town)</w:t>
      </w:r>
      <w:r>
        <w:rPr>
          <w:rFonts w:ascii="arial" w:eastAsia="arial" w:hAnsi="arial" w:cs="arial"/>
          <w:color w:val="000000"/>
          <w:sz w:val="20"/>
          <w:lang w:val="en-US" w:eastAsia="en-US" w:bidi="ar-SA"/>
        </w:rPr>
        <w:t xml:space="preserve">, </w:t>
      </w:r>
      <w:hyperlink r:id="rId705" w:history="1">
        <w:r>
          <w:rPr>
            <w:rFonts w:ascii="arial" w:eastAsia="arial" w:hAnsi="arial" w:cs="arial"/>
            <w:i/>
            <w:color w:val="0077CC"/>
            <w:sz w:val="20"/>
            <w:u w:val="single"/>
            <w:shd w:val="clear" w:color="auto" w:fill="FFFFFF"/>
            <w:lang w:val="en-US" w:eastAsia="en-US" w:bidi="ar-SA"/>
          </w:rPr>
          <w:t>2001 SCC 40</w:t>
        </w:r>
      </w:hyperlink>
      <w:r>
        <w:rPr>
          <w:rFonts w:ascii="arial" w:eastAsia="arial" w:hAnsi="arial" w:cs="arial"/>
          <w:color w:val="000000"/>
          <w:sz w:val="20"/>
          <w:lang w:val="en-US" w:eastAsia="en-US" w:bidi="ar-SA"/>
        </w:rPr>
        <w:t xml:space="preserve">, </w:t>
      </w:r>
      <w:hyperlink r:id="rId705" w:history="1">
        <w:r>
          <w:rPr>
            <w:rFonts w:ascii="arial" w:eastAsia="arial" w:hAnsi="arial" w:cs="arial"/>
            <w:i/>
            <w:color w:val="0077CC"/>
            <w:sz w:val="20"/>
            <w:u w:val="single"/>
            <w:shd w:val="clear" w:color="auto" w:fill="FFFFFF"/>
            <w:lang w:val="en-US" w:eastAsia="en-US" w:bidi="ar-SA"/>
          </w:rPr>
          <w:t>[2001] 2 S.C.R. 241</w:t>
        </w:r>
      </w:hyperlink>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Canadian Western Bank</w:t>
      </w:r>
      <w:r>
        <w:rPr>
          <w:rFonts w:ascii="arial" w:eastAsia="arial" w:hAnsi="arial" w:cs="arial"/>
          <w:color w:val="000000"/>
          <w:sz w:val="20"/>
          <w:lang w:val="en-US" w:eastAsia="en-US" w:bidi="ar-SA"/>
        </w:rPr>
        <w:t>, the Court stated that although there will be cases in which imposing an obligation to comply with provincial legislation would "in effect frustrate the purpose of a federal law even though it did not entail a direct violation of the federal law's intent" (at para. 72), the existence of federal legislation does not lead to the presumption that Parliament intended to rule out any possible provincial action with respect to the subject. Indeed "to impute to Parliament such an intention to occupy the field in the absence of very clear statutory language to that effect would be to stray from the path of judicial restraint in questions of paramountcy that this Court has taken" (at para. 74).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The Court also emphasized that the burden is on the party relying on the doctrine of federal paramountcy to demonstrate that it applies, and referred to the fundamental rule of constitutional interpretation that "when a federal statute can be properly interpreted so as not to interfere with a provincial statute, such an interpretation is to be applied in preference to another applicable construction which would bring about a conflict between the two statutes" (at para. 75).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xml:space="preserve">  Thus, in assessing whether the paramountcy doctrine applies to invalidate all or part of the provincial </w:t>
      </w:r>
      <w:r>
        <w:rPr>
          <w:rFonts w:ascii="arial" w:eastAsia="arial" w:hAnsi="arial" w:cs="arial"/>
          <w:b/>
          <w:i/>
          <w:color w:val="000000"/>
          <w:sz w:val="20"/>
          <w:lang w:val="en-US" w:eastAsia="en-US" w:bidi="ar-SA"/>
        </w:rPr>
        <w:t>OH&amp;SR</w:t>
      </w:r>
      <w:r>
        <w:rPr>
          <w:rFonts w:ascii="arial" w:eastAsia="arial" w:hAnsi="arial" w:cs="arial"/>
          <w:color w:val="000000"/>
          <w:sz w:val="20"/>
          <w:lang w:val="en-US" w:eastAsia="en-US" w:bidi="ar-SA"/>
        </w:rPr>
        <w:t>, it must be asked whether the petitioners or plaintiff have demonstrated that the federal and provincial laws are in fact incompatible. They must establish either that: (a) it is impossible to comply with both laws; or (b) that to apply the provincial law would frustrate the purpose of the federal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Counsel for the plaintiff and petitioners argued that both prongs of that test are met.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Operational Incompability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With respect to the first prong, Mr. Perrett pointed to areas that he said constituted "actual conflict in operation" in that the plaintiff could be in compliance with the federal legislation but find itself in breach of the provincial legislation. Examples of these were:</w:t>
      </w:r>
      <w:r>
        <w:rPr>
          <w:rFonts w:ascii="arial" w:eastAsia="arial" w:hAnsi="arial" w:cs="arial"/>
          <w:sz w:val="20"/>
          <w:lang w:val="en-US" w:eastAsia="en-US" w:bidi="ar-SA"/>
        </w:rPr>
        <w:cr/>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federal </w:t>
      </w:r>
      <w:r>
        <w:rPr>
          <w:rFonts w:ascii="arial" w:eastAsia="arial" w:hAnsi="arial" w:cs="arial"/>
          <w:b/>
          <w:i/>
          <w:color w:val="000000"/>
          <w:sz w:val="20"/>
          <w:lang w:val="en-US" w:eastAsia="en-US" w:bidi="ar-SA"/>
        </w:rPr>
        <w:t>Large Fishing Vessel Regulations</w:t>
      </w:r>
      <w:r>
        <w:rPr>
          <w:rFonts w:ascii="arial" w:eastAsia="arial" w:hAnsi="arial" w:cs="arial"/>
          <w:color w:val="000000"/>
          <w:sz w:val="20"/>
          <w:lang w:val="en-US" w:eastAsia="en-US" w:bidi="ar-SA"/>
        </w:rPr>
        <w:t xml:space="preserve"> (applicable to the "Osprey No. 1") require an owner to provide the master with a stability booklet "for the information of the master" (s. 5) while the provincial </w:t>
      </w:r>
      <w:r>
        <w:rPr>
          <w:rFonts w:ascii="arial" w:eastAsia="arial" w:hAnsi="arial" w:cs="arial"/>
          <w:b/>
          <w:i/>
          <w:color w:val="000000"/>
          <w:sz w:val="20"/>
          <w:lang w:val="en-US" w:eastAsia="en-US" w:bidi="ar-SA"/>
        </w:rPr>
        <w:t>OH&amp;SR</w:t>
      </w:r>
      <w:r>
        <w:rPr>
          <w:rFonts w:ascii="arial" w:eastAsia="arial" w:hAnsi="arial" w:cs="arial"/>
          <w:color w:val="000000"/>
          <w:sz w:val="20"/>
          <w:lang w:val="en-US" w:eastAsia="en-US" w:bidi="ar-SA"/>
        </w:rPr>
        <w:t xml:space="preserve"> (s. 24.72) require that the owner provide documentation "readily accessible to crewmembers" describing the vessel's characteristics including stability.</w:t>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federal </w:t>
      </w:r>
      <w:r>
        <w:rPr>
          <w:rFonts w:ascii="arial" w:eastAsia="arial" w:hAnsi="arial" w:cs="arial"/>
          <w:b/>
          <w:i/>
          <w:color w:val="000000"/>
          <w:sz w:val="20"/>
          <w:lang w:val="en-US" w:eastAsia="en-US" w:bidi="ar-SA"/>
        </w:rPr>
        <w:t>Marine Personnel Regulations</w:t>
      </w:r>
      <w:r>
        <w:rPr>
          <w:rFonts w:ascii="arial" w:eastAsia="arial" w:hAnsi="arial" w:cs="arial"/>
          <w:color w:val="000000"/>
          <w:sz w:val="20"/>
          <w:lang w:val="en-US" w:eastAsia="en-US" w:bidi="ar-SA"/>
        </w:rPr>
        <w:t xml:space="preserve"> set forth the qualifications and certification levels required of the persons who are to be part of the deck and engine room watch. The provincial </w:t>
      </w:r>
      <w:r>
        <w:rPr>
          <w:rFonts w:ascii="arial" w:eastAsia="arial" w:hAnsi="arial" w:cs="arial"/>
          <w:b/>
          <w:i/>
          <w:color w:val="000000"/>
          <w:sz w:val="20"/>
          <w:lang w:val="en-US" w:eastAsia="en-US" w:bidi="ar-SA"/>
        </w:rPr>
        <w:t>OH&amp;SR</w:t>
      </w:r>
      <w:r>
        <w:rPr>
          <w:rFonts w:ascii="arial" w:eastAsia="arial" w:hAnsi="arial" w:cs="arial"/>
          <w:color w:val="000000"/>
          <w:sz w:val="20"/>
          <w:lang w:val="en-US" w:eastAsia="en-US" w:bidi="ar-SA"/>
        </w:rPr>
        <w:t xml:space="preserve"> require the owner to provide documentation "readily accessible to crewmembers" describing engine room instructions (s. 24.72) and the master to ensure that each crew member is instructed in the operational characteristics of the fishing vessel, including the location and use of engine room components and controls, deck equipment, navigation equipment and electronic aids, to the extent that the master's instructions "results in each crewmember being able to apply the information as needed to protect the crewmembers' health and safety".</w:t>
      </w:r>
    </w:p>
    <w:p>
      <w:pPr>
        <w:numPr>
          <w:numId w:val="4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federal </w:t>
      </w:r>
      <w:r>
        <w:rPr>
          <w:rFonts w:ascii="arial" w:eastAsia="arial" w:hAnsi="arial" w:cs="arial"/>
          <w:b/>
          <w:i/>
          <w:color w:val="000000"/>
          <w:sz w:val="20"/>
          <w:lang w:val="en-US" w:eastAsia="en-US" w:bidi="ar-SA"/>
        </w:rPr>
        <w:t>Marine Personnel Regulations</w:t>
      </w:r>
      <w:r>
        <w:rPr>
          <w:rFonts w:ascii="arial" w:eastAsia="arial" w:hAnsi="arial" w:cs="arial"/>
          <w:color w:val="000000"/>
          <w:sz w:val="20"/>
          <w:lang w:val="en-US" w:eastAsia="en-US" w:bidi="ar-SA"/>
        </w:rPr>
        <w:t xml:space="preserve"> require that a person designated to provide first aid on board a vessel holds a training certificate in marine basic or advanced first aid (s. 205), while one of the alleged contraventions by the "Osprey No. 1" was that it did not have on board a "designated first aid attendant with a level 3 first aid certificate in good standing issued by the board or a person recognized by the board" (</w:t>
      </w:r>
      <w:r>
        <w:rPr>
          <w:rFonts w:ascii="arial" w:eastAsia="arial" w:hAnsi="arial" w:cs="arial"/>
          <w:b/>
          <w:i/>
          <w:color w:val="000000"/>
          <w:sz w:val="20"/>
          <w:lang w:val="en-US" w:eastAsia="en-US" w:bidi="ar-SA"/>
        </w:rPr>
        <w:t>OH&amp;SR</w:t>
      </w:r>
      <w:r>
        <w:rPr>
          <w:rFonts w:ascii="arial" w:eastAsia="arial" w:hAnsi="arial" w:cs="arial"/>
          <w:color w:val="000000"/>
          <w:sz w:val="20"/>
          <w:lang w:val="en-US" w:eastAsia="en-US" w:bidi="ar-SA"/>
        </w:rPr>
        <w:t xml:space="preserve"> s. 3.15(c)).</w:t>
      </w:r>
    </w:p>
    <w:p>
      <w:pPr>
        <w:numPr>
          <w:numId w:val="5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Parliament, in </w:t>
      </w:r>
      <w:r>
        <w:rPr>
          <w:rFonts w:ascii="arial" w:eastAsia="arial" w:hAnsi="arial" w:cs="arial"/>
          <w:b/>
          <w:i/>
          <w:color w:val="000000"/>
          <w:sz w:val="20"/>
          <w:lang w:val="en-US" w:eastAsia="en-US" w:bidi="ar-SA"/>
        </w:rPr>
        <w:t>CSA</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2001</w:t>
      </w:r>
      <w:r>
        <w:rPr>
          <w:rFonts w:ascii="arial" w:eastAsia="arial" w:hAnsi="arial" w:cs="arial"/>
          <w:color w:val="000000"/>
          <w:sz w:val="20"/>
          <w:lang w:val="en-US" w:eastAsia="en-US" w:bidi="ar-SA"/>
        </w:rPr>
        <w:t xml:space="preserve"> provides that a Marine Safety Inspector may make a detention order where, on reasonable grounds, he or she believes that there has been contravention of a provision or that the vessel is not seaworthy. The inspector must make a detention order if he or she believes that the vessel is unsafe, unfit to carry crewmembers or that its machinery or equipment is defective so as to expose persons on board to serious danger (s. 222). The Province, in </w:t>
      </w:r>
      <w:r>
        <w:rPr>
          <w:rFonts w:ascii="arial" w:eastAsia="arial" w:hAnsi="arial" w:cs="arial"/>
          <w:b/>
          <w:i/>
          <w:color w:val="000000"/>
          <w:sz w:val="20"/>
          <w:lang w:val="en-US" w:eastAsia="en-US" w:bidi="ar-SA"/>
        </w:rPr>
        <w:t>OH&amp;SR</w:t>
      </w:r>
      <w:r>
        <w:rPr>
          <w:rFonts w:ascii="arial" w:eastAsia="arial" w:hAnsi="arial" w:cs="arial"/>
          <w:color w:val="000000"/>
          <w:sz w:val="20"/>
          <w:lang w:val="en-US" w:eastAsia="en-US" w:bidi="ar-SA"/>
        </w:rPr>
        <w:t xml:space="preserve"> s. 24.70, requires that fishing vessels must be maintained in a seaworthy condition, and the WCB policy is that where an officer considers a vessel clearly unseaworthy he or she may make an order "to correct the situation"; if the officer considers that there is a "serious question" as to the seaworthiness of a "boat", the officer may order that a survey be conducted.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Mr. Swanson also pointed to a number of examples of what he said are conflicts which render it impossible to comply with both federal and provincial regulation, including:</w:t>
      </w:r>
      <w:r>
        <w:rPr>
          <w:rFonts w:ascii="arial" w:eastAsia="arial" w:hAnsi="arial" w:cs="arial"/>
          <w:sz w:val="20"/>
          <w:lang w:val="en-US" w:eastAsia="en-US" w:bidi="ar-SA"/>
        </w:rPr>
        <w:cr/>
      </w:r>
    </w:p>
    <w:p>
      <w:pPr>
        <w:numPr>
          <w:numId w:val="5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documentation requirements in the federal </w:t>
      </w:r>
      <w:r>
        <w:rPr>
          <w:rFonts w:ascii="arial" w:eastAsia="arial" w:hAnsi="arial" w:cs="arial"/>
          <w:b/>
          <w:i/>
          <w:color w:val="000000"/>
          <w:sz w:val="20"/>
          <w:lang w:val="en-US" w:eastAsia="en-US" w:bidi="ar-SA"/>
        </w:rPr>
        <w:t>Small Fishing Vessel Inspection Regulations</w:t>
      </w:r>
      <w:r>
        <w:rPr>
          <w:rFonts w:ascii="arial" w:eastAsia="arial" w:hAnsi="arial" w:cs="arial"/>
          <w:color w:val="000000"/>
          <w:sz w:val="20"/>
          <w:lang w:val="en-US" w:eastAsia="en-US" w:bidi="ar-SA"/>
        </w:rPr>
        <w:t xml:space="preserve"> (applicable to the "Western Venture" and the "Northisle") differ from s. 24.72 of the </w:t>
      </w:r>
      <w:r>
        <w:rPr>
          <w:rFonts w:ascii="arial" w:eastAsia="arial" w:hAnsi="arial" w:cs="arial"/>
          <w:b/>
          <w:i/>
          <w:color w:val="000000"/>
          <w:sz w:val="20"/>
          <w:lang w:val="en-US" w:eastAsia="en-US" w:bidi="ar-SA"/>
        </w:rPr>
        <w:t>OH&amp;SR</w:t>
      </w:r>
      <w:r>
        <w:rPr>
          <w:rFonts w:ascii="arial" w:eastAsia="arial" w:hAnsi="arial" w:cs="arial"/>
          <w:color w:val="000000"/>
          <w:sz w:val="20"/>
          <w:lang w:val="en-US" w:eastAsia="en-US" w:bidi="ar-SA"/>
        </w:rPr>
        <w:t xml:space="preserve"> in the same manner as described above with respect to the </w:t>
      </w:r>
      <w:r>
        <w:rPr>
          <w:rFonts w:ascii="arial" w:eastAsia="arial" w:hAnsi="arial" w:cs="arial"/>
          <w:b/>
          <w:i/>
          <w:color w:val="000000"/>
          <w:sz w:val="20"/>
          <w:lang w:val="en-US" w:eastAsia="en-US" w:bidi="ar-SA"/>
        </w:rPr>
        <w:t>Large Fishing Vessel Regulations</w:t>
      </w:r>
      <w:r>
        <w:rPr>
          <w:rFonts w:ascii="arial" w:eastAsia="arial" w:hAnsi="arial" w:cs="arial"/>
          <w:color w:val="000000"/>
          <w:sz w:val="20"/>
          <w:lang w:val="en-US" w:eastAsia="en-US" w:bidi="ar-SA"/>
        </w:rPr>
        <w:t xml:space="preserve">. Further, certain small fishing vessels would not be required to have certain documentation on board but for the </w:t>
      </w:r>
      <w:r>
        <w:rPr>
          <w:rFonts w:ascii="arial" w:eastAsia="arial" w:hAnsi="arial" w:cs="arial"/>
          <w:b/>
          <w:i/>
          <w:color w:val="000000"/>
          <w:sz w:val="20"/>
          <w:lang w:val="en-US" w:eastAsia="en-US" w:bidi="ar-SA"/>
        </w:rPr>
        <w:t>OH&amp;SR</w:t>
      </w:r>
      <w:r>
        <w:rPr>
          <w:rFonts w:ascii="arial" w:eastAsia="arial" w:hAnsi="arial" w:cs="arial"/>
          <w:color w:val="000000"/>
          <w:sz w:val="20"/>
          <w:lang w:val="en-US" w:eastAsia="en-US" w:bidi="ar-SA"/>
        </w:rPr>
        <w:t>.</w:t>
      </w:r>
    </w:p>
    <w:p>
      <w:pPr>
        <w:numPr>
          <w:numId w:val="5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provisions for training, drills and safety procedures differ, with the provincial </w:t>
      </w:r>
      <w:r>
        <w:rPr>
          <w:rFonts w:ascii="arial" w:eastAsia="arial" w:hAnsi="arial" w:cs="arial"/>
          <w:b/>
          <w:i/>
          <w:color w:val="000000"/>
          <w:sz w:val="20"/>
          <w:lang w:val="en-US" w:eastAsia="en-US" w:bidi="ar-SA"/>
        </w:rPr>
        <w:t>OH&amp;SR</w:t>
      </w:r>
      <w:r>
        <w:rPr>
          <w:rFonts w:ascii="arial" w:eastAsia="arial" w:hAnsi="arial" w:cs="arial"/>
          <w:color w:val="000000"/>
          <w:sz w:val="20"/>
          <w:lang w:val="en-US" w:eastAsia="en-US" w:bidi="ar-SA"/>
        </w:rPr>
        <w:t xml:space="preserve"> putting all of the responsibility on the master of the vessel while s. 106(1) of the federal </w:t>
      </w:r>
      <w:r>
        <w:rPr>
          <w:rFonts w:ascii="arial" w:eastAsia="arial" w:hAnsi="arial" w:cs="arial"/>
          <w:b/>
          <w:i/>
          <w:color w:val="000000"/>
          <w:sz w:val="20"/>
          <w:lang w:val="en-US" w:eastAsia="en-US" w:bidi="ar-SA"/>
        </w:rPr>
        <w:t>CSA 2001</w:t>
      </w:r>
      <w:r>
        <w:rPr>
          <w:rFonts w:ascii="arial" w:eastAsia="arial" w:hAnsi="arial" w:cs="arial"/>
          <w:color w:val="000000"/>
          <w:sz w:val="20"/>
          <w:lang w:val="en-US" w:eastAsia="en-US" w:bidi="ar-SA"/>
        </w:rPr>
        <w:t xml:space="preserve"> requires the "authorized representative of a Canadian vessel" to ensure that the vessel, its machinery and equipment meet the requirements, to develop procedures for the safe operation of the vessel and for dealing with emergencies, and to ensure that the crew and passengers receive safety training.</w:t>
      </w:r>
    </w:p>
    <w:p>
      <w:pPr>
        <w:numPr>
          <w:numId w:val="5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While s. 24.70 of the </w:t>
      </w:r>
      <w:r>
        <w:rPr>
          <w:rFonts w:ascii="arial" w:eastAsia="arial" w:hAnsi="arial" w:cs="arial"/>
          <w:b/>
          <w:i/>
          <w:color w:val="000000"/>
          <w:sz w:val="20"/>
          <w:lang w:val="en-US" w:eastAsia="en-US" w:bidi="ar-SA"/>
        </w:rPr>
        <w:t>OH&amp;SR</w:t>
      </w:r>
      <w:r>
        <w:rPr>
          <w:rFonts w:ascii="arial" w:eastAsia="arial" w:hAnsi="arial" w:cs="arial"/>
          <w:color w:val="000000"/>
          <w:sz w:val="20"/>
          <w:lang w:val="en-US" w:eastAsia="en-US" w:bidi="ar-SA"/>
        </w:rPr>
        <w:t xml:space="preserve"> requires that "all fishing vessels must (a) be maintained in seaworthy condition, and (b) if constructed after January 1, 1995, be built in accordance with Canadian Coast Guard Regulations, or other standard acceptable to the board", the </w:t>
      </w:r>
      <w:r>
        <w:rPr>
          <w:rFonts w:ascii="arial" w:eastAsia="arial" w:hAnsi="arial" w:cs="arial"/>
          <w:b/>
          <w:i/>
          <w:color w:val="000000"/>
          <w:sz w:val="20"/>
          <w:lang w:val="en-US" w:eastAsia="en-US" w:bidi="ar-SA"/>
        </w:rPr>
        <w:t>Small Fishing Vessel Regulations</w:t>
      </w:r>
      <w:r>
        <w:rPr>
          <w:rFonts w:ascii="arial" w:eastAsia="arial" w:hAnsi="arial" w:cs="arial"/>
          <w:color w:val="000000"/>
          <w:sz w:val="20"/>
          <w:lang w:val="en-US" w:eastAsia="en-US" w:bidi="ar-SA"/>
        </w:rPr>
        <w:t xml:space="preserve"> and the </w:t>
      </w:r>
      <w:r>
        <w:rPr>
          <w:rFonts w:ascii="arial" w:eastAsia="arial" w:hAnsi="arial" w:cs="arial"/>
          <w:b/>
          <w:i/>
          <w:color w:val="000000"/>
          <w:sz w:val="20"/>
          <w:lang w:val="en-US" w:eastAsia="en-US" w:bidi="ar-SA"/>
        </w:rPr>
        <w:t>Large Fishing Vessel Regulations</w:t>
      </w:r>
      <w:r>
        <w:rPr>
          <w:rFonts w:ascii="arial" w:eastAsia="arial" w:hAnsi="arial" w:cs="arial"/>
          <w:color w:val="000000"/>
          <w:sz w:val="20"/>
          <w:lang w:val="en-US" w:eastAsia="en-US" w:bidi="ar-SA"/>
        </w:rPr>
        <w:t xml:space="preserve"> prescribe specific, technical standards for the construction of fishing vessels.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Counsel for the WCB and for the Attorney General of British Columbia argued that the provisions of the provincial legislation are compatible with those of the federal legislation, reflecting the efforts of the two levels of governments embodied in their Memoranda of Understanding.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xml:space="preserve">  Clearly there is considerable overlap and potential for confusion, as stated in the expert opinion evidence filed by the plaintiff. It is possible that compliance with both regimes will be difficult and expensive. However, it has not been shown that it is impossible to comply simultaneously with the </w:t>
      </w:r>
      <w:r>
        <w:rPr>
          <w:rFonts w:ascii="arial" w:eastAsia="arial" w:hAnsi="arial" w:cs="arial"/>
          <w:b/>
          <w:i/>
          <w:color w:val="000000"/>
          <w:sz w:val="20"/>
          <w:lang w:val="en-US" w:eastAsia="en-US" w:bidi="ar-SA"/>
        </w:rPr>
        <w:t>CSA</w:t>
      </w:r>
      <w:r>
        <w:rPr>
          <w:rFonts w:ascii="arial" w:eastAsia="arial" w:hAnsi="arial" w:cs="arial"/>
          <w:color w:val="000000"/>
          <w:sz w:val="20"/>
          <w:lang w:val="en-US" w:eastAsia="en-US" w:bidi="ar-SA"/>
        </w:rPr>
        <w:t xml:space="preserve"> and its regulations and with the </w:t>
      </w:r>
      <w:r>
        <w:rPr>
          <w:rFonts w:ascii="arial" w:eastAsia="arial" w:hAnsi="arial" w:cs="arial"/>
          <w:b/>
          <w:i/>
          <w:color w:val="000000"/>
          <w:sz w:val="20"/>
          <w:lang w:val="en-US" w:eastAsia="en-US" w:bidi="ar-SA"/>
        </w:rPr>
        <w:t>WCA</w:t>
      </w:r>
      <w:r>
        <w:rPr>
          <w:rFonts w:ascii="arial" w:eastAsia="arial" w:hAnsi="arial" w:cs="arial"/>
          <w:color w:val="000000"/>
          <w:sz w:val="20"/>
          <w:lang w:val="en-US" w:eastAsia="en-US" w:bidi="ar-SA"/>
        </w:rPr>
        <w:t xml:space="preserve"> and the </w:t>
      </w:r>
      <w:r>
        <w:rPr>
          <w:rFonts w:ascii="arial" w:eastAsia="arial" w:hAnsi="arial" w:cs="arial"/>
          <w:b/>
          <w:i/>
          <w:color w:val="000000"/>
          <w:sz w:val="20"/>
          <w:lang w:val="en-US" w:eastAsia="en-US" w:bidi="ar-SA"/>
        </w:rPr>
        <w:t>OH&amp;SR</w:t>
      </w:r>
      <w:r>
        <w:rPr>
          <w:rFonts w:ascii="arial" w:eastAsia="arial" w:hAnsi="arial" w:cs="arial"/>
          <w:color w:val="000000"/>
          <w:sz w:val="20"/>
          <w:lang w:val="en-US" w:eastAsia="en-US" w:bidi="ar-SA"/>
        </w:rPr>
        <w:t xml:space="preserve">, properly interpreted, or that there are provisions of one law forbidding what the other law requires. This case is not like </w:t>
      </w:r>
      <w:r>
        <w:rPr>
          <w:rFonts w:ascii="arial" w:eastAsia="arial" w:hAnsi="arial" w:cs="arial"/>
          <w:b/>
          <w:i/>
          <w:color w:val="000000"/>
          <w:sz w:val="20"/>
          <w:lang w:val="en-US" w:eastAsia="en-US" w:bidi="ar-SA"/>
        </w:rPr>
        <w:t>Lafarge</w:t>
      </w:r>
      <w:r>
        <w:rPr>
          <w:rFonts w:ascii="arial" w:eastAsia="arial" w:hAnsi="arial" w:cs="arial"/>
          <w:color w:val="000000"/>
          <w:sz w:val="20"/>
          <w:lang w:val="en-US" w:eastAsia="en-US" w:bidi="ar-SA"/>
        </w:rPr>
        <w:t>, where it was impossible to comply simultaneously with both laws as the Supreme Court interpreted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I find that operational incompatibility has not been established.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Frustration of Federal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xml:space="preserve">  With respect to the second prong of the test, Mr. Swanson submitted that the obvious federal intent is to provide a comprehensive safety regime from ship design and equipping of ships through to the complement and training of ships' crews, and that the application of provincial regulations would clearly frustrate that scheme. He referred to </w:t>
      </w:r>
      <w:r>
        <w:rPr>
          <w:rFonts w:ascii="arial" w:eastAsia="arial" w:hAnsi="arial" w:cs="arial"/>
          <w:b/>
          <w:i/>
          <w:color w:val="000000"/>
          <w:sz w:val="20"/>
          <w:lang w:val="en-US" w:eastAsia="en-US" w:bidi="ar-SA"/>
        </w:rPr>
        <w:t>Bank of Montreal v. Hall</w:t>
      </w:r>
      <w:r>
        <w:rPr>
          <w:rFonts w:ascii="arial" w:eastAsia="arial" w:hAnsi="arial" w:cs="arial"/>
          <w:color w:val="000000"/>
          <w:sz w:val="20"/>
          <w:lang w:val="en-US" w:eastAsia="en-US" w:bidi="ar-SA"/>
        </w:rPr>
        <w:t xml:space="preserve">, </w:t>
      </w:r>
      <w:hyperlink r:id="rId706" w:history="1">
        <w:r>
          <w:rPr>
            <w:rFonts w:ascii="arial" w:eastAsia="arial" w:hAnsi="arial" w:cs="arial"/>
            <w:i/>
            <w:color w:val="0077CC"/>
            <w:sz w:val="20"/>
            <w:u w:val="single"/>
            <w:shd w:val="clear" w:color="auto" w:fill="FFFFFF"/>
            <w:lang w:val="en-US" w:eastAsia="en-US" w:bidi="ar-SA"/>
          </w:rPr>
          <w:t>[1990] 1 S.C.R. 121</w:t>
        </w:r>
      </w:hyperlink>
      <w:r>
        <w:rPr>
          <w:rFonts w:ascii="arial" w:eastAsia="arial" w:hAnsi="arial" w:cs="arial"/>
          <w:color w:val="000000"/>
          <w:sz w:val="20"/>
          <w:lang w:val="en-US" w:eastAsia="en-US" w:bidi="ar-SA"/>
        </w:rPr>
        <w:t xml:space="preserve">, </w:t>
      </w:r>
      <w:hyperlink r:id="rId706" w:history="1">
        <w:r>
          <w:rPr>
            <w:rFonts w:ascii="arial" w:eastAsia="arial" w:hAnsi="arial" w:cs="arial"/>
            <w:i/>
            <w:color w:val="0077CC"/>
            <w:sz w:val="20"/>
            <w:u w:val="single"/>
            <w:shd w:val="clear" w:color="auto" w:fill="FFFFFF"/>
            <w:lang w:val="en-US" w:eastAsia="en-US" w:bidi="ar-SA"/>
          </w:rPr>
          <w:t>65 D.L.R. (4th) 361</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Rothmans, Benson &amp; Hedges v. Saskatchewan</w:t>
      </w:r>
      <w:r>
        <w:rPr>
          <w:rFonts w:ascii="arial" w:eastAsia="arial" w:hAnsi="arial" w:cs="arial"/>
          <w:color w:val="000000"/>
          <w:sz w:val="20"/>
          <w:lang w:val="en-US" w:eastAsia="en-US" w:bidi="ar-SA"/>
        </w:rPr>
        <w:t xml:space="preserve">, </w:t>
      </w:r>
      <w:hyperlink r:id="rId707" w:history="1">
        <w:r>
          <w:rPr>
            <w:rFonts w:ascii="arial" w:eastAsia="arial" w:hAnsi="arial" w:cs="arial"/>
            <w:i/>
            <w:color w:val="0077CC"/>
            <w:sz w:val="20"/>
            <w:u w:val="single"/>
            <w:shd w:val="clear" w:color="auto" w:fill="FFFFFF"/>
            <w:lang w:val="en-US" w:eastAsia="en-US" w:bidi="ar-SA"/>
          </w:rPr>
          <w:t>2005 SCC 13</w:t>
        </w:r>
      </w:hyperlink>
      <w:r>
        <w:rPr>
          <w:rFonts w:ascii="arial" w:eastAsia="arial" w:hAnsi="arial" w:cs="arial"/>
          <w:color w:val="000000"/>
          <w:sz w:val="20"/>
          <w:lang w:val="en-US" w:eastAsia="en-US" w:bidi="ar-SA"/>
        </w:rPr>
        <w:t xml:space="preserve">, </w:t>
      </w:r>
      <w:hyperlink r:id="rId707" w:history="1">
        <w:r>
          <w:rPr>
            <w:rFonts w:ascii="arial" w:eastAsia="arial" w:hAnsi="arial" w:cs="arial"/>
            <w:i/>
            <w:color w:val="0077CC"/>
            <w:sz w:val="20"/>
            <w:u w:val="single"/>
            <w:shd w:val="clear" w:color="auto" w:fill="FFFFFF"/>
            <w:lang w:val="en-US" w:eastAsia="en-US" w:bidi="ar-SA"/>
          </w:rPr>
          <w:t>[2005] 1 S.C.R. 188</w:t>
        </w:r>
      </w:hyperlink>
      <w:r>
        <w:rPr>
          <w:rFonts w:ascii="arial" w:eastAsia="arial" w:hAnsi="arial" w:cs="arial"/>
          <w:color w:val="000000"/>
          <w:sz w:val="20"/>
          <w:lang w:val="en-US" w:eastAsia="en-US" w:bidi="ar-SA"/>
        </w:rPr>
        <w:t xml:space="preserve"> as stating the overarching principle that a provincial enactment "must not frustrate the purpose of a federal enactment, whether by making it impossible to comply with the latter or by some other means" (</w:t>
      </w:r>
      <w:r>
        <w:rPr>
          <w:rFonts w:ascii="arial" w:eastAsia="arial" w:hAnsi="arial" w:cs="arial"/>
          <w:b/>
          <w:i/>
          <w:color w:val="000000"/>
          <w:sz w:val="20"/>
          <w:lang w:val="en-US" w:eastAsia="en-US" w:bidi="ar-SA"/>
        </w:rPr>
        <w:t>Rothmans</w:t>
      </w:r>
      <w:r>
        <w:rPr>
          <w:rFonts w:ascii="arial" w:eastAsia="arial" w:hAnsi="arial" w:cs="arial"/>
          <w:color w:val="000000"/>
          <w:sz w:val="20"/>
          <w:lang w:val="en-US" w:eastAsia="en-US" w:bidi="ar-SA"/>
        </w:rPr>
        <w:t xml:space="preserve"> at para. 14). That principle was again affirmed in </w:t>
      </w:r>
      <w:r>
        <w:rPr>
          <w:rFonts w:ascii="arial" w:eastAsia="arial" w:hAnsi="arial" w:cs="arial"/>
          <w:b/>
          <w:i/>
          <w:color w:val="000000"/>
          <w:sz w:val="20"/>
          <w:lang w:val="en-US" w:eastAsia="en-US" w:bidi="ar-SA"/>
        </w:rPr>
        <w:t>Canadian Western Bank</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Lafarge</w:t>
      </w:r>
      <w:r>
        <w:rPr>
          <w:rFonts w:ascii="arial" w:eastAsia="arial" w:hAnsi="arial" w:cs="arial"/>
          <w:color w:val="000000"/>
          <w:sz w:val="20"/>
          <w:lang w:val="en-US" w:eastAsia="en-US" w:bidi="ar-SA"/>
        </w:rPr>
        <w:t>. Similarly, Mr. Perrett submitted that the existence of an overlapping provincial scheme is redundant and could cause confusion, leading to the risk of jeopardy to the safety of the ship and crew, thereby undermining Parliament's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Further, it was argued, the specific requirement that ships carry documentation as to stability or engine room components can undermine the purpose of ship safety because it may engender the view on the part of untrained crew that they should take steps affecting the vessel's stability or core operations. It was submitted, for example, that the engine room instructions available on a large, sophisticated vessel such as the "Osprey No. 1" to crew members other than the master or chief engineer should simply be "Do Not Touch".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xml:space="preserve">  The serious practical problems inherent in overlapping regulations were referred to by the Supreme Court in </w:t>
      </w:r>
      <w:r>
        <w:rPr>
          <w:rFonts w:ascii="arial" w:eastAsia="arial" w:hAnsi="arial" w:cs="arial"/>
          <w:b/>
          <w:i/>
          <w:color w:val="000000"/>
          <w:sz w:val="20"/>
          <w:lang w:val="en-US" w:eastAsia="en-US" w:bidi="ar-SA"/>
        </w:rPr>
        <w:t>Bell Canada (1988)</w:t>
      </w:r>
      <w:r>
        <w:rPr>
          <w:rFonts w:ascii="arial" w:eastAsia="arial" w:hAnsi="arial" w:cs="arial"/>
          <w:color w:val="000000"/>
          <w:sz w:val="20"/>
          <w:lang w:val="en-US" w:eastAsia="en-US" w:bidi="ar-SA"/>
        </w:rPr>
        <w:t>. Beetz J. wrote at 843: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an argument which relies on a spirit of contradiction between systems of regulation, investigation, inspection and remedial notices which are increasingly complex, specialized and, perhaps inevitably, highly detailed. </w:t>
      </w:r>
      <w:r>
        <w:rPr>
          <w:rFonts w:ascii="arial" w:eastAsia="arial" w:hAnsi="arial" w:cs="arial"/>
          <w:color w:val="000000"/>
          <w:sz w:val="20"/>
          <w:u w:val="single"/>
          <w:lang w:val="en-US" w:eastAsia="en-US" w:bidi="ar-SA"/>
        </w:rPr>
        <w:t>A division of jurisdiction in this area is likely to be a source of uncertainty and endless disputes in which the courts will be called on to decide whether a conflict exists between the most trivial federal and provincial regulations, such as those specifying the thickness or colour of safety boots or hard hats.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Furthermore, in the case of occupational health and safety, such a twofold jurisdiction is likely to promote the proliferation of preventive measures and controls in which the contradictions or lack of coordination may well threaten the very occupational health and safety which are sought to be protected.</w:t>
      </w:r>
      <w:r>
        <w:rPr>
          <w:rFonts w:ascii="arial" w:eastAsia="arial" w:hAnsi="arial" w:cs="arial"/>
          <w:color w:val="000000"/>
          <w:sz w:val="20"/>
          <w:lang w:val="en-US" w:eastAsia="en-US" w:bidi="ar-SA"/>
        </w:rPr>
        <w:t xml:space="preserve">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It appears possible that such practical problems may arise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xml:space="preserve">  However, Mr. Nielsen for the WCB submitted that in the case of Osprey Marine, the WCB Order in question, when interpreted in context, does not conflict with the federal regime because its purpose, and the purpose of the </w:t>
      </w:r>
      <w:r>
        <w:rPr>
          <w:rFonts w:ascii="arial" w:eastAsia="arial" w:hAnsi="arial" w:cs="arial"/>
          <w:b/>
          <w:i/>
          <w:color w:val="000000"/>
          <w:sz w:val="20"/>
          <w:lang w:val="en-US" w:eastAsia="en-US" w:bidi="ar-SA"/>
        </w:rPr>
        <w:t>OH&amp;SR</w:t>
      </w:r>
      <w:r>
        <w:rPr>
          <w:rFonts w:ascii="arial" w:eastAsia="arial" w:hAnsi="arial" w:cs="arial"/>
          <w:color w:val="000000"/>
          <w:sz w:val="20"/>
          <w:lang w:val="en-US" w:eastAsia="en-US" w:bidi="ar-SA"/>
        </w:rPr>
        <w:t xml:space="preserve"> generally, is not to dictate stability requirements on a vessel such as "Osprey No. 1". Rather, the purpose is to ensure that all crew members, to the extent that they have a role in the stability of the ship, be knowledgeable and understand the role they are required to play with respect to stability. He submitted that in the case of the petitioners' vessels, the purpose of the federal legislation is not frustrated by the </w:t>
      </w:r>
      <w:r>
        <w:rPr>
          <w:rFonts w:ascii="arial" w:eastAsia="arial" w:hAnsi="arial" w:cs="arial"/>
          <w:b/>
          <w:i/>
          <w:color w:val="000000"/>
          <w:sz w:val="20"/>
          <w:lang w:val="en-US" w:eastAsia="en-US" w:bidi="ar-SA"/>
        </w:rPr>
        <w:t>OH&amp;SR</w:t>
      </w:r>
      <w:r>
        <w:rPr>
          <w:rFonts w:ascii="arial" w:eastAsia="arial" w:hAnsi="arial" w:cs="arial"/>
          <w:color w:val="000000"/>
          <w:sz w:val="20"/>
          <w:lang w:val="en-US" w:eastAsia="en-US" w:bidi="ar-SA"/>
        </w:rPr>
        <w:t xml:space="preserve"> because the stability provisions in s. 29 of the federal </w:t>
      </w:r>
      <w:r>
        <w:rPr>
          <w:rFonts w:ascii="arial" w:eastAsia="arial" w:hAnsi="arial" w:cs="arial"/>
          <w:b/>
          <w:i/>
          <w:color w:val="000000"/>
          <w:sz w:val="20"/>
          <w:lang w:val="en-US" w:eastAsia="en-US" w:bidi="ar-SA"/>
        </w:rPr>
        <w:t>Small Fishing Vessel Inspection Regulations</w:t>
      </w:r>
      <w:r>
        <w:rPr>
          <w:rFonts w:ascii="arial" w:eastAsia="arial" w:hAnsi="arial" w:cs="arial"/>
          <w:color w:val="000000"/>
          <w:sz w:val="20"/>
          <w:lang w:val="en-US" w:eastAsia="en-US" w:bidi="ar-SA"/>
        </w:rPr>
        <w:t xml:space="preserve"> only apply to a "fishing vessel of closed construction employed in catching herring or capelin" in particular circumstances, and the petitioners' vessels were configured for trawling when inspected by the WCB.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xml:space="preserve">  It does not appear that Parliament's intent in the </w:t>
      </w:r>
      <w:r>
        <w:rPr>
          <w:rFonts w:ascii="arial" w:eastAsia="arial" w:hAnsi="arial" w:cs="arial"/>
          <w:b/>
          <w:i/>
          <w:color w:val="000000"/>
          <w:sz w:val="20"/>
          <w:lang w:val="en-US" w:eastAsia="en-US" w:bidi="ar-SA"/>
        </w:rPr>
        <w:t>CSA</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CSA 2001</w:t>
      </w:r>
      <w:r>
        <w:rPr>
          <w:rFonts w:ascii="arial" w:eastAsia="arial" w:hAnsi="arial" w:cs="arial"/>
          <w:color w:val="000000"/>
          <w:sz w:val="20"/>
          <w:lang w:val="en-US" w:eastAsia="en-US" w:bidi="ar-SA"/>
        </w:rPr>
        <w:t xml:space="preserve"> or the regulations thereunder was to create a comprehensive scheme or a complete code for ship and crew member safety, similar to the comprehensive scheme in </w:t>
      </w:r>
      <w:r>
        <w:rPr>
          <w:rFonts w:ascii="arial" w:eastAsia="arial" w:hAnsi="arial" w:cs="arial"/>
          <w:b/>
          <w:i/>
          <w:color w:val="000000"/>
          <w:sz w:val="20"/>
          <w:lang w:val="en-US" w:eastAsia="en-US" w:bidi="ar-SA"/>
        </w:rPr>
        <w:t>Bank of Montreal v. Hall</w:t>
      </w:r>
      <w:r>
        <w:rPr>
          <w:rFonts w:ascii="arial" w:eastAsia="arial" w:hAnsi="arial" w:cs="arial"/>
          <w:color w:val="000000"/>
          <w:sz w:val="20"/>
          <w:lang w:val="en-US" w:eastAsia="en-US" w:bidi="ar-SA"/>
        </w:rPr>
        <w:t xml:space="preserve">, or to determine that a federal body had the final say, as was the case in </w:t>
      </w:r>
      <w:r>
        <w:rPr>
          <w:rFonts w:ascii="arial" w:eastAsia="arial" w:hAnsi="arial" w:cs="arial"/>
          <w:b/>
          <w:i/>
          <w:color w:val="000000"/>
          <w:sz w:val="20"/>
          <w:lang w:val="en-US" w:eastAsia="en-US" w:bidi="ar-SA"/>
        </w:rPr>
        <w:t>Lafarge</w:t>
      </w:r>
      <w:r>
        <w:rPr>
          <w:rFonts w:ascii="arial" w:eastAsia="arial" w:hAnsi="arial" w:cs="arial"/>
          <w:color w:val="000000"/>
          <w:sz w:val="20"/>
          <w:lang w:val="en-US" w:eastAsia="en-US" w:bidi="ar-SA"/>
        </w:rPr>
        <w:t xml:space="preserve">. In fact, the creation of the </w:t>
      </w:r>
      <w:r>
        <w:rPr>
          <w:rFonts w:ascii="arial" w:eastAsia="arial" w:hAnsi="arial" w:cs="arial"/>
          <w:b/>
          <w:i/>
          <w:color w:val="000000"/>
          <w:sz w:val="20"/>
          <w:lang w:val="en-US" w:eastAsia="en-US" w:bidi="ar-SA"/>
        </w:rPr>
        <w:t>MOSH</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Regulations</w:t>
      </w:r>
      <w:r>
        <w:rPr>
          <w:rFonts w:ascii="arial" w:eastAsia="arial" w:hAnsi="arial" w:cs="arial"/>
          <w:color w:val="000000"/>
          <w:sz w:val="20"/>
          <w:lang w:val="en-US" w:eastAsia="en-US" w:bidi="ar-SA"/>
        </w:rPr>
        <w:t xml:space="preserve"> under the </w:t>
      </w:r>
      <w:r>
        <w:rPr>
          <w:rFonts w:ascii="arial" w:eastAsia="arial" w:hAnsi="arial" w:cs="arial"/>
          <w:b/>
          <w:i/>
          <w:color w:val="000000"/>
          <w:sz w:val="20"/>
          <w:lang w:val="en-US" w:eastAsia="en-US" w:bidi="ar-SA"/>
        </w:rPr>
        <w:t>Canada Labour Code</w:t>
      </w:r>
      <w:r>
        <w:rPr>
          <w:rFonts w:ascii="arial" w:eastAsia="arial" w:hAnsi="arial" w:cs="arial"/>
          <w:color w:val="000000"/>
          <w:sz w:val="20"/>
          <w:lang w:val="en-US" w:eastAsia="en-US" w:bidi="ar-SA"/>
        </w:rPr>
        <w:t xml:space="preserve"> suggests the opposite -- that the </w:t>
      </w:r>
      <w:r>
        <w:rPr>
          <w:rFonts w:ascii="arial" w:eastAsia="arial" w:hAnsi="arial" w:cs="arial"/>
          <w:b/>
          <w:i/>
          <w:color w:val="000000"/>
          <w:sz w:val="20"/>
          <w:lang w:val="en-US" w:eastAsia="en-US" w:bidi="ar-SA"/>
        </w:rPr>
        <w:t>CSA</w:t>
      </w:r>
      <w:r>
        <w:rPr>
          <w:rFonts w:ascii="arial" w:eastAsia="arial" w:hAnsi="arial" w:cs="arial"/>
          <w:color w:val="000000"/>
          <w:sz w:val="20"/>
          <w:lang w:val="en-US" w:eastAsia="en-US" w:bidi="ar-SA"/>
        </w:rPr>
        <w:t xml:space="preserve"> scheme was not meant to address in a comprehensive manner questions of crew members' occupational health and safety. As well, I note that the </w:t>
      </w:r>
      <w:r>
        <w:rPr>
          <w:rFonts w:ascii="arial" w:eastAsia="arial" w:hAnsi="arial" w:cs="arial"/>
          <w:b/>
          <w:i/>
          <w:color w:val="000000"/>
          <w:sz w:val="20"/>
          <w:lang w:val="en-US" w:eastAsia="en-US" w:bidi="ar-SA"/>
        </w:rPr>
        <w:t>CSA, 2001,</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Safe Working Practices Regulations</w:t>
      </w:r>
      <w:r>
        <w:rPr>
          <w:rFonts w:ascii="arial" w:eastAsia="arial" w:hAnsi="arial" w:cs="arial"/>
          <w:color w:val="000000"/>
          <w:sz w:val="20"/>
          <w:lang w:val="en-US" w:eastAsia="en-US" w:bidi="ar-SA"/>
        </w:rPr>
        <w:t>, s. 71, recognizes the applicability of provincial law, stating:</w:t>
      </w:r>
      <w:r>
        <w:rPr>
          <w:rFonts w:ascii="arial" w:eastAsia="arial" w:hAnsi="arial" w:cs="arial"/>
          <w:sz w:val="20"/>
          <w:lang w:val="en-US" w:eastAsia="en-US" w:bidi="ar-SA"/>
        </w:rPr>
        <w:cr/>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personal protective equipment referred to in sections 72 to 74 shall comply with the Canadian Standards Association specifications for that equipment or, where a higher standard is required by a provincial authority having jurisdiction over the use of that equipment, the higher standard required by that authority.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I also note that the Attorney General of Canada has not appeared in this case to argue that a comprehensive scheme is undermined by the provincial legislation.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I find that the petitioners and the plaintiff have not established that the provincially imposed occupational health and safety requirements, properly interpreted, undermine the purpose of the federal legislation.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xml:space="preserve">  I conclude that the doctrine of federal paramountcy does not operate to limit the effects of any provisions of the </w:t>
      </w:r>
      <w:r>
        <w:rPr>
          <w:rFonts w:ascii="arial" w:eastAsia="arial" w:hAnsi="arial" w:cs="arial"/>
          <w:b/>
          <w:i/>
          <w:color w:val="000000"/>
          <w:sz w:val="20"/>
          <w:lang w:val="en-US" w:eastAsia="en-US" w:bidi="ar-SA"/>
        </w:rPr>
        <w:t>OH&amp;SR</w:t>
      </w:r>
      <w:r>
        <w:rPr>
          <w:rFonts w:ascii="arial" w:eastAsia="arial" w:hAnsi="arial" w:cs="arial"/>
          <w:color w:val="000000"/>
          <w:sz w:val="20"/>
          <w:lang w:val="en-US" w:eastAsia="en-US" w:bidi="ar-SA"/>
        </w:rPr>
        <w:t xml:space="preserve"> or the </w:t>
      </w:r>
      <w:r>
        <w:rPr>
          <w:rFonts w:ascii="arial" w:eastAsia="arial" w:hAnsi="arial" w:cs="arial"/>
          <w:b/>
          <w:i/>
          <w:color w:val="000000"/>
          <w:sz w:val="20"/>
          <w:lang w:val="en-US" w:eastAsia="en-US" w:bidi="ar-SA"/>
        </w:rPr>
        <w:t>WCA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xml:space="preserve">  I would add that if the provincial </w:t>
      </w:r>
      <w:r>
        <w:rPr>
          <w:rFonts w:ascii="arial" w:eastAsia="arial" w:hAnsi="arial" w:cs="arial"/>
          <w:b/>
          <w:i/>
          <w:color w:val="000000"/>
          <w:sz w:val="20"/>
          <w:lang w:val="en-US" w:eastAsia="en-US" w:bidi="ar-SA"/>
        </w:rPr>
        <w:t>OH&amp;SR</w:t>
      </w:r>
      <w:r>
        <w:rPr>
          <w:rFonts w:ascii="arial" w:eastAsia="arial" w:hAnsi="arial" w:cs="arial"/>
          <w:color w:val="000000"/>
          <w:sz w:val="20"/>
          <w:lang w:val="en-US" w:eastAsia="en-US" w:bidi="ar-SA"/>
        </w:rPr>
        <w:t xml:space="preserve"> were designed to impose stability requirements, rather than simply to require the provision of stability documentation, that would, in my opinion, create operational conflict and frustrate the purpose of the federal legislation and regulations. However, the more limited interpretation urged by the WCB and by the Attorney General is consistent with the language of the </w:t>
      </w:r>
      <w:r>
        <w:rPr>
          <w:rFonts w:ascii="arial" w:eastAsia="arial" w:hAnsi="arial" w:cs="arial"/>
          <w:b/>
          <w:i/>
          <w:color w:val="000000"/>
          <w:sz w:val="20"/>
          <w:lang w:val="en-US" w:eastAsia="en-US" w:bidi="ar-SA"/>
        </w:rPr>
        <w:t>OH&amp;SR</w:t>
      </w:r>
      <w:r>
        <w:rPr>
          <w:rFonts w:ascii="arial" w:eastAsia="arial" w:hAnsi="arial" w:cs="arial"/>
          <w:color w:val="000000"/>
          <w:sz w:val="20"/>
          <w:lang w:val="en-US" w:eastAsia="en-US" w:bidi="ar-SA"/>
        </w:rPr>
        <w:t xml:space="preserve"> and is to be preferred.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Interjurisdictional Immunity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xml:space="preserve">  I have found that the pith and substance of the provincial legislation is occupational health and safety, a matter within provincial jurisdiction, and that federal paramountcy does not require all or part of the provincial legislation to be deemed inoperative. However, the doctrine of interjurisdictional immunity may preclude the application of the </w:t>
      </w:r>
      <w:r>
        <w:rPr>
          <w:rFonts w:ascii="arial" w:eastAsia="arial" w:hAnsi="arial" w:cs="arial"/>
          <w:b/>
          <w:i/>
          <w:color w:val="000000"/>
          <w:sz w:val="20"/>
          <w:lang w:val="en-US" w:eastAsia="en-US" w:bidi="ar-SA"/>
        </w:rPr>
        <w:t>WCA</w:t>
      </w:r>
      <w:r>
        <w:rPr>
          <w:rFonts w:ascii="arial" w:eastAsia="arial" w:hAnsi="arial" w:cs="arial"/>
          <w:color w:val="000000"/>
          <w:sz w:val="20"/>
          <w:lang w:val="en-US" w:eastAsia="en-US" w:bidi="ar-SA"/>
        </w:rPr>
        <w:t xml:space="preserve"> and the </w:t>
      </w:r>
      <w:r>
        <w:rPr>
          <w:rFonts w:ascii="arial" w:eastAsia="arial" w:hAnsi="arial" w:cs="arial"/>
          <w:b/>
          <w:i/>
          <w:color w:val="000000"/>
          <w:sz w:val="20"/>
          <w:lang w:val="en-US" w:eastAsia="en-US" w:bidi="ar-SA"/>
        </w:rPr>
        <w:t>OH&amp;SR</w:t>
      </w:r>
      <w:r>
        <w:rPr>
          <w:rFonts w:ascii="arial" w:eastAsia="arial" w:hAnsi="arial" w:cs="arial"/>
          <w:color w:val="000000"/>
          <w:sz w:val="20"/>
          <w:lang w:val="en-US" w:eastAsia="en-US" w:bidi="ar-SA"/>
        </w:rPr>
        <w:t xml:space="preserve"> to the plaintiff's or the petitioners' undertakings if they are federal undertakings or if the legislation has adverse impacts that place in jeopardy the core competence of the federal government (as in </w:t>
      </w:r>
      <w:r>
        <w:rPr>
          <w:rFonts w:ascii="arial" w:eastAsia="arial" w:hAnsi="arial" w:cs="arial"/>
          <w:b/>
          <w:i/>
          <w:color w:val="000000"/>
          <w:sz w:val="20"/>
          <w:lang w:val="en-US" w:eastAsia="en-US" w:bidi="ar-SA"/>
        </w:rPr>
        <w:t>Ordon Estate</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Federal or Provincial Undertakings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xml:space="preserve">  In the </w:t>
      </w:r>
      <w:r>
        <w:rPr>
          <w:rFonts w:ascii="arial" w:eastAsia="arial" w:hAnsi="arial" w:cs="arial"/>
          <w:b/>
          <w:i/>
          <w:color w:val="000000"/>
          <w:sz w:val="20"/>
          <w:lang w:val="en-US" w:eastAsia="en-US" w:bidi="ar-SA"/>
        </w:rPr>
        <w:t>Bell Canada</w:t>
      </w:r>
      <w:r>
        <w:rPr>
          <w:rFonts w:ascii="arial" w:eastAsia="arial" w:hAnsi="arial" w:cs="arial"/>
          <w:color w:val="000000"/>
          <w:sz w:val="20"/>
          <w:lang w:val="en-US" w:eastAsia="en-US" w:bidi="ar-SA"/>
        </w:rPr>
        <w:t xml:space="preserve"> trilogy in 1988, the Supreme Court of Canada held, in the case of three different federal undertakings, that provincial occupational health and safety legislation did not apply to the employees of those undertakings. The Nova Scotia Court of Appeal in </w:t>
      </w:r>
      <w:r>
        <w:rPr>
          <w:rFonts w:ascii="arial" w:eastAsia="arial" w:hAnsi="arial" w:cs="arial"/>
          <w:b/>
          <w:i/>
          <w:color w:val="000000"/>
          <w:sz w:val="20"/>
          <w:lang w:val="en-US" w:eastAsia="en-US" w:bidi="ar-SA"/>
        </w:rPr>
        <w:t>Mersey Seafoods</w:t>
      </w:r>
      <w:r>
        <w:rPr>
          <w:rFonts w:ascii="arial" w:eastAsia="arial" w:hAnsi="arial" w:cs="arial"/>
          <w:color w:val="000000"/>
          <w:sz w:val="20"/>
          <w:lang w:val="en-US" w:eastAsia="en-US" w:bidi="ar-SA"/>
        </w:rPr>
        <w:t xml:space="preserve">, in concluding that the doctrine of interjurisdictional immunity did not render the provincial legislation inapplicable to Mersey Seafoods, emphasized its finding that the undertaking was provincial, not federal. If the undertakings here are federal, a different conclusion would follow than the one reached in </w:t>
      </w:r>
      <w:r>
        <w:rPr>
          <w:rFonts w:ascii="arial" w:eastAsia="arial" w:hAnsi="arial" w:cs="arial"/>
          <w:b/>
          <w:i/>
          <w:color w:val="000000"/>
          <w:sz w:val="20"/>
          <w:lang w:val="en-US" w:eastAsia="en-US" w:bidi="ar-SA"/>
        </w:rPr>
        <w:t>Mersey Seafoods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xml:space="preserve">  Peter Hogg, in </w:t>
      </w:r>
      <w:r>
        <w:rPr>
          <w:rFonts w:ascii="arial" w:eastAsia="arial" w:hAnsi="arial" w:cs="arial"/>
          <w:b/>
          <w:i/>
          <w:color w:val="000000"/>
          <w:sz w:val="20"/>
          <w:lang w:val="en-US" w:eastAsia="en-US" w:bidi="ar-SA"/>
        </w:rPr>
        <w:t>Constitutional Law of Canada</w:t>
      </w:r>
      <w:r>
        <w:rPr>
          <w:rFonts w:ascii="arial" w:eastAsia="arial" w:hAnsi="arial" w:cs="arial"/>
          <w:color w:val="000000"/>
          <w:sz w:val="20"/>
          <w:lang w:val="en-US" w:eastAsia="en-US" w:bidi="ar-SA"/>
        </w:rPr>
        <w:t xml:space="preserve"> (5th ed.), looseleaf (Scarborough: Thomson Carswell, updated to 2007), states (at 22.1) the opinion that "[t]he essential scheme of s. 92(10) is to divide legislative authority over transportation and communication on a territorial basis" and that the effect is "to allocate to the federal Parliament the authority over </w:t>
      </w:r>
      <w:r>
        <w:rPr>
          <w:rFonts w:ascii="arial" w:eastAsia="arial" w:hAnsi="arial" w:cs="arial"/>
          <w:i/>
          <w:color w:val="000000"/>
          <w:sz w:val="20"/>
          <w:lang w:val="en-US" w:eastAsia="en-US" w:bidi="ar-SA"/>
        </w:rPr>
        <w:t>interprovincial</w:t>
      </w:r>
      <w:r>
        <w:rPr>
          <w:rFonts w:ascii="arial" w:eastAsia="arial" w:hAnsi="arial" w:cs="arial"/>
          <w:color w:val="000000"/>
          <w:sz w:val="20"/>
          <w:lang w:val="en-US" w:eastAsia="en-US" w:bidi="ar-SA"/>
        </w:rPr>
        <w:t xml:space="preserve"> or </w:t>
      </w:r>
      <w:r>
        <w:rPr>
          <w:rFonts w:ascii="arial" w:eastAsia="arial" w:hAnsi="arial" w:cs="arial"/>
          <w:i/>
          <w:color w:val="000000"/>
          <w:sz w:val="20"/>
          <w:lang w:val="en-US" w:eastAsia="en-US" w:bidi="ar-SA"/>
        </w:rPr>
        <w:t>international</w:t>
      </w:r>
      <w:r>
        <w:rPr>
          <w:rFonts w:ascii="arial" w:eastAsia="arial" w:hAnsi="arial" w:cs="arial"/>
          <w:color w:val="000000"/>
          <w:sz w:val="20"/>
          <w:lang w:val="en-US" w:eastAsia="en-US" w:bidi="ar-SA"/>
        </w:rPr>
        <w:t xml:space="preserve"> shipping lines, railways, canals, telegraphs and other modes of transportation or communication, and to allocate to the provincial Legislatures the authority over </w:t>
      </w:r>
      <w:r>
        <w:rPr>
          <w:rFonts w:ascii="arial" w:eastAsia="arial" w:hAnsi="arial" w:cs="arial"/>
          <w:i/>
          <w:color w:val="000000"/>
          <w:sz w:val="20"/>
          <w:lang w:val="en-US" w:eastAsia="en-US" w:bidi="ar-SA"/>
        </w:rPr>
        <w:t>intraprovincial</w:t>
      </w:r>
      <w:r>
        <w:rPr>
          <w:rFonts w:ascii="arial" w:eastAsia="arial" w:hAnsi="arial" w:cs="arial"/>
          <w:color w:val="000000"/>
          <w:sz w:val="20"/>
          <w:lang w:val="en-US" w:eastAsia="en-US" w:bidi="ar-SA"/>
        </w:rPr>
        <w:t xml:space="preserve"> shipping lines, railways, canals, telegraphs and other modes of transportation or communication." [emphasis in original] Addressing the question of the proper classification of a business or group of associated businesses which is engaged in both intraprovincial transportation or communication and interprovincial (or international) transportation or communication, Hogg says (at 22.5) that the authorities have held that a business engaged in a significant amount of continuous and regular interprovincial transportation or communication is wholly within federal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With specific reference to "transportation by water", at 22.10, Hogg notes: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Jurisdiction over transportation by water depends upon some of the same principles as those applicable to transportation by land. Section 92(10)(a) expressly refers to "lines of steam or other ships" and to "canals". In addition, however, s. 91(10) confers on the federal Parliament jurisdiction over "navigation and shipping". The unqualified language of s. 91(10) does not authorize Parliament to regulate labour relations in undertakings engaged in intraprovincial shipping. In </w:t>
      </w:r>
      <w:r>
        <w:rPr>
          <w:rFonts w:ascii="arial" w:eastAsia="arial" w:hAnsi="arial" w:cs="arial"/>
          <w:i/>
          <w:color w:val="000000"/>
          <w:sz w:val="20"/>
          <w:lang w:val="en-US" w:eastAsia="en-US" w:bidi="ar-SA"/>
        </w:rPr>
        <w:t>Agence Maritime v. Canada Labour Relations Board</w:t>
      </w:r>
      <w:r>
        <w:rPr>
          <w:rFonts w:ascii="arial" w:eastAsia="arial" w:hAnsi="arial" w:cs="arial"/>
          <w:color w:val="000000"/>
          <w:sz w:val="20"/>
          <w:lang w:val="en-US" w:eastAsia="en-US" w:bidi="ar-SA"/>
        </w:rPr>
        <w:t xml:space="preserve"> (1969), it was held that labour relations on ships plying the waters of the St. Lawrence River within the province of Quebec were within provincial, not federal, jurisdiction. Of course ships with a continuous and regular trade to the ports of more than one province (or more than one country) would be within federal jurisdiction. Labour relations on the ships supplying and servicing the oil drilling rigs off the coast of Newfoundland have been held to be within federal jurisdiction: although each voyage began and ended in a single province (Newfoundland), the major part of the voyage was in international waters [</w:t>
      </w:r>
      <w:r>
        <w:rPr>
          <w:rFonts w:ascii="arial" w:eastAsia="arial" w:hAnsi="arial" w:cs="arial"/>
          <w:i/>
          <w:color w:val="000000"/>
          <w:sz w:val="20"/>
          <w:lang w:val="en-US" w:eastAsia="en-US" w:bidi="ar-SA"/>
        </w:rPr>
        <w:t>Seafarers' International Union v. Crosbie Offshore Services</w:t>
      </w:r>
      <w:r>
        <w:rPr>
          <w:rFonts w:ascii="arial" w:eastAsia="arial" w:hAnsi="arial" w:cs="arial"/>
          <w:color w:val="000000"/>
          <w:sz w:val="20"/>
          <w:lang w:val="en-US" w:eastAsia="en-US" w:bidi="ar-SA"/>
        </w:rPr>
        <w:t xml:space="preserve"> </w:t>
      </w:r>
      <w:hyperlink r:id="rId708" w:history="1">
        <w:r>
          <w:rPr>
            <w:rFonts w:ascii="arial" w:eastAsia="arial" w:hAnsi="arial" w:cs="arial"/>
            <w:i/>
            <w:color w:val="0077CC"/>
            <w:sz w:val="20"/>
            <w:u w:val="single"/>
            <w:shd w:val="clear" w:color="auto" w:fill="FFFFFF"/>
            <w:lang w:val="en-US" w:eastAsia="en-US" w:bidi="ar-SA"/>
          </w:rPr>
          <w:t>[1982] 2 F.C. 855</w:t>
        </w:r>
      </w:hyperlink>
      <w:r>
        <w:rPr>
          <w:rFonts w:ascii="arial" w:eastAsia="arial" w:hAnsi="arial" w:cs="arial"/>
          <w:color w:val="000000"/>
          <w:sz w:val="20"/>
          <w:lang w:val="en-US" w:eastAsia="en-US" w:bidi="ar-SA"/>
        </w:rPr>
        <w:t xml:space="preserve"> (C.A.)]. However, ferries passing briefly through American waters on journeys between ports in British Columbia have been held to be within provincial jurisdiction. [footnotes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xml:space="preserve">  The circumstances in </w:t>
      </w:r>
      <w:r>
        <w:rPr>
          <w:rFonts w:ascii="arial" w:eastAsia="arial" w:hAnsi="arial" w:cs="arial"/>
          <w:b/>
          <w:i/>
          <w:color w:val="000000"/>
          <w:sz w:val="20"/>
          <w:lang w:val="en-US" w:eastAsia="en-US" w:bidi="ar-SA"/>
        </w:rPr>
        <w:t>Seafarers' International Union v. Crosbie Offshore Services</w:t>
      </w:r>
      <w:r>
        <w:rPr>
          <w:rFonts w:ascii="arial" w:eastAsia="arial" w:hAnsi="arial" w:cs="arial"/>
          <w:color w:val="000000"/>
          <w:sz w:val="20"/>
          <w:lang w:val="en-US" w:eastAsia="en-US" w:bidi="ar-SA"/>
        </w:rPr>
        <w:t>, referred to by Hogg in the passage above, were that Crosbie Offshore Services was transporting supplies and providing services to foreign-owned oil rigs in international waters, using chartered foreign-owned vessels to do so. Its primary business was shipping, to customers outside Newfoundland.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xml:space="preserve">  Mr. Perrett for the plaintiff submitted that the fishing operations of "Osprey No. 1" are all carried out in waters which are beyond the limits of the Province of British Columbia. He argued that Osprey Marine's operations are a federal undertaking within the meaning of the </w:t>
      </w:r>
      <w:r>
        <w:rPr>
          <w:rFonts w:ascii="arial" w:eastAsia="arial" w:hAnsi="arial" w:cs="arial"/>
          <w:b/>
          <w:i/>
          <w:color w:val="000000"/>
          <w:sz w:val="20"/>
          <w:lang w:val="en-US" w:eastAsia="en-US" w:bidi="ar-SA"/>
        </w:rPr>
        <w:t>Constitution Act, 1867</w:t>
      </w:r>
      <w:r>
        <w:rPr>
          <w:rFonts w:ascii="arial" w:eastAsia="arial" w:hAnsi="arial" w:cs="arial"/>
          <w:color w:val="000000"/>
          <w:sz w:val="20"/>
          <w:lang w:val="en-US" w:eastAsia="en-US" w:bidi="ar-SA"/>
        </w:rPr>
        <w:t>, s. 92(10)(a), which provides that the provinces have jurisdiction over local works and undertakings other than "Lines of Steam or other Ships, Railways, Canals, Telegraphs, and other Works and Undertakings connecting the Province with any other or others of the Provinces, or extending beyond the Limits of the Province", which are under federal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xml:space="preserve">  The plaintiff's position is that the Province lacks jurisdiction to legislate with respect to the labour relations in a federal undertaking (which it says includes its own fishing ventures) and that the provisions applicable to its ships are to be found in the federal </w:t>
      </w:r>
      <w:r>
        <w:rPr>
          <w:rFonts w:ascii="arial" w:eastAsia="arial" w:hAnsi="arial" w:cs="arial"/>
          <w:b/>
          <w:i/>
          <w:color w:val="000000"/>
          <w:sz w:val="20"/>
          <w:lang w:val="en-US" w:eastAsia="en-US" w:bidi="ar-SA"/>
        </w:rPr>
        <w:t>MOSH Regulations</w:t>
      </w:r>
      <w:r>
        <w:rPr>
          <w:rFonts w:ascii="arial" w:eastAsia="arial" w:hAnsi="arial" w:cs="arial"/>
          <w:color w:val="000000"/>
          <w:sz w:val="20"/>
          <w:lang w:val="en-US" w:eastAsia="en-US" w:bidi="ar-SA"/>
        </w:rPr>
        <w:t xml:space="preserve"> promulgated under the </w:t>
      </w:r>
      <w:r>
        <w:rPr>
          <w:rFonts w:ascii="arial" w:eastAsia="arial" w:hAnsi="arial" w:cs="arial"/>
          <w:b/>
          <w:i/>
          <w:color w:val="000000"/>
          <w:sz w:val="20"/>
          <w:lang w:val="en-US" w:eastAsia="en-US" w:bidi="ar-SA"/>
        </w:rPr>
        <w:t>Canada Labour Code</w:t>
      </w:r>
      <w:r>
        <w:rPr>
          <w:rFonts w:ascii="arial" w:eastAsia="arial" w:hAnsi="arial" w:cs="arial"/>
          <w:color w:val="000000"/>
          <w:sz w:val="20"/>
          <w:lang w:val="en-US" w:eastAsia="en-US" w:bidi="ar-SA"/>
        </w:rPr>
        <w:t xml:space="preserve">, rather than in the provincial </w:t>
      </w:r>
      <w:r>
        <w:rPr>
          <w:rFonts w:ascii="arial" w:eastAsia="arial" w:hAnsi="arial" w:cs="arial"/>
          <w:b/>
          <w:i/>
          <w:color w:val="000000"/>
          <w:sz w:val="20"/>
          <w:lang w:val="en-US" w:eastAsia="en-US" w:bidi="ar-SA"/>
        </w:rPr>
        <w:t>WCA</w:t>
      </w:r>
      <w:r>
        <w:rPr>
          <w:rFonts w:ascii="arial" w:eastAsia="arial" w:hAnsi="arial" w:cs="arial"/>
          <w:color w:val="000000"/>
          <w:sz w:val="20"/>
          <w:lang w:val="en-US" w:eastAsia="en-US" w:bidi="ar-SA"/>
        </w:rPr>
        <w:t xml:space="preserve"> and the </w:t>
      </w:r>
      <w:r>
        <w:rPr>
          <w:rFonts w:ascii="arial" w:eastAsia="arial" w:hAnsi="arial" w:cs="arial"/>
          <w:b/>
          <w:i/>
          <w:color w:val="000000"/>
          <w:sz w:val="20"/>
          <w:lang w:val="en-US" w:eastAsia="en-US" w:bidi="ar-SA"/>
        </w:rPr>
        <w:t>OH&amp;SR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Mr. Swanson for the petitioners does not take the position that the petitioners' commercial fishing businesses are federal undertakings. But he does argue that whether it is a federal undertaking in issue, or an activity under a specific head of power such as navigation and shipping, a province may not legislate in a way that impairs a federal power.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xml:space="preserve">  Counsel for the WCB, Mr. Nielsen, submitted that the business of fishing is not a federal undertaking, referring to the Ontario Court of Appeal decision in </w:t>
      </w:r>
      <w:r>
        <w:rPr>
          <w:rFonts w:ascii="arial" w:eastAsia="arial" w:hAnsi="arial" w:cs="arial"/>
          <w:b/>
          <w:i/>
          <w:color w:val="000000"/>
          <w:sz w:val="20"/>
          <w:lang w:val="en-US" w:eastAsia="en-US" w:bidi="ar-SA"/>
        </w:rPr>
        <w:t>504578 Ontario Limited</w:t>
      </w:r>
      <w:r>
        <w:rPr>
          <w:rFonts w:ascii="arial" w:eastAsia="arial" w:hAnsi="arial" w:cs="arial"/>
          <w:color w:val="000000"/>
          <w:sz w:val="20"/>
          <w:lang w:val="en-US" w:eastAsia="en-US" w:bidi="ar-SA"/>
        </w:rPr>
        <w:t xml:space="preserve"> (upholding a Labour Relations Board decision) from which the Supreme Court of Canada refused leave to appeal. In </w:t>
      </w:r>
      <w:r>
        <w:rPr>
          <w:rFonts w:ascii="arial" w:eastAsia="arial" w:hAnsi="arial" w:cs="arial"/>
          <w:b/>
          <w:i/>
          <w:color w:val="000000"/>
          <w:sz w:val="20"/>
          <w:lang w:val="en-US" w:eastAsia="en-US" w:bidi="ar-SA"/>
        </w:rPr>
        <w:t>504578 Ontario Limited</w:t>
      </w:r>
      <w:r>
        <w:rPr>
          <w:rFonts w:ascii="arial" w:eastAsia="arial" w:hAnsi="arial" w:cs="arial"/>
          <w:color w:val="000000"/>
          <w:sz w:val="20"/>
          <w:lang w:val="en-US" w:eastAsia="en-US" w:bidi="ar-SA"/>
        </w:rPr>
        <w:t>, in brief reasons, Robins J.A. held: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decided cases have held that Parliament's authority under s. 91(12) is restricted to legislation for the protection and preservation of fisheries as a public resource.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We do not agree with the appellants' basic contention that the decision of the Supreme Court of Canada in </w:t>
      </w:r>
      <w:r>
        <w:rPr>
          <w:rFonts w:ascii="arial" w:eastAsia="arial" w:hAnsi="arial" w:cs="arial"/>
          <w:i/>
          <w:color w:val="000000"/>
          <w:sz w:val="20"/>
          <w:lang w:val="en-US" w:eastAsia="en-US" w:bidi="ar-SA"/>
        </w:rPr>
        <w:t>La commission de la Sante et de la Securite du Travail et al. v. Bell Canada,</w:t>
      </w:r>
      <w:r>
        <w:rPr>
          <w:rFonts w:ascii="arial" w:eastAsia="arial" w:hAnsi="arial" w:cs="arial"/>
          <w:color w:val="000000"/>
          <w:sz w:val="20"/>
          <w:lang w:val="en-US" w:eastAsia="en-US" w:bidi="ar-SA"/>
        </w:rPr>
        <w:t xml:space="preserve"> </w:t>
      </w:r>
      <w:hyperlink r:id="rId676" w:history="1">
        <w:r>
          <w:rPr>
            <w:rFonts w:ascii="arial" w:eastAsia="arial" w:hAnsi="arial" w:cs="arial"/>
            <w:i/>
            <w:color w:val="0077CC"/>
            <w:sz w:val="20"/>
            <w:u w:val="single"/>
            <w:shd w:val="clear" w:color="auto" w:fill="FFFFFF"/>
            <w:lang w:val="en-US" w:eastAsia="en-US" w:bidi="ar-SA"/>
          </w:rPr>
          <w:t>[1988] 1 S.C.R. 749</w:t>
        </w:r>
      </w:hyperlink>
      <w:r>
        <w:rPr>
          <w:rFonts w:ascii="arial" w:eastAsia="arial" w:hAnsi="arial" w:cs="arial"/>
          <w:color w:val="000000"/>
          <w:sz w:val="20"/>
          <w:lang w:val="en-US" w:eastAsia="en-US" w:bidi="ar-SA"/>
        </w:rPr>
        <w:t xml:space="preserve"> impairs the validity of the decisions of the Board and the Divisional Court. In that case provincial legislation respecting health and safety in the workplace (and characterized as legislation respecting working conditions and labour relations) was held inapplicable to what is clearly a federal undertaking. The case does not deal with </w:t>
      </w:r>
      <w:r>
        <w:rPr>
          <w:rFonts w:ascii="arial" w:eastAsia="arial" w:hAnsi="arial" w:cs="arial"/>
          <w:color w:val="000000"/>
          <w:sz w:val="20"/>
          <w:u w:val="single"/>
          <w:lang w:val="en-US" w:eastAsia="en-US" w:bidi="ar-SA"/>
        </w:rPr>
        <w:t>the fundamental question in this case, namely, whether the regulation of the business of fishing is included in the federal power conferred by s. 91(12). As already indicated, it is our view that the business of fishing is not covered by s. 91(12). It follows that the labour relations in issue here remains a matter of property and civil rights in the province and is governed by the Ontario Labour Relations Act.</w:t>
      </w:r>
      <w:r>
        <w:rPr>
          <w:rFonts w:ascii="arial" w:eastAsia="arial" w:hAnsi="arial" w:cs="arial"/>
          <w:color w:val="000000"/>
          <w:sz w:val="20"/>
          <w:lang w:val="en-US" w:eastAsia="en-US" w:bidi="ar-SA"/>
        </w:rPr>
        <w:t xml:space="preserve">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xml:space="preserve">  It is appropriate to note at this juncture, however, the reminder by Binnie and LeBel JJ. in </w:t>
      </w:r>
      <w:r>
        <w:rPr>
          <w:rFonts w:ascii="arial" w:eastAsia="arial" w:hAnsi="arial" w:cs="arial"/>
          <w:b/>
          <w:i/>
          <w:color w:val="000000"/>
          <w:sz w:val="20"/>
          <w:lang w:val="en-US" w:eastAsia="en-US" w:bidi="ar-SA"/>
        </w:rPr>
        <w:t>Canadian Western Bank</w:t>
      </w:r>
      <w:r>
        <w:rPr>
          <w:rFonts w:ascii="arial" w:eastAsia="arial" w:hAnsi="arial" w:cs="arial"/>
          <w:color w:val="000000"/>
          <w:sz w:val="20"/>
          <w:lang w:val="en-US" w:eastAsia="en-US" w:bidi="ar-SA"/>
        </w:rPr>
        <w:t xml:space="preserve"> that no inferences should be drawn from refusal of an application for leave to appeal. They stated at para. 88: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(We note parenthetically, as much stress was laid by the appellants on the refusal by this Court of leave to appeal the </w:t>
      </w:r>
      <w:r>
        <w:rPr>
          <w:rFonts w:ascii="arial" w:eastAsia="arial" w:hAnsi="arial" w:cs="arial"/>
          <w:i/>
          <w:color w:val="000000"/>
          <w:sz w:val="20"/>
          <w:lang w:val="en-US" w:eastAsia="en-US" w:bidi="ar-SA"/>
        </w:rPr>
        <w:t>Optima</w:t>
      </w:r>
      <w:r>
        <w:rPr>
          <w:rFonts w:ascii="arial" w:eastAsia="arial" w:hAnsi="arial" w:cs="arial"/>
          <w:color w:val="000000"/>
          <w:sz w:val="20"/>
          <w:lang w:val="en-US" w:eastAsia="en-US" w:bidi="ar-SA"/>
        </w:rPr>
        <w:t xml:space="preserve"> case, that refusal of leave should not be taken to indicate agreement with the judgment sought to be appealed, from any more than the grant of leave can be taken to indicate disagreement. In the leave process, the Court does not hear or adjudicate a case on the merits. The notation "leave to appeal to S.C.C. refused" is inserted in law reports for editorial convenience.)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xml:space="preserve">  Mr. Nielsen argued that fishing vessels based in the Port of Vancouver which do not travel interprovincially or internationally between ports are "local works and undertakings" within the meaning of s. 92(1) of the </w:t>
      </w:r>
      <w:r>
        <w:rPr>
          <w:rFonts w:ascii="arial" w:eastAsia="arial" w:hAnsi="arial" w:cs="arial"/>
          <w:b/>
          <w:i/>
          <w:color w:val="000000"/>
          <w:sz w:val="20"/>
          <w:lang w:val="en-US" w:eastAsia="en-US" w:bidi="ar-SA"/>
        </w:rPr>
        <w:t>Constitution Act, 1867</w:t>
      </w:r>
      <w:r>
        <w:rPr>
          <w:rFonts w:ascii="arial" w:eastAsia="arial" w:hAnsi="arial" w:cs="arial"/>
          <w:color w:val="000000"/>
          <w:sz w:val="20"/>
          <w:lang w:val="en-US" w:eastAsia="en-US" w:bidi="ar-SA"/>
        </w:rPr>
        <w:t xml:space="preserve">, relying on </w:t>
      </w:r>
      <w:r>
        <w:rPr>
          <w:rFonts w:ascii="arial" w:eastAsia="arial" w:hAnsi="arial" w:cs="arial"/>
          <w:b/>
          <w:i/>
          <w:color w:val="000000"/>
          <w:sz w:val="20"/>
          <w:lang w:val="en-US" w:eastAsia="en-US" w:bidi="ar-SA"/>
        </w:rPr>
        <w:t>Agence Maritime Inc. v. Canada Labour Relations Board</w:t>
      </w:r>
      <w:r>
        <w:rPr>
          <w:rFonts w:ascii="arial" w:eastAsia="arial" w:hAnsi="arial" w:cs="arial"/>
          <w:color w:val="000000"/>
          <w:sz w:val="20"/>
          <w:lang w:val="en-US" w:eastAsia="en-US" w:bidi="ar-SA"/>
        </w:rPr>
        <w:t xml:space="preserve">, </w:t>
      </w:r>
      <w:hyperlink r:id="rId709" w:history="1">
        <w:r>
          <w:rPr>
            <w:rFonts w:ascii="arial" w:eastAsia="arial" w:hAnsi="arial" w:cs="arial"/>
            <w:i/>
            <w:color w:val="0077CC"/>
            <w:sz w:val="20"/>
            <w:u w:val="single"/>
            <w:shd w:val="clear" w:color="auto" w:fill="FFFFFF"/>
            <w:lang w:val="en-US" w:eastAsia="en-US" w:bidi="ar-SA"/>
          </w:rPr>
          <w:t>[1969] S.C.R. 851</w:t>
        </w:r>
      </w:hyperlink>
      <w:r>
        <w:rPr>
          <w:rFonts w:ascii="arial" w:eastAsia="arial" w:hAnsi="arial" w:cs="arial"/>
          <w:color w:val="000000"/>
          <w:sz w:val="20"/>
          <w:lang w:val="en-US" w:eastAsia="en-US" w:bidi="ar-SA"/>
        </w:rPr>
        <w:t xml:space="preserve">, </w:t>
      </w:r>
      <w:hyperlink r:id="rId709" w:history="1">
        <w:r>
          <w:rPr>
            <w:rFonts w:ascii="arial" w:eastAsia="arial" w:hAnsi="arial" w:cs="arial"/>
            <w:i/>
            <w:color w:val="0077CC"/>
            <w:sz w:val="20"/>
            <w:u w:val="single"/>
            <w:shd w:val="clear" w:color="auto" w:fill="FFFFFF"/>
            <w:lang w:val="en-US" w:eastAsia="en-US" w:bidi="ar-SA"/>
          </w:rPr>
          <w:t>12 D.L.R. (3d) 722</w:t>
        </w:r>
      </w:hyperlink>
      <w:r>
        <w:rPr>
          <w:rFonts w:ascii="arial" w:eastAsia="arial" w:hAnsi="arial" w:cs="arial"/>
          <w:color w:val="000000"/>
          <w:sz w:val="20"/>
          <w:lang w:val="en-US" w:eastAsia="en-US" w:bidi="ar-SA"/>
        </w:rPr>
        <w:t>. In that case, the Supreme Court of Canada considered whether federal or provincial labour legislation applied to a shipping operation which operated entirely between Quebec ports, and concluded that it was a local undertaking to which provincial legislation applied, stating at 859: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 am of the opinion, that in the case of the type presently before us, and, except in so far as the shipping aspect of the matter is concerned, the provisions of s. 91(29) and s. 92(10)(a) and (b) are collectively intended to exclude from the jurisdiction of Parliament maritime shipping undertakings whose operations are carried on entirely within the boundaries of a single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xml:space="preserve">  Mr. Nielsen also referred to the statements of Rand J. (dissenting) in an earlier case, </w:t>
      </w:r>
      <w:r>
        <w:rPr>
          <w:rFonts w:ascii="arial" w:eastAsia="arial" w:hAnsi="arial" w:cs="arial"/>
          <w:b/>
          <w:i/>
          <w:color w:val="000000"/>
          <w:sz w:val="20"/>
          <w:lang w:val="en-US" w:eastAsia="en-US" w:bidi="ar-SA"/>
        </w:rPr>
        <w:t>Re: Validity of Industrial Relations Act v. Eastern Canada Stevedoring Company Limited</w:t>
      </w:r>
      <w:r>
        <w:rPr>
          <w:rFonts w:ascii="arial" w:eastAsia="arial" w:hAnsi="arial" w:cs="arial"/>
          <w:color w:val="000000"/>
          <w:sz w:val="20"/>
          <w:lang w:val="en-US" w:eastAsia="en-US" w:bidi="ar-SA"/>
        </w:rPr>
        <w:t xml:space="preserve">, </w:t>
      </w:r>
      <w:hyperlink r:id="rId710" w:history="1">
        <w:r>
          <w:rPr>
            <w:rFonts w:ascii="arial" w:eastAsia="arial" w:hAnsi="arial" w:cs="arial"/>
            <w:i/>
            <w:color w:val="0077CC"/>
            <w:sz w:val="20"/>
            <w:u w:val="single"/>
            <w:shd w:val="clear" w:color="auto" w:fill="FFFFFF"/>
            <w:lang w:val="en-US" w:eastAsia="en-US" w:bidi="ar-SA"/>
          </w:rPr>
          <w:t>[1955] S.C.R. 529</w:t>
        </w:r>
      </w:hyperlink>
      <w:r>
        <w:rPr>
          <w:rFonts w:ascii="arial" w:eastAsia="arial" w:hAnsi="arial" w:cs="arial"/>
          <w:color w:val="000000"/>
          <w:sz w:val="20"/>
          <w:lang w:val="en-US" w:eastAsia="en-US" w:bidi="ar-SA"/>
        </w:rPr>
        <w:t xml:space="preserve">, </w:t>
      </w:r>
      <w:hyperlink r:id="rId710" w:history="1">
        <w:r>
          <w:rPr>
            <w:rFonts w:ascii="arial" w:eastAsia="arial" w:hAnsi="arial" w:cs="arial"/>
            <w:i/>
            <w:color w:val="0077CC"/>
            <w:sz w:val="20"/>
            <w:u w:val="single"/>
            <w:shd w:val="clear" w:color="auto" w:fill="FFFFFF"/>
            <w:lang w:val="en-US" w:eastAsia="en-US" w:bidi="ar-SA"/>
          </w:rPr>
          <w:t>[1955] 3 D.L.R. 721</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Stevedoring Case"</w:t>
      </w:r>
      <w:r>
        <w:rPr>
          <w:rFonts w:ascii="arial" w:eastAsia="arial" w:hAnsi="arial" w:cs="arial"/>
          <w:color w:val="000000"/>
          <w:sz w:val="20"/>
          <w:lang w:val="en-US" w:eastAsia="en-US" w:bidi="ar-SA"/>
        </w:rPr>
        <w:t>), addressing the question whether commercial fishing fleets fall within provincial jurisdiction. Rand J. stated at 552-53: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government and management of the ship, including qualifications and discipline of the crew, and all matters relating to navigation, remain with Parliament: but the civil rights of crews must be considered.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Shipping is not confined to the larger sense of undertakings such as "lines of ships"; it may be fluid both in routes and functions. Single ships may be engaged in interprovincial or foreign commerce today, otherwise than incidentally; and local trade tomorrow: they may be carriers of goods for their owners or for the public: they may compose fishing fleets as in the Maritime Provinces and British Columbia with employees in incidental activities. </w:t>
      </w:r>
      <w:r>
        <w:rPr>
          <w:rFonts w:ascii="arial" w:eastAsia="arial" w:hAnsi="arial" w:cs="arial"/>
          <w:color w:val="000000"/>
          <w:sz w:val="20"/>
          <w:u w:val="single"/>
          <w:lang w:val="en-US" w:eastAsia="en-US" w:bidi="ar-SA"/>
        </w:rPr>
        <w:t>They have their home port in a Province. In these, as in strictly local undertakings, the local interest is paramount from the civil rights of the crews prima facie find the regulation in provincial law</w:t>
      </w:r>
      <w:r>
        <w:rPr>
          <w:rFonts w:ascii="arial" w:eastAsia="arial" w:hAnsi="arial" w:cs="arial"/>
          <w:color w:val="000000"/>
          <w:sz w:val="20"/>
          <w:lang w:val="en-US" w:eastAsia="en-US" w:bidi="ar-SA"/>
        </w:rPr>
        <w: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But it would, in my opinion, be an unwarranted encroachment on provincial powers to extend this scope of Shipping in the application of s. 53 to crews of vessels engaged in strictly local undertakings or services, </w:t>
      </w:r>
      <w:r>
        <w:rPr>
          <w:rFonts w:ascii="arial" w:eastAsia="arial" w:hAnsi="arial" w:cs="arial"/>
          <w:color w:val="000000"/>
          <w:sz w:val="20"/>
          <w:u w:val="single"/>
          <w:lang w:val="en-US" w:eastAsia="en-US" w:bidi="ar-SA"/>
        </w:rPr>
        <w:t>including fishing fleets and craft engaged primarily in intraprovincial carriage</w:t>
      </w:r>
      <w:r>
        <w:rPr>
          <w:rFonts w:ascii="arial" w:eastAsia="arial" w:hAnsi="arial" w:cs="arial"/>
          <w:color w:val="000000"/>
          <w:sz w:val="20"/>
          <w:lang w:val="en-US" w:eastAsia="en-US" w:bidi="ar-SA"/>
        </w:rPr>
        <w:t>. Subject to that limitation the Dominion authority under s. 91(10) comprehends all Shipping.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majority of the Supreme Court of Canada in that case concluded that the office staff and stevedores were subject to the federal, not provincial, legislation in their employment relations with the stevedoring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Singbeil v. Hansen</w:t>
      </w:r>
      <w:r>
        <w:rPr>
          <w:rFonts w:ascii="arial" w:eastAsia="arial" w:hAnsi="arial" w:cs="arial"/>
          <w:color w:val="000000"/>
          <w:sz w:val="20"/>
          <w:lang w:val="en-US" w:eastAsia="en-US" w:bidi="ar-SA"/>
        </w:rPr>
        <w:t xml:space="preserve">, the Court of Appeal for British Columbia held that even though on occasion B.C. ferries made brief passage through American waters, they were a provincial undertaking, and federal legislation preventing the attachment or garnishment of a seaman's wages did not apply to a B.C. Ferries employee. In </w:t>
      </w:r>
      <w:r>
        <w:rPr>
          <w:rFonts w:ascii="arial" w:eastAsia="arial" w:hAnsi="arial" w:cs="arial"/>
          <w:b/>
          <w:i/>
          <w:color w:val="000000"/>
          <w:sz w:val="20"/>
          <w:lang w:val="en-US" w:eastAsia="en-US" w:bidi="ar-SA"/>
        </w:rPr>
        <w:t>Singbeil</w:t>
      </w:r>
      <w:r>
        <w:rPr>
          <w:rFonts w:ascii="arial" w:eastAsia="arial" w:hAnsi="arial" w:cs="arial"/>
          <w:color w:val="000000"/>
          <w:sz w:val="20"/>
          <w:lang w:val="en-US" w:eastAsia="en-US" w:bidi="ar-SA"/>
        </w:rPr>
        <w:t xml:space="preserve">, Seaton J.A. referred to the various judgments in the </w:t>
      </w:r>
      <w:r>
        <w:rPr>
          <w:rFonts w:ascii="arial" w:eastAsia="arial" w:hAnsi="arial" w:cs="arial"/>
          <w:b/>
          <w:i/>
          <w:color w:val="000000"/>
          <w:sz w:val="20"/>
          <w:lang w:val="en-US" w:eastAsia="en-US" w:bidi="ar-SA"/>
        </w:rPr>
        <w:t>Stevedoring Case</w:t>
      </w:r>
      <w:r>
        <w:rPr>
          <w:rFonts w:ascii="arial" w:eastAsia="arial" w:hAnsi="arial" w:cs="arial"/>
          <w:color w:val="000000"/>
          <w:sz w:val="20"/>
          <w:lang w:val="en-US" w:eastAsia="en-US" w:bidi="ar-SA"/>
        </w:rPr>
        <w:t xml:space="preserve">, including the comments of Rand J. quoted above. Seaton J.A. also noted in </w:t>
      </w:r>
      <w:r>
        <w:rPr>
          <w:rFonts w:ascii="arial" w:eastAsia="arial" w:hAnsi="arial" w:cs="arial"/>
          <w:b/>
          <w:i/>
          <w:color w:val="000000"/>
          <w:sz w:val="20"/>
          <w:lang w:val="en-US" w:eastAsia="en-US" w:bidi="ar-SA"/>
        </w:rPr>
        <w:t>Singbeil</w:t>
      </w:r>
      <w:r>
        <w:rPr>
          <w:rFonts w:ascii="arial" w:eastAsia="arial" w:hAnsi="arial" w:cs="arial"/>
          <w:color w:val="000000"/>
          <w:sz w:val="20"/>
          <w:lang w:val="en-US" w:eastAsia="en-US" w:bidi="ar-SA"/>
        </w:rPr>
        <w:t xml:space="preserve"> at 243-44: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Pigeon, J., dissenting in </w:t>
      </w:r>
      <w:r>
        <w:rPr>
          <w:rFonts w:ascii="arial" w:eastAsia="arial" w:hAnsi="arial" w:cs="arial"/>
          <w:i/>
          <w:color w:val="000000"/>
          <w:sz w:val="20"/>
          <w:lang w:val="en-US" w:eastAsia="en-US" w:bidi="ar-SA"/>
        </w:rPr>
        <w:t>Pub. Service Bd. v. Dionne.</w:t>
      </w:r>
      <w:r>
        <w:rPr>
          <w:rFonts w:ascii="arial" w:eastAsia="arial" w:hAnsi="arial" w:cs="arial"/>
          <w:color w:val="000000"/>
          <w:sz w:val="20"/>
          <w:lang w:val="en-US" w:eastAsia="en-US" w:bidi="ar-SA"/>
        </w:rPr>
        <w:t xml:space="preserve">, </w:t>
      </w:r>
      <w:hyperlink r:id="rId711" w:history="1">
        <w:r>
          <w:rPr>
            <w:rFonts w:ascii="arial" w:eastAsia="arial" w:hAnsi="arial" w:cs="arial"/>
            <w:i/>
            <w:color w:val="0077CC"/>
            <w:sz w:val="20"/>
            <w:u w:val="single"/>
            <w:shd w:val="clear" w:color="auto" w:fill="FFFFFF"/>
            <w:lang w:val="en-US" w:eastAsia="en-US" w:bidi="ar-SA"/>
          </w:rPr>
          <w:t>[1978] 2 S.C.R. 191</w:t>
        </w:r>
      </w:hyperlink>
      <w:r>
        <w:rPr>
          <w:rFonts w:ascii="arial" w:eastAsia="arial" w:hAnsi="arial" w:cs="arial"/>
          <w:color w:val="000000"/>
          <w:sz w:val="20"/>
          <w:lang w:val="en-US" w:eastAsia="en-US" w:bidi="ar-SA"/>
        </w:rPr>
        <w:t xml:space="preserve">, </w:t>
      </w:r>
      <w:hyperlink r:id="rId711" w:history="1">
        <w:r>
          <w:rPr>
            <w:rFonts w:ascii="arial" w:eastAsia="arial" w:hAnsi="arial" w:cs="arial"/>
            <w:i/>
            <w:color w:val="0077CC"/>
            <w:sz w:val="20"/>
            <w:u w:val="single"/>
            <w:shd w:val="clear" w:color="auto" w:fill="FFFFFF"/>
            <w:lang w:val="en-US" w:eastAsia="en-US" w:bidi="ar-SA"/>
          </w:rPr>
          <w:t>18 N.R. 271</w:t>
        </w:r>
      </w:hyperlink>
      <w:r>
        <w:rPr>
          <w:rFonts w:ascii="arial" w:eastAsia="arial" w:hAnsi="arial" w:cs="arial"/>
          <w:color w:val="000000"/>
          <w:sz w:val="20"/>
          <w:lang w:val="en-US" w:eastAsia="en-US" w:bidi="ar-SA"/>
        </w:rPr>
        <w:t xml:space="preserve">, </w:t>
      </w:r>
      <w:hyperlink r:id="rId711" w:history="1">
        <w:r>
          <w:rPr>
            <w:rFonts w:ascii="arial" w:eastAsia="arial" w:hAnsi="arial" w:cs="arial"/>
            <w:i/>
            <w:color w:val="0077CC"/>
            <w:sz w:val="20"/>
            <w:u w:val="single"/>
            <w:shd w:val="clear" w:color="auto" w:fill="FFFFFF"/>
            <w:lang w:val="en-US" w:eastAsia="en-US" w:bidi="ar-SA"/>
          </w:rPr>
          <w:t>83 D.L.R. (3d) 178</w:t>
        </w:r>
      </w:hyperlink>
      <w:r>
        <w:rPr>
          <w:rFonts w:ascii="arial" w:eastAsia="arial" w:hAnsi="arial" w:cs="arial"/>
          <w:color w:val="000000"/>
          <w:sz w:val="20"/>
          <w:lang w:val="en-US" w:eastAsia="en-US" w:bidi="ar-SA"/>
        </w:rPr>
        <w:t xml:space="preserve"> [pp. 200-201], used navigation and shipping as an example when he distinguished between an undertaking and the activities or operations of that undertaking: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important at the outset to observe that federal jurisdiction over some activities or operations does not necessarily mean that any undertaking involved in such activities or operations automatically comes under federal jurisdiction. For instance under head 10 of s. 91 of the </w:t>
      </w:r>
      <w:r>
        <w:rPr>
          <w:rFonts w:ascii="arial" w:eastAsia="arial" w:hAnsi="arial" w:cs="arial"/>
          <w:i/>
          <w:color w:val="000000"/>
          <w:sz w:val="20"/>
          <w:lang w:val="en-US" w:eastAsia="en-US" w:bidi="ar-SA"/>
        </w:rPr>
        <w:t>B.N.A. Act</w:t>
      </w:r>
      <w:r>
        <w:rPr>
          <w:rFonts w:ascii="arial" w:eastAsia="arial" w:hAnsi="arial" w:cs="arial"/>
          <w:color w:val="000000"/>
          <w:sz w:val="20"/>
          <w:lang w:val="en-US" w:eastAsia="en-US" w:bidi="ar-SA"/>
        </w:rPr>
        <w:t xml:space="preserve"> "Navigation and Shipping", are enumerated among the classes of subjects coming within exclusive federal authority. </w:t>
      </w:r>
      <w:r>
        <w:rPr>
          <w:rFonts w:ascii="arial" w:eastAsia="arial" w:hAnsi="arial" w:cs="arial"/>
          <w:color w:val="000000"/>
          <w:sz w:val="20"/>
          <w:u w:val="single"/>
          <w:lang w:val="en-US" w:eastAsia="en-US" w:bidi="ar-SA"/>
        </w:rPr>
        <w:t>It would, however, be wrong to conclude that this means that all navigation undertakings come under federal jurisdiction, because head 13 includes only "Ferries between a Province and any British or Foreign Country or between Two Provinces".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conclude that the distinction is between the undertaking and the operations. Attachment of seamen's wages has to do with the undertaking, not the operations. Attachments of the wages of seamen in the employ of the British Columbia Ferry Corporation fall within provincial jurisdiction and the federal legislation does not apply to them. I think, therefore, that the chambers judge was correct when he dismissed the defendant's application.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Lambert J.A., concurring, stated at 254-57: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question, therefore, in this case, becomes whether the British Columbia ferries are a core federal undertaking. The definition of "federal work, undertaking or business" in the </w:t>
      </w:r>
      <w:r>
        <w:rPr>
          <w:rFonts w:ascii="arial" w:eastAsia="arial" w:hAnsi="arial" w:cs="arial"/>
          <w:i/>
          <w:color w:val="000000"/>
          <w:sz w:val="20"/>
          <w:lang w:val="en-US" w:eastAsia="en-US" w:bidi="ar-SA"/>
        </w:rPr>
        <w:t>Canada Labour Code</w:t>
      </w:r>
      <w:r>
        <w:rPr>
          <w:rFonts w:ascii="arial" w:eastAsia="arial" w:hAnsi="arial" w:cs="arial"/>
          <w:color w:val="000000"/>
          <w:sz w:val="20"/>
          <w:lang w:val="en-US" w:eastAsia="en-US" w:bidi="ar-SA"/>
        </w:rPr>
        <w:t xml:space="preserve"> sets out the perceptions of the Parliament of Canada about what constitutes a core federal undertaking....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section is clearly a reflection of the distribution of legislative competence under ss. 91 and 92 of the Constitution Act 1867. But the question of whether para. (a) of the definition is too broad an approach, when considered in relation to merely local maritime undertakings, remains unresolved. And I do not think it is necessary to resolve it in this case; because local ferries that operate only within one province, such as the British Columbia ferries, are, in my opinion, not federal undertakings. I think that is implicit in head 91(13) of the Constitution Act, and that it is reflected in the wording of para. (d) of the definition of federal undertakings.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 xml:space="preserve">My second comment is that Beetz J. in </w:t>
      </w:r>
      <w:r>
        <w:rPr>
          <w:rFonts w:ascii="arial" w:eastAsia="arial" w:hAnsi="arial" w:cs="arial"/>
          <w:i/>
          <w:color w:val="000000"/>
          <w:sz w:val="20"/>
          <w:u w:val="single"/>
          <w:lang w:val="en-US" w:eastAsia="en-US" w:bidi="ar-SA"/>
        </w:rPr>
        <w:t>Const. Montcalm Inc. v. Minimum Wage Comm.</w:t>
      </w:r>
      <w:r>
        <w:rPr>
          <w:rFonts w:ascii="arial" w:eastAsia="arial" w:hAnsi="arial" w:cs="arial"/>
          <w:color w:val="000000"/>
          <w:sz w:val="20"/>
          <w:u w:val="single"/>
          <w:lang w:val="en-US" w:eastAsia="en-US" w:bidi="ar-SA"/>
        </w:rPr>
        <w:t xml:space="preserve">, </w:t>
      </w:r>
      <w:hyperlink r:id="rId712" w:history="1">
        <w:r>
          <w:rPr>
            <w:rFonts w:ascii="arial" w:eastAsia="arial" w:hAnsi="arial" w:cs="arial"/>
            <w:i/>
            <w:color w:val="0077CC"/>
            <w:sz w:val="20"/>
            <w:u w:val="single"/>
            <w:shd w:val="clear" w:color="auto" w:fill="FFFFFF"/>
            <w:lang w:val="en-US" w:eastAsia="en-US" w:bidi="ar-SA"/>
          </w:rPr>
          <w:t>[1979] 1 S.C.R. 754</w:t>
        </w:r>
      </w:hyperlink>
      <w:r>
        <w:rPr>
          <w:rFonts w:ascii="arial" w:eastAsia="arial" w:hAnsi="arial" w:cs="arial"/>
          <w:color w:val="000000"/>
          <w:sz w:val="20"/>
          <w:u w:val="single"/>
          <w:lang w:val="en-US" w:eastAsia="en-US" w:bidi="ar-SA"/>
        </w:rPr>
        <w:t xml:space="preserve">, 79 C.L.L.C. 14, 190 (sub nom. Montcalm Const. Inc. v. Minimum Wage Comm.), </w:t>
      </w:r>
      <w:hyperlink r:id="rId712" w:history="1">
        <w:r>
          <w:rPr>
            <w:rFonts w:ascii="arial" w:eastAsia="arial" w:hAnsi="arial" w:cs="arial"/>
            <w:i/>
            <w:color w:val="0077CC"/>
            <w:sz w:val="20"/>
            <w:u w:val="single"/>
            <w:shd w:val="clear" w:color="auto" w:fill="FFFFFF"/>
            <w:lang w:val="en-US" w:eastAsia="en-US" w:bidi="ar-SA"/>
          </w:rPr>
          <w:t>93 D.L.R. (3d) 641</w:t>
        </w:r>
      </w:hyperlink>
      <w:r>
        <w:rPr>
          <w:rFonts w:ascii="arial" w:eastAsia="arial" w:hAnsi="arial" w:cs="arial"/>
          <w:color w:val="000000"/>
          <w:sz w:val="20"/>
          <w:u w:val="single"/>
          <w:lang w:val="en-US" w:eastAsia="en-US" w:bidi="ar-SA"/>
        </w:rPr>
        <w:t xml:space="preserve">, </w:t>
      </w:r>
      <w:hyperlink r:id="rId712" w:history="1">
        <w:r>
          <w:rPr>
            <w:rFonts w:ascii="arial" w:eastAsia="arial" w:hAnsi="arial" w:cs="arial"/>
            <w:i/>
            <w:color w:val="0077CC"/>
            <w:sz w:val="20"/>
            <w:u w:val="single"/>
            <w:shd w:val="clear" w:color="auto" w:fill="FFFFFF"/>
            <w:lang w:val="en-US" w:eastAsia="en-US" w:bidi="ar-SA"/>
          </w:rPr>
          <w:t>25 N.R. 1</w:t>
        </w:r>
      </w:hyperlink>
      <w:r>
        <w:rPr>
          <w:rFonts w:ascii="arial" w:eastAsia="arial" w:hAnsi="arial" w:cs="arial"/>
          <w:color w:val="000000"/>
          <w:sz w:val="20"/>
          <w:u w:val="single"/>
          <w:lang w:val="en-US" w:eastAsia="en-US" w:bidi="ar-SA"/>
        </w:rPr>
        <w:t xml:space="preserve">, and Dickson J. in </w:t>
      </w:r>
      <w:r>
        <w:rPr>
          <w:rFonts w:ascii="arial" w:eastAsia="arial" w:hAnsi="arial" w:cs="arial"/>
          <w:i/>
          <w:color w:val="000000"/>
          <w:sz w:val="20"/>
          <w:u w:val="single"/>
          <w:lang w:val="en-US" w:eastAsia="en-US" w:bidi="ar-SA"/>
        </w:rPr>
        <w:t>Nor. Telecom inc. v. Communications Wkrs. of Can.</w:t>
      </w:r>
      <w:r>
        <w:rPr>
          <w:rFonts w:ascii="arial" w:eastAsia="arial" w:hAnsi="arial" w:cs="arial"/>
          <w:color w:val="000000"/>
          <w:sz w:val="20"/>
          <w:lang w:val="en-US" w:eastAsia="en-US" w:bidi="ar-SA"/>
        </w:rPr>
        <w:t xml:space="preserve">, </w:t>
      </w:r>
      <w:r>
        <w:rPr>
          <w:rFonts w:ascii="arial" w:eastAsia="arial" w:hAnsi="arial" w:cs="arial"/>
          <w:i/>
          <w:color w:val="000000"/>
          <w:sz w:val="20"/>
          <w:u w:val="single"/>
          <w:lang w:val="en-US" w:eastAsia="en-US" w:bidi="ar-SA"/>
        </w:rPr>
        <w:t>supra</w:t>
      </w:r>
      <w:r>
        <w:rPr>
          <w:rFonts w:ascii="arial" w:eastAsia="arial" w:hAnsi="arial" w:cs="arial"/>
          <w:color w:val="000000"/>
          <w:sz w:val="20"/>
          <w:u w:val="single"/>
          <w:lang w:val="en-US" w:eastAsia="en-US" w:bidi="ar-SA"/>
        </w:rPr>
        <w:t>, both confirm that, in classifying an undertaking as federal or as provincial, one must look at the normal and habitual activities of the business and not at exceptional or casual factors. The occasional passage of a British Columbia ferry through waters outside the inland waters of the province is only a casual factor. The British Columbia ferries operate only between ports in British Columbia.</w:t>
      </w:r>
      <w:r>
        <w:rPr>
          <w:rFonts w:ascii="arial" w:eastAsia="arial" w:hAnsi="arial" w:cs="arial"/>
          <w:color w:val="000000"/>
          <w:sz w:val="20"/>
          <w:lang w:val="en-US" w:eastAsia="en-US" w:bidi="ar-SA"/>
        </w:rPr>
        <w:t xml:space="preserve"> This point is also in accord with the reasons of Fauteux J., for the Supreme Court of Canada, in </w:t>
      </w:r>
      <w:r>
        <w:rPr>
          <w:rFonts w:ascii="arial" w:eastAsia="arial" w:hAnsi="arial" w:cs="arial"/>
          <w:i/>
          <w:color w:val="000000"/>
          <w:sz w:val="20"/>
          <w:lang w:val="en-US" w:eastAsia="en-US" w:bidi="ar-SA"/>
        </w:rPr>
        <w:t>Agence Maritime Inc. v. Conseil Can. des Rel. Ouvrières</w:t>
      </w:r>
      <w:r>
        <w:rPr>
          <w:rFonts w:ascii="arial" w:eastAsia="arial" w:hAnsi="arial" w:cs="arial"/>
          <w:color w:val="000000"/>
          <w:sz w:val="20"/>
          <w:lang w:val="en-US" w:eastAsia="en-US" w:bidi="ar-SA"/>
        </w:rPr>
        <w:t xml:space="preserve">, </w:t>
      </w:r>
      <w:hyperlink r:id="rId709" w:history="1">
        <w:r>
          <w:rPr>
            <w:rFonts w:ascii="arial" w:eastAsia="arial" w:hAnsi="arial" w:cs="arial"/>
            <w:i/>
            <w:color w:val="0077CC"/>
            <w:sz w:val="20"/>
            <w:u w:val="single"/>
            <w:shd w:val="clear" w:color="auto" w:fill="FFFFFF"/>
            <w:lang w:val="en-US" w:eastAsia="en-US" w:bidi="ar-SA"/>
          </w:rPr>
          <w:t>[1969] S.C.R. 851</w:t>
        </w:r>
      </w:hyperlink>
      <w:r>
        <w:rPr>
          <w:rFonts w:ascii="arial" w:eastAsia="arial" w:hAnsi="arial" w:cs="arial"/>
          <w:color w:val="000000"/>
          <w:sz w:val="20"/>
          <w:lang w:val="en-US" w:eastAsia="en-US" w:bidi="ar-SA"/>
        </w:rPr>
        <w:t xml:space="preserve">, </w:t>
      </w:r>
      <w:hyperlink r:id="rId709" w:history="1">
        <w:r>
          <w:rPr>
            <w:rFonts w:ascii="arial" w:eastAsia="arial" w:hAnsi="arial" w:cs="arial"/>
            <w:i/>
            <w:color w:val="0077CC"/>
            <w:sz w:val="20"/>
            <w:u w:val="single"/>
            <w:shd w:val="clear" w:color="auto" w:fill="FFFFFF"/>
            <w:lang w:val="en-US" w:eastAsia="en-US" w:bidi="ar-SA"/>
          </w:rPr>
          <w:t>12 D.L.R. (3d) 722</w:t>
        </w:r>
      </w:hyperlink>
      <w:r>
        <w:rPr>
          <w:rFonts w:ascii="arial" w:eastAsia="arial" w:hAnsi="arial" w:cs="arial"/>
          <w:color w:val="000000"/>
          <w:sz w:val="20"/>
          <w:lang w:val="en-US" w:eastAsia="en-US" w:bidi="ar-SA"/>
        </w:rPr>
        <w:t xml:space="preserve"> (sub nom. </w:t>
      </w:r>
      <w:r>
        <w:rPr>
          <w:rFonts w:ascii="arial" w:eastAsia="arial" w:hAnsi="arial" w:cs="arial"/>
          <w:i/>
          <w:color w:val="000000"/>
          <w:sz w:val="20"/>
          <w:lang w:val="en-US" w:eastAsia="en-US" w:bidi="ar-SA"/>
        </w:rPr>
        <w:t>Agence Maritime Inc. v. Lab. Rel. Bd. (Can.)</w:t>
      </w:r>
      <w:r>
        <w:rPr>
          <w:rFonts w:ascii="arial" w:eastAsia="arial" w:hAnsi="arial" w:cs="arial"/>
          <w:color w:val="000000"/>
          <w:sz w:val="20"/>
          <w:lang w:val="en-US" w:eastAsia="en-US" w:bidi="ar-SA"/>
        </w:rPr>
        <w:t>)..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xml:space="preserve">  Mr. Nielsen submitted that the Province's jurisdiction in relation to labour relations is not excluded simply by reason of the fact that a commercial fishing vessel may fish beyond the territorial limits of the province, referring to </w:t>
      </w:r>
      <w:r>
        <w:rPr>
          <w:rFonts w:ascii="arial" w:eastAsia="arial" w:hAnsi="arial" w:cs="arial"/>
          <w:b/>
          <w:i/>
          <w:color w:val="000000"/>
          <w:sz w:val="20"/>
          <w:lang w:val="en-US" w:eastAsia="en-US" w:bidi="ar-SA"/>
        </w:rPr>
        <w:t>Mark Fishing</w:t>
      </w:r>
      <w:r>
        <w:rPr>
          <w:rFonts w:ascii="arial" w:eastAsia="arial" w:hAnsi="arial" w:cs="arial"/>
          <w:color w:val="000000"/>
          <w:sz w:val="20"/>
          <w:lang w:val="en-US" w:eastAsia="en-US" w:bidi="ar-SA"/>
        </w:rPr>
        <w:t xml:space="preserve">. There, the issue was whether the crews of the vessels of the Prince Rupert Vessel Owners' Association were employees of the owners or co-adventurers with them. Having determined that the crew members were employees, the Court had to decide whether the federal </w:t>
      </w:r>
      <w:r>
        <w:rPr>
          <w:rFonts w:ascii="arial" w:eastAsia="arial" w:hAnsi="arial" w:cs="arial"/>
          <w:b/>
          <w:i/>
          <w:color w:val="000000"/>
          <w:sz w:val="20"/>
          <w:lang w:val="en-US" w:eastAsia="en-US" w:bidi="ar-SA"/>
        </w:rPr>
        <w:t>Industrial Relations and Disputes Investigation Act</w:t>
      </w:r>
      <w:r>
        <w:rPr>
          <w:rFonts w:ascii="arial" w:eastAsia="arial" w:hAnsi="arial" w:cs="arial"/>
          <w:color w:val="000000"/>
          <w:sz w:val="20"/>
          <w:lang w:val="en-US" w:eastAsia="en-US" w:bidi="ar-SA"/>
        </w:rPr>
        <w:t xml:space="preserve">, R.S.C. 1952, c. 155 or the provincial </w:t>
      </w:r>
      <w:r>
        <w:rPr>
          <w:rFonts w:ascii="arial" w:eastAsia="arial" w:hAnsi="arial" w:cs="arial"/>
          <w:b/>
          <w:i/>
          <w:color w:val="000000"/>
          <w:sz w:val="20"/>
          <w:lang w:val="en-US" w:eastAsia="en-US" w:bidi="ar-SA"/>
        </w:rPr>
        <w:t>Labour Relations Act</w:t>
      </w:r>
      <w:r>
        <w:rPr>
          <w:rFonts w:ascii="arial" w:eastAsia="arial" w:hAnsi="arial" w:cs="arial"/>
          <w:color w:val="000000"/>
          <w:sz w:val="20"/>
          <w:lang w:val="en-US" w:eastAsia="en-US" w:bidi="ar-SA"/>
        </w:rPr>
        <w:t xml:space="preserve">, R.S.B.C. 1960, c. 205 applied. The Minister of Justice of Canada intervened and argued that s. 91(12) of the </w:t>
      </w:r>
      <w:r>
        <w:rPr>
          <w:rFonts w:ascii="arial" w:eastAsia="arial" w:hAnsi="arial" w:cs="arial"/>
          <w:b/>
          <w:i/>
          <w:color w:val="000000"/>
          <w:sz w:val="20"/>
          <w:lang w:val="en-US" w:eastAsia="en-US" w:bidi="ar-SA"/>
        </w:rPr>
        <w:t>Constitution Act, 1867</w:t>
      </w:r>
      <w:r>
        <w:rPr>
          <w:rFonts w:ascii="arial" w:eastAsia="arial" w:hAnsi="arial" w:cs="arial"/>
          <w:color w:val="000000"/>
          <w:sz w:val="20"/>
          <w:lang w:val="en-US" w:eastAsia="en-US" w:bidi="ar-SA"/>
        </w:rPr>
        <w:t xml:space="preserve"> ("Sea-coast and inland fisheries") gave authority to Parliament. Davey C.J.B.C. stated at para. 18: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may be that some aspects of employment on fishing vessels involve "Navigation and shipping" under head (10) of section 91 and so fall within the authority of Parliament, e.g. qualifications of captains, engineers, and seamen. However those special aspects of maritime employment do not bear upon the broad question that arises here of whether Parliament or the Legislative Assembly has the power to legislate, upon labour relations generally, in the fishing fleet.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He continued at para. 23: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However, I consider the weight of authority supports the opinion that the subject of the authority conferred upon Parliament is the natural resource itself, and not the relation of employers and employees who are engaged in exploiting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The evidence indicated that the fishing was outside the territorial limits of the Province. However, Davey C.J.B.C. stated at paras. 42-45: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I do not overlook the fact that deep sea fishing, with which we are concerned here, is carried on beyond the territorial limits of the province. But the management of the industry is located in the province. The vessels have their home ports in the province where the crews are engaged and discharged, and for the most part the catch is delivered to shore plants in the province.</w:t>
      </w:r>
      <w:r>
        <w:rPr>
          <w:rFonts w:ascii="arial" w:eastAsia="arial" w:hAnsi="arial" w:cs="arial"/>
          <w:color w:val="000000"/>
          <w:sz w:val="20"/>
          <w:lang w:val="en-US" w:eastAsia="en-US" w:bidi="ar-SA"/>
        </w:rPr>
        <w:t xml:space="preserve"> I do not understand counsel for the Minister of Justice to take that point, but since some of the duties of the crews are performed outside the province, it should be considered. The point seems to be answered by the judgment of the Privy Council in </w:t>
      </w:r>
      <w:r>
        <w:rPr>
          <w:rFonts w:ascii="arial" w:eastAsia="arial" w:hAnsi="arial" w:cs="arial"/>
          <w:i/>
          <w:color w:val="000000"/>
          <w:sz w:val="20"/>
          <w:lang w:val="en-US" w:eastAsia="en-US" w:bidi="ar-SA"/>
        </w:rPr>
        <w:t>Workmen's Compensation Board v. Canadian Pacific Railway Company</w:t>
      </w:r>
      <w:r>
        <w:rPr>
          <w:rFonts w:ascii="arial" w:eastAsia="arial" w:hAnsi="arial" w:cs="arial"/>
          <w:color w:val="000000"/>
          <w:sz w:val="20"/>
          <w:lang w:val="en-US" w:eastAsia="en-US" w:bidi="ar-SA"/>
        </w:rPr>
        <w:t xml:space="preserve">, </w:t>
      </w:r>
      <w:hyperlink r:id="rId713" w:history="1">
        <w:r>
          <w:rPr>
            <w:rFonts w:ascii="arial" w:eastAsia="arial" w:hAnsi="arial" w:cs="arial"/>
            <w:i/>
            <w:color w:val="0077CC"/>
            <w:sz w:val="20"/>
            <w:u w:val="single"/>
            <w:shd w:val="clear" w:color="auto" w:fill="FFFFFF"/>
            <w:lang w:val="en-US" w:eastAsia="en-US" w:bidi="ar-SA"/>
          </w:rPr>
          <w:t>[1920] A.C. 184</w:t>
        </w:r>
      </w:hyperlink>
      <w:r>
        <w:rPr>
          <w:rFonts w:ascii="arial" w:eastAsia="arial" w:hAnsi="arial" w:cs="arial"/>
          <w:color w:val="000000"/>
          <w:sz w:val="20"/>
          <w:lang w:val="en-US" w:eastAsia="en-US" w:bidi="ar-SA"/>
        </w:rPr>
        <w:t xml:space="preserve">, as explained by Martland J. in the </w:t>
      </w:r>
      <w:r>
        <w:rPr>
          <w:rFonts w:ascii="arial" w:eastAsia="arial" w:hAnsi="arial" w:cs="arial"/>
          <w:i/>
          <w:color w:val="000000"/>
          <w:sz w:val="20"/>
          <w:lang w:val="en-US" w:eastAsia="en-US" w:bidi="ar-SA"/>
        </w:rPr>
        <w:t>Bell Telephone case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w:t>
      </w:r>
      <w:r>
        <w:rPr>
          <w:rFonts w:ascii="arial" w:eastAsia="arial" w:hAnsi="arial" w:cs="arial"/>
          <w:color w:val="000000"/>
          <w:sz w:val="20"/>
          <w:lang w:val="en-US" w:eastAsia="en-US" w:bidi="ar-SA"/>
        </w:rPr>
        <w:t xml:space="preserve"> a.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xml:space="preserve">  Counsel for the Attorney General of British Columbia agreed with the submissions of the WCB and added that the federal government's jurisdiction over the fisheries does not extend to making laws in relation to things "reasonably incidental to carrying on a fishing business, such as labour relations". Ms. Jackson submitted that the "business of fishing" is not a federal undertaking and that its labour relations have been considered to be within provincial jurisdiction. She referred to </w:t>
      </w:r>
      <w:r>
        <w:rPr>
          <w:rFonts w:ascii="arial" w:eastAsia="arial" w:hAnsi="arial" w:cs="arial"/>
          <w:b/>
          <w:i/>
          <w:color w:val="000000"/>
          <w:sz w:val="20"/>
          <w:lang w:val="en-US" w:eastAsia="en-US" w:bidi="ar-SA"/>
        </w:rPr>
        <w:t>504578 Ontario Ltd.</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Mark Fishing</w:t>
      </w:r>
      <w:r>
        <w:rPr>
          <w:rFonts w:ascii="arial" w:eastAsia="arial" w:hAnsi="arial" w:cs="arial"/>
          <w:color w:val="000000"/>
          <w:sz w:val="20"/>
          <w:lang w:val="en-US" w:eastAsia="en-US" w:bidi="ar-SA"/>
        </w:rPr>
        <w:t xml:space="preserve">, and to </w:t>
      </w:r>
      <w:r>
        <w:rPr>
          <w:rFonts w:ascii="arial" w:eastAsia="arial" w:hAnsi="arial" w:cs="arial"/>
          <w:b/>
          <w:i/>
          <w:color w:val="000000"/>
          <w:sz w:val="20"/>
          <w:lang w:val="en-US" w:eastAsia="en-US" w:bidi="ar-SA"/>
        </w:rPr>
        <w:t>British Columbia Packers Ltd. v. Canada (Labour Relations Board)</w:t>
      </w:r>
      <w:r>
        <w:rPr>
          <w:rFonts w:ascii="arial" w:eastAsia="arial" w:hAnsi="arial" w:cs="arial"/>
          <w:color w:val="000000"/>
          <w:sz w:val="20"/>
          <w:lang w:val="en-US" w:eastAsia="en-US" w:bidi="ar-SA"/>
        </w:rPr>
        <w:t xml:space="preserve">, </w:t>
      </w:r>
      <w:hyperlink r:id="rId714" w:history="1">
        <w:r>
          <w:rPr>
            <w:rFonts w:ascii="arial" w:eastAsia="arial" w:hAnsi="arial" w:cs="arial"/>
            <w:i/>
            <w:color w:val="0077CC"/>
            <w:sz w:val="20"/>
            <w:u w:val="single"/>
            <w:shd w:val="clear" w:color="auto" w:fill="FFFFFF"/>
            <w:lang w:val="en-US" w:eastAsia="en-US" w:bidi="ar-SA"/>
          </w:rPr>
          <w:t>[1976] 1 F.C. 375</w:t>
        </w:r>
      </w:hyperlink>
      <w:r>
        <w:rPr>
          <w:rFonts w:ascii="arial" w:eastAsia="arial" w:hAnsi="arial" w:cs="arial"/>
          <w:color w:val="000000"/>
          <w:sz w:val="20"/>
          <w:lang w:val="en-US" w:eastAsia="en-US" w:bidi="ar-SA"/>
        </w:rPr>
        <w:t xml:space="preserve">, </w:t>
      </w:r>
      <w:hyperlink r:id="rId714" w:history="1">
        <w:r>
          <w:rPr>
            <w:rFonts w:ascii="arial" w:eastAsia="arial" w:hAnsi="arial" w:cs="arial"/>
            <w:i/>
            <w:color w:val="0077CC"/>
            <w:sz w:val="20"/>
            <w:u w:val="single"/>
            <w:shd w:val="clear" w:color="auto" w:fill="FFFFFF"/>
            <w:lang w:val="en-US" w:eastAsia="en-US" w:bidi="ar-SA"/>
          </w:rPr>
          <w:t>64 D.L.R. (3d) 522</w:t>
        </w:r>
      </w:hyperlink>
      <w:r>
        <w:rPr>
          <w:rFonts w:ascii="arial" w:eastAsia="arial" w:hAnsi="arial" w:cs="arial"/>
          <w:color w:val="000000"/>
          <w:sz w:val="20"/>
          <w:lang w:val="en-US" w:eastAsia="en-US" w:bidi="ar-SA"/>
        </w:rPr>
        <w:t xml:space="preserve"> (F.C.A.), aff'd on other grounds </w:t>
      </w:r>
      <w:hyperlink r:id="rId715" w:history="1">
        <w:r>
          <w:rPr>
            <w:rFonts w:ascii="arial" w:eastAsia="arial" w:hAnsi="arial" w:cs="arial"/>
            <w:i/>
            <w:color w:val="0077CC"/>
            <w:sz w:val="20"/>
            <w:u w:val="single"/>
            <w:shd w:val="clear" w:color="auto" w:fill="FFFFFF"/>
            <w:lang w:val="en-US" w:eastAsia="en-US" w:bidi="ar-SA"/>
          </w:rPr>
          <w:t>(1978), 82 D.L.R. (3d) 182</w:t>
        </w:r>
      </w:hyperlink>
      <w:r>
        <w:rPr>
          <w:rFonts w:ascii="arial" w:eastAsia="arial" w:hAnsi="arial" w:cs="arial"/>
          <w:color w:val="000000"/>
          <w:sz w:val="20"/>
          <w:lang w:val="en-US" w:eastAsia="en-US" w:bidi="ar-SA"/>
        </w:rPr>
        <w:t xml:space="preserve"> (S.C.C.). Ms. Jackson noted that the Supreme Court of Canada, in </w:t>
      </w:r>
      <w:r>
        <w:rPr>
          <w:rFonts w:ascii="arial" w:eastAsia="arial" w:hAnsi="arial" w:cs="arial"/>
          <w:b/>
          <w:i/>
          <w:color w:val="000000"/>
          <w:sz w:val="20"/>
          <w:lang w:val="en-US" w:eastAsia="en-US" w:bidi="ar-SA"/>
        </w:rPr>
        <w:t>Ward v. Canada</w:t>
      </w:r>
      <w:r>
        <w:rPr>
          <w:rFonts w:ascii="arial" w:eastAsia="arial" w:hAnsi="arial" w:cs="arial"/>
          <w:color w:val="000000"/>
          <w:sz w:val="20"/>
          <w:lang w:val="en-US" w:eastAsia="en-US" w:bidi="ar-SA"/>
        </w:rPr>
        <w:t xml:space="preserve"> (at paras. 44-47), referred to </w:t>
      </w:r>
      <w:r>
        <w:rPr>
          <w:rFonts w:ascii="arial" w:eastAsia="arial" w:hAnsi="arial" w:cs="arial"/>
          <w:b/>
          <w:i/>
          <w:color w:val="000000"/>
          <w:sz w:val="20"/>
          <w:lang w:val="en-US" w:eastAsia="en-US" w:bidi="ar-SA"/>
        </w:rPr>
        <w:t>Mark Fishing</w:t>
      </w:r>
      <w:r>
        <w:rPr>
          <w:rFonts w:ascii="arial" w:eastAsia="arial" w:hAnsi="arial" w:cs="arial"/>
          <w:color w:val="000000"/>
          <w:sz w:val="20"/>
          <w:lang w:val="en-US" w:eastAsia="en-US" w:bidi="ar-SA"/>
        </w:rPr>
        <w:t xml:space="preserve"> with approval.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British Columbia Packers Ltd.</w:t>
      </w:r>
      <w:r>
        <w:rPr>
          <w:rFonts w:ascii="arial" w:eastAsia="arial" w:hAnsi="arial" w:cs="arial"/>
          <w:color w:val="000000"/>
          <w:sz w:val="20"/>
          <w:lang w:val="en-US" w:eastAsia="en-US" w:bidi="ar-SA"/>
        </w:rPr>
        <w:t>, the Federal Court of Appeal stated at 384-85: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Without pretending to have made a careful analysis of all the cases, reading sections 91 and 92 of the </w:t>
      </w:r>
      <w:r>
        <w:rPr>
          <w:rFonts w:ascii="arial" w:eastAsia="arial" w:hAnsi="arial" w:cs="arial"/>
          <w:i/>
          <w:color w:val="000000"/>
          <w:sz w:val="20"/>
          <w:lang w:val="en-US" w:eastAsia="en-US" w:bidi="ar-SA"/>
        </w:rPr>
        <w:t>British North America Act, 1867</w:t>
      </w:r>
      <w:r>
        <w:rPr>
          <w:rFonts w:ascii="arial" w:eastAsia="arial" w:hAnsi="arial" w:cs="arial"/>
          <w:color w:val="000000"/>
          <w:sz w:val="20"/>
          <w:lang w:val="en-US" w:eastAsia="en-US" w:bidi="ar-SA"/>
        </w:rPr>
        <w:t xml:space="preserve"> together, in the light of the study that I made of the decisions with reference to section 91(2) for the purposes of </w:t>
      </w:r>
      <w:r>
        <w:rPr>
          <w:rFonts w:ascii="arial" w:eastAsia="arial" w:hAnsi="arial" w:cs="arial"/>
          <w:i/>
          <w:color w:val="000000"/>
          <w:sz w:val="20"/>
          <w:lang w:val="en-US" w:eastAsia="en-US" w:bidi="ar-SA"/>
        </w:rPr>
        <w:t>Vapor Canada Ltd. v. MacDonald et al.</w:t>
      </w:r>
      <w:r>
        <w:rPr>
          <w:rFonts w:ascii="arial" w:eastAsia="arial" w:hAnsi="arial" w:cs="arial"/>
          <w:color w:val="000000"/>
          <w:sz w:val="20"/>
          <w:lang w:val="en-US" w:eastAsia="en-US" w:bidi="ar-SA"/>
        </w:rPr>
        <w:t xml:space="preserve"> </w:t>
      </w:r>
      <w:hyperlink r:id="rId716" w:history="1">
        <w:r>
          <w:rPr>
            <w:rFonts w:ascii="arial" w:eastAsia="arial" w:hAnsi="arial" w:cs="arial"/>
            <w:i/>
            <w:color w:val="0077CC"/>
            <w:sz w:val="20"/>
            <w:u w:val="single"/>
            <w:shd w:val="clear" w:color="auto" w:fill="FFFFFF"/>
            <w:lang w:val="en-US" w:eastAsia="en-US" w:bidi="ar-SA"/>
          </w:rPr>
          <w:t>(1973) 33 D.L.R. (3d) 434</w:t>
        </w:r>
      </w:hyperlink>
      <w:r>
        <w:rPr>
          <w:rFonts w:ascii="arial" w:eastAsia="arial" w:hAnsi="arial" w:cs="arial"/>
          <w:color w:val="000000"/>
          <w:sz w:val="20"/>
          <w:lang w:val="en-US" w:eastAsia="en-US" w:bidi="ar-SA"/>
        </w:rPr>
        <w:t xml:space="preserve">, at p. 443, </w:t>
      </w:r>
      <w:hyperlink r:id="rId716" w:history="1">
        <w:r>
          <w:rPr>
            <w:rFonts w:ascii="arial" w:eastAsia="arial" w:hAnsi="arial" w:cs="arial"/>
            <w:i/>
            <w:color w:val="0077CC"/>
            <w:sz w:val="20"/>
            <w:u w:val="single"/>
            <w:shd w:val="clear" w:color="auto" w:fill="FFFFFF"/>
            <w:lang w:val="en-US" w:eastAsia="en-US" w:bidi="ar-SA"/>
          </w:rPr>
          <w:t>8 C.P.R. (2d) 15</w:t>
        </w:r>
      </w:hyperlink>
      <w:r>
        <w:rPr>
          <w:rFonts w:ascii="arial" w:eastAsia="arial" w:hAnsi="arial" w:cs="arial"/>
          <w:color w:val="000000"/>
          <w:sz w:val="20"/>
          <w:lang w:val="en-US" w:eastAsia="en-US" w:bidi="ar-SA"/>
        </w:rPr>
        <w:t xml:space="preserve">, </w:t>
      </w:r>
      <w:hyperlink r:id="rId716" w:history="1">
        <w:r>
          <w:rPr>
            <w:rFonts w:ascii="arial" w:eastAsia="arial" w:hAnsi="arial" w:cs="arial"/>
            <w:i/>
            <w:color w:val="0077CC"/>
            <w:sz w:val="20"/>
            <w:u w:val="single"/>
            <w:shd w:val="clear" w:color="auto" w:fill="FFFFFF"/>
            <w:lang w:val="en-US" w:eastAsia="en-US" w:bidi="ar-SA"/>
          </w:rPr>
          <w:t>[1972] F.C. 1156</w:t>
        </w:r>
      </w:hyperlink>
      <w:r>
        <w:rPr>
          <w:rFonts w:ascii="arial" w:eastAsia="arial" w:hAnsi="arial" w:cs="arial"/>
          <w:color w:val="000000"/>
          <w:sz w:val="20"/>
          <w:lang w:val="en-US" w:eastAsia="en-US" w:bidi="ar-SA"/>
        </w:rPr>
        <w:t xml:space="preserve"> at p. 1164, </w:t>
      </w:r>
      <w:r>
        <w:rPr>
          <w:rFonts w:ascii="arial" w:eastAsia="arial" w:hAnsi="arial" w:cs="arial"/>
          <w:color w:val="000000"/>
          <w:sz w:val="20"/>
          <w:u w:val="single"/>
          <w:lang w:val="en-US" w:eastAsia="en-US" w:bidi="ar-SA"/>
        </w:rPr>
        <w:t xml:space="preserve">it would seem to me that the regulation of businesses </w:t>
      </w:r>
      <w:r>
        <w:rPr>
          <w:rFonts w:ascii="arial" w:eastAsia="arial" w:hAnsi="arial" w:cs="arial"/>
          <w:i/>
          <w:color w:val="000000"/>
          <w:sz w:val="20"/>
          <w:u w:val="single"/>
          <w:lang w:val="en-US" w:eastAsia="en-US" w:bidi="ar-SA"/>
        </w:rPr>
        <w:t>as such</w:t>
      </w:r>
      <w:r>
        <w:rPr>
          <w:rFonts w:ascii="arial" w:eastAsia="arial" w:hAnsi="arial" w:cs="arial"/>
          <w:color w:val="000000"/>
          <w:sz w:val="20"/>
          <w:u w:val="single"/>
          <w:lang w:val="en-US" w:eastAsia="en-US" w:bidi="ar-SA"/>
        </w:rPr>
        <w:t xml:space="preserve"> has been carved out of s. 91(2) by decisions that are binding on this Court and has been left to the provincial Legislatures as being the regulation of matters of a merely local or private nature in the respective Provinces except where the regulation of a particular class of business falls within a specific portion of s. 91,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With some hesitation, therefore, because I am only too aware that there are </w:t>
      </w:r>
      <w:r>
        <w:rPr>
          <w:rFonts w:ascii="arial" w:eastAsia="arial" w:hAnsi="arial" w:cs="arial"/>
          <w:i/>
          <w:color w:val="000000"/>
          <w:sz w:val="20"/>
          <w:lang w:val="en-US" w:eastAsia="en-US" w:bidi="ar-SA"/>
        </w:rPr>
        <w:t>dicta</w:t>
      </w:r>
      <w:r>
        <w:rPr>
          <w:rFonts w:ascii="arial" w:eastAsia="arial" w:hAnsi="arial" w:cs="arial"/>
          <w:color w:val="000000"/>
          <w:sz w:val="20"/>
          <w:lang w:val="en-US" w:eastAsia="en-US" w:bidi="ar-SA"/>
        </w:rPr>
        <w:t xml:space="preserve"> in the decisions, and there are portions of the definition of "federal work, undertaking or business" in the </w:t>
      </w:r>
      <w:r>
        <w:rPr>
          <w:rFonts w:ascii="arial" w:eastAsia="arial" w:hAnsi="arial" w:cs="arial"/>
          <w:i/>
          <w:color w:val="000000"/>
          <w:sz w:val="20"/>
          <w:lang w:val="en-US" w:eastAsia="en-US" w:bidi="ar-SA"/>
        </w:rPr>
        <w:t>Canada Labour Code</w:t>
      </w:r>
      <w:r>
        <w:rPr>
          <w:rFonts w:ascii="arial" w:eastAsia="arial" w:hAnsi="arial" w:cs="arial"/>
          <w:color w:val="000000"/>
          <w:sz w:val="20"/>
          <w:lang w:val="en-US" w:eastAsia="en-US" w:bidi="ar-SA"/>
        </w:rPr>
        <w:t xml:space="preserve">, that do not seem to accord with my reasoning, </w:t>
      </w:r>
      <w:r>
        <w:rPr>
          <w:rFonts w:ascii="arial" w:eastAsia="arial" w:hAnsi="arial" w:cs="arial"/>
          <w:color w:val="000000"/>
          <w:sz w:val="20"/>
          <w:u w:val="single"/>
          <w:lang w:val="en-US" w:eastAsia="en-US" w:bidi="ar-SA"/>
        </w:rPr>
        <w:t xml:space="preserve">I have concluded that s. 91(12) authorizes Parliament to make laws in relation to "fisheries" but does not extend beyond that to the making of laws in relation to things reasonably incidental to carrying on a fishing business, such as labour relations and disposition of the products of the business, when such things do not </w:t>
      </w:r>
      <w:r>
        <w:rPr>
          <w:rFonts w:ascii="arial" w:eastAsia="arial" w:hAnsi="arial" w:cs="arial"/>
          <w:i/>
          <w:color w:val="000000"/>
          <w:sz w:val="20"/>
          <w:u w:val="single"/>
          <w:lang w:val="en-US" w:eastAsia="en-US" w:bidi="ar-SA"/>
        </w:rPr>
        <w:t>in themselves</w:t>
      </w:r>
      <w:r>
        <w:rPr>
          <w:rFonts w:ascii="arial" w:eastAsia="arial" w:hAnsi="arial" w:cs="arial"/>
          <w:color w:val="000000"/>
          <w:sz w:val="20"/>
          <w:u w:val="single"/>
          <w:lang w:val="en-US" w:eastAsia="en-US" w:bidi="ar-SA"/>
        </w:rPr>
        <w:t xml:space="preserve"> fall within the concept of "fisheries".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There was no specific evidence as to the frequency of the plaintiff's and petitioners' ships' fishing outside British Columbia waters or in international waters, but I assume for the purposes of this analysis that the ships regularly, possibly the majority of the time, transport fish to British Columbia from Canadian waters outside provincial territorial limits, including from international waters.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xml:space="preserve">  However, there is no indication that the plaintiff's and petitioners' undertakings play any role in </w:t>
      </w:r>
      <w:r>
        <w:rPr>
          <w:rFonts w:ascii="arial" w:eastAsia="arial" w:hAnsi="arial" w:cs="arial"/>
          <w:color w:val="000000"/>
          <w:sz w:val="20"/>
          <w:u w:val="single"/>
          <w:lang w:val="en-US" w:eastAsia="en-US" w:bidi="ar-SA"/>
        </w:rPr>
        <w:t>connecting</w:t>
      </w:r>
      <w:r>
        <w:rPr>
          <w:rFonts w:ascii="arial" w:eastAsia="arial" w:hAnsi="arial" w:cs="arial"/>
          <w:color w:val="000000"/>
          <w:sz w:val="20"/>
          <w:lang w:val="en-US" w:eastAsia="en-US" w:bidi="ar-SA"/>
        </w:rPr>
        <w:t xml:space="preserve"> British Columbia with any other country or province, or that they provide shipping services to offshore destinations. There is no evidence that the ships ever enter ports other than British Columbia ports. There is no evidence that the undertakings have a connection with any province other than British Columbia. The plaintiff company and the petitioner companies are provincially registered, the home ports for the ships are in British Columbia and the crew members are resident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xml:space="preserve">  On the evidence, applying the principles derived from the authorities to which I have referred, the undertakings are properly classified as provincial, not federal. They do not fall within the meaning of "Lines of Steam or other Ships, Railways, Canals, Telegraphs, and other Works and Undertakings connecting the Province with any other or others of the Provinces, or extending beyond the Limits of the Province". I do not see a factual or legal basis for distinguishing this case from </w:t>
      </w:r>
      <w:r>
        <w:rPr>
          <w:rFonts w:ascii="arial" w:eastAsia="arial" w:hAnsi="arial" w:cs="arial"/>
          <w:b/>
          <w:i/>
          <w:color w:val="000000"/>
          <w:sz w:val="20"/>
          <w:lang w:val="en-US" w:eastAsia="en-US" w:bidi="ar-SA"/>
        </w:rPr>
        <w:t>Mersey Seafoods</w:t>
      </w:r>
      <w:r>
        <w:rPr>
          <w:rFonts w:ascii="arial" w:eastAsia="arial" w:hAnsi="arial" w:cs="arial"/>
          <w:color w:val="000000"/>
          <w:sz w:val="20"/>
          <w:lang w:val="en-US" w:eastAsia="en-US" w:bidi="ar-SA"/>
        </w:rPr>
        <w:t xml:space="preserve"> with respect to the classification of the plaintiff's and petitioners' undertakings.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Adverse Impact on Core Competence of Federal Government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xml:space="preserve">  I have concluded that the undertakings are provincial, not federal. However, the interjurisdictional immunity doctrine is not limited to instances of federal undertakings and may apply when the adverse impact of a law adopted by one level of government is such that the core competence of the other level of government is placed in jeopardy (as in </w:t>
      </w:r>
      <w:r>
        <w:rPr>
          <w:rFonts w:ascii="arial" w:eastAsia="arial" w:hAnsi="arial" w:cs="arial"/>
          <w:b/>
          <w:i/>
          <w:color w:val="000000"/>
          <w:sz w:val="20"/>
          <w:lang w:val="en-US" w:eastAsia="en-US" w:bidi="ar-SA"/>
        </w:rPr>
        <w:t>Ordon Estate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I have already referred to the submissions and authorities relating to the breadth of the federal power over navigation and shipping, and to the emphasis placed on a uniform body of maritime law in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xml:space="preserve">  In addition, counsel for the petitioners submitted that employment on ships and in a shipping context has been construed as federal, not provincial, referring to </w:t>
      </w:r>
      <w:r>
        <w:rPr>
          <w:rFonts w:ascii="arial" w:eastAsia="arial" w:hAnsi="arial" w:cs="arial"/>
          <w:b/>
          <w:i/>
          <w:color w:val="000000"/>
          <w:sz w:val="20"/>
          <w:lang w:val="en-US" w:eastAsia="en-US" w:bidi="ar-SA"/>
        </w:rPr>
        <w:t>Lloyd's Register North America Inc. v. Dalziel</w:t>
      </w:r>
      <w:r>
        <w:rPr>
          <w:rFonts w:ascii="arial" w:eastAsia="arial" w:hAnsi="arial" w:cs="arial"/>
          <w:color w:val="000000"/>
          <w:sz w:val="20"/>
          <w:lang w:val="en-US" w:eastAsia="en-US" w:bidi="ar-SA"/>
        </w:rPr>
        <w:t xml:space="preserve">, </w:t>
      </w:r>
      <w:hyperlink r:id="rId717" w:history="1">
        <w:r>
          <w:rPr>
            <w:rFonts w:ascii="arial" w:eastAsia="arial" w:hAnsi="arial" w:cs="arial"/>
            <w:i/>
            <w:color w:val="0077CC"/>
            <w:sz w:val="20"/>
            <w:u w:val="single"/>
            <w:shd w:val="clear" w:color="auto" w:fill="FFFFFF"/>
            <w:lang w:val="en-US" w:eastAsia="en-US" w:bidi="ar-SA"/>
          </w:rPr>
          <w:t>2004 FC 822</w:t>
        </w:r>
      </w:hyperlink>
      <w:r>
        <w:rPr>
          <w:rFonts w:ascii="arial" w:eastAsia="arial" w:hAnsi="arial" w:cs="arial"/>
          <w:color w:val="000000"/>
          <w:sz w:val="20"/>
          <w:lang w:val="en-US" w:eastAsia="en-US" w:bidi="ar-SA"/>
        </w:rPr>
        <w:t xml:space="preserve">, </w:t>
      </w:r>
      <w:hyperlink r:id="rId717" w:history="1">
        <w:r>
          <w:rPr>
            <w:rFonts w:ascii="arial" w:eastAsia="arial" w:hAnsi="arial" w:cs="arial"/>
            <w:i/>
            <w:color w:val="0077CC"/>
            <w:sz w:val="20"/>
            <w:u w:val="single"/>
            <w:shd w:val="clear" w:color="auto" w:fill="FFFFFF"/>
            <w:lang w:val="en-US" w:eastAsia="en-US" w:bidi="ar-SA"/>
          </w:rPr>
          <w:t>254 F.T.R. 81</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Ruby Trading v. Parsons</w:t>
      </w:r>
      <w:r>
        <w:rPr>
          <w:rFonts w:ascii="arial" w:eastAsia="arial" w:hAnsi="arial" w:cs="arial"/>
          <w:color w:val="000000"/>
          <w:sz w:val="20"/>
          <w:lang w:val="en-US" w:eastAsia="en-US" w:bidi="ar-SA"/>
        </w:rPr>
        <w:t xml:space="preserve">, </w:t>
      </w:r>
      <w:hyperlink r:id="rId718" w:history="1">
        <w:r>
          <w:rPr>
            <w:rFonts w:ascii="arial" w:eastAsia="arial" w:hAnsi="arial" w:cs="arial"/>
            <w:i/>
            <w:color w:val="0077CC"/>
            <w:sz w:val="20"/>
            <w:u w:val="single"/>
            <w:shd w:val="clear" w:color="auto" w:fill="FFFFFF"/>
            <w:lang w:val="en-US" w:eastAsia="en-US" w:bidi="ar-SA"/>
          </w:rPr>
          <w:t>[2001] 2 F.C. 174</w:t>
        </w:r>
      </w:hyperlink>
      <w:r>
        <w:rPr>
          <w:rFonts w:ascii="arial" w:eastAsia="arial" w:hAnsi="arial" w:cs="arial"/>
          <w:color w:val="000000"/>
          <w:sz w:val="20"/>
          <w:lang w:val="en-US" w:eastAsia="en-US" w:bidi="ar-SA"/>
        </w:rPr>
        <w:t xml:space="preserve">, </w:t>
      </w:r>
      <w:hyperlink r:id="rId718" w:history="1">
        <w:r>
          <w:rPr>
            <w:rFonts w:ascii="arial" w:eastAsia="arial" w:hAnsi="arial" w:cs="arial"/>
            <w:i/>
            <w:color w:val="0077CC"/>
            <w:sz w:val="20"/>
            <w:u w:val="single"/>
            <w:shd w:val="clear" w:color="auto" w:fill="FFFFFF"/>
            <w:lang w:val="en-US" w:eastAsia="en-US" w:bidi="ar-SA"/>
          </w:rPr>
          <w:t>194 D.L.R. (4th) 303</w:t>
        </w:r>
      </w:hyperlink>
      <w:r>
        <w:rPr>
          <w:rFonts w:ascii="arial" w:eastAsia="arial" w:hAnsi="arial" w:cs="arial"/>
          <w:color w:val="000000"/>
          <w:sz w:val="20"/>
          <w:lang w:val="en-US" w:eastAsia="en-US" w:bidi="ar-SA"/>
        </w:rPr>
        <w:t xml:space="preserve"> (F.C.A.).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w:t>
      </w:r>
      <w:r>
        <w:rPr>
          <w:rFonts w:ascii="arial" w:eastAsia="arial" w:hAnsi="arial" w:cs="arial"/>
          <w:b/>
          <w:i/>
          <w:color w:val="000000"/>
          <w:sz w:val="20"/>
          <w:lang w:val="en-US" w:eastAsia="en-US" w:bidi="ar-SA"/>
        </w:rPr>
        <w:t>Lloyd's Register</w:t>
      </w:r>
      <w:r>
        <w:rPr>
          <w:rFonts w:ascii="arial" w:eastAsia="arial" w:hAnsi="arial" w:cs="arial"/>
          <w:color w:val="000000"/>
          <w:sz w:val="20"/>
          <w:lang w:val="en-US" w:eastAsia="en-US" w:bidi="ar-SA"/>
        </w:rPr>
        <w:t xml:space="preserve"> arose upon judicial review of an arbitrator's decision that the alleged constructive dismissal of a Lloyd's Register marine surveyor was a matter under federal jurisdiction. The Federal Court dismissed Lloyd's argument that the issue should not be subject to federal law, and found that the services provided by the surveyor were integral to shipping and thus rightly a federally regulated matter. </w:t>
      </w:r>
      <w:r>
        <w:rPr>
          <w:rFonts w:ascii="arial" w:eastAsia="arial" w:hAnsi="arial" w:cs="arial"/>
          <w:b/>
          <w:i/>
          <w:color w:val="000000"/>
          <w:sz w:val="20"/>
          <w:lang w:val="en-US" w:eastAsia="en-US" w:bidi="ar-SA"/>
        </w:rPr>
        <w:t>Ruby Trading</w:t>
      </w:r>
      <w:r>
        <w:rPr>
          <w:rFonts w:ascii="arial" w:eastAsia="arial" w:hAnsi="arial" w:cs="arial"/>
          <w:color w:val="000000"/>
          <w:sz w:val="20"/>
          <w:lang w:val="en-US" w:eastAsia="en-US" w:bidi="ar-SA"/>
        </w:rPr>
        <w:t xml:space="preserve"> involved the determination of whether the Federal Court had jurisdiction in an action in breach of contract brought by a foreign ship against some members of its crew who had staged a strike for wages owing, and a Canadian union. The Court determined that the claims advanced by the plaintiff were sufficiently integrated in maritime law to attract federal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xml:space="preserve">  I was referred as well to the decision of Court of Appeal for British Columbia in </w:t>
      </w:r>
      <w:r>
        <w:rPr>
          <w:rFonts w:ascii="arial" w:eastAsia="arial" w:hAnsi="arial" w:cs="arial"/>
          <w:b/>
          <w:i/>
          <w:color w:val="000000"/>
          <w:sz w:val="20"/>
          <w:lang w:val="en-US" w:eastAsia="en-US" w:bidi="ar-SA"/>
        </w:rPr>
        <w:t>R. v. Kupchanko</w:t>
      </w:r>
      <w:r>
        <w:rPr>
          <w:rFonts w:ascii="arial" w:eastAsia="arial" w:hAnsi="arial" w:cs="arial"/>
          <w:color w:val="000000"/>
          <w:sz w:val="20"/>
          <w:lang w:val="en-US" w:eastAsia="en-US" w:bidi="ar-SA"/>
        </w:rPr>
        <w:t xml:space="preserve">, </w:t>
      </w:r>
      <w:hyperlink r:id="rId719" w:history="1">
        <w:r>
          <w:rPr>
            <w:rFonts w:ascii="arial" w:eastAsia="arial" w:hAnsi="arial" w:cs="arial"/>
            <w:i/>
            <w:color w:val="0077CC"/>
            <w:sz w:val="20"/>
            <w:u w:val="single"/>
            <w:shd w:val="clear" w:color="auto" w:fill="FFFFFF"/>
            <w:lang w:val="en-US" w:eastAsia="en-US" w:bidi="ar-SA"/>
          </w:rPr>
          <w:t>2002 BCCA 63</w:t>
        </w:r>
      </w:hyperlink>
      <w:r>
        <w:rPr>
          <w:rFonts w:ascii="arial" w:eastAsia="arial" w:hAnsi="arial" w:cs="arial"/>
          <w:color w:val="000000"/>
          <w:sz w:val="20"/>
          <w:lang w:val="en-US" w:eastAsia="en-US" w:bidi="ar-SA"/>
        </w:rPr>
        <w:t xml:space="preserve">, </w:t>
      </w:r>
      <w:hyperlink r:id="rId719" w:history="1">
        <w:r>
          <w:rPr>
            <w:rFonts w:ascii="arial" w:eastAsia="arial" w:hAnsi="arial" w:cs="arial"/>
            <w:i/>
            <w:color w:val="0077CC"/>
            <w:sz w:val="20"/>
            <w:u w:val="single"/>
            <w:shd w:val="clear" w:color="auto" w:fill="FFFFFF"/>
            <w:lang w:val="en-US" w:eastAsia="en-US" w:bidi="ar-SA"/>
          </w:rPr>
          <w:t>209 D.L.R. (4th) 658</w:t>
        </w:r>
      </w:hyperlink>
      <w:r>
        <w:rPr>
          <w:rFonts w:ascii="arial" w:eastAsia="arial" w:hAnsi="arial" w:cs="arial"/>
          <w:color w:val="000000"/>
          <w:sz w:val="20"/>
          <w:lang w:val="en-US" w:eastAsia="en-US" w:bidi="ar-SA"/>
        </w:rPr>
        <w:t xml:space="preserve">, holding that the provincial </w:t>
      </w:r>
      <w:r>
        <w:rPr>
          <w:rFonts w:ascii="arial" w:eastAsia="arial" w:hAnsi="arial" w:cs="arial"/>
          <w:b/>
          <w:i/>
          <w:color w:val="000000"/>
          <w:sz w:val="20"/>
          <w:lang w:val="en-US" w:eastAsia="en-US" w:bidi="ar-SA"/>
        </w:rPr>
        <w:t>Wildlife Act</w:t>
      </w:r>
      <w:r>
        <w:rPr>
          <w:rFonts w:ascii="arial" w:eastAsia="arial" w:hAnsi="arial" w:cs="arial"/>
          <w:color w:val="000000"/>
          <w:sz w:val="20"/>
          <w:lang w:val="en-US" w:eastAsia="en-US" w:bidi="ar-SA"/>
        </w:rPr>
        <w:t xml:space="preserve">, </w:t>
      </w:r>
      <w:hyperlink r:id="rId662" w:history="1">
        <w:r>
          <w:rPr>
            <w:rFonts w:ascii="arial" w:eastAsia="arial" w:hAnsi="arial" w:cs="arial"/>
            <w:i/>
            <w:color w:val="0077CC"/>
            <w:sz w:val="20"/>
            <w:u w:val="single"/>
            <w:shd w:val="clear" w:color="auto" w:fill="FFFFFF"/>
            <w:lang w:val="en-US" w:eastAsia="en-US" w:bidi="ar-SA"/>
          </w:rPr>
          <w:t>R.S.B.C. 1996, c. 488, ss. 4</w:t>
        </w:r>
      </w:hyperlink>
      <w:r>
        <w:rPr>
          <w:rFonts w:ascii="arial" w:eastAsia="arial" w:hAnsi="arial" w:cs="arial"/>
          <w:color w:val="000000"/>
          <w:sz w:val="20"/>
          <w:lang w:val="en-US" w:eastAsia="en-US" w:bidi="ar-SA"/>
        </w:rPr>
        <w:t xml:space="preserve">(2), 7(4) must be read down to exclude application to conveyances operating on navigable waters. Referring to </w:t>
      </w:r>
      <w:r>
        <w:rPr>
          <w:rFonts w:ascii="arial" w:eastAsia="arial" w:hAnsi="arial" w:cs="arial"/>
          <w:b/>
          <w:i/>
          <w:color w:val="000000"/>
          <w:sz w:val="20"/>
          <w:lang w:val="en-US" w:eastAsia="en-US" w:bidi="ar-SA"/>
        </w:rPr>
        <w:t>Bell Canada (1988)</w:t>
      </w:r>
      <w:r>
        <w:rPr>
          <w:rFonts w:ascii="arial" w:eastAsia="arial" w:hAnsi="arial" w:cs="arial"/>
          <w:color w:val="000000"/>
          <w:sz w:val="20"/>
          <w:lang w:val="en-US" w:eastAsia="en-US" w:bidi="ar-SA"/>
        </w:rPr>
        <w:t>, Esson J.A. wrote at para. 29: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w:t>
      </w:r>
      <w:r>
        <w:rPr>
          <w:rFonts w:ascii="arial" w:eastAsia="arial" w:hAnsi="arial" w:cs="arial"/>
          <w:color w:val="000000"/>
          <w:sz w:val="20"/>
          <w:lang w:val="en-US" w:eastAsia="en-US" w:bidi="ar-SA"/>
        </w:rPr>
        <w:t xml:space="preserve"> The Supreme Court held in effect that, in order to avoid intolerable conflict in the day-to-day application of regulations, no concurrent provincial jurisdiction over a vital part of a federal undertaking could be tolerated. That demolishes the view that some room exists for provincial legislation in circumstances where there might be some advantage to a less standardized, a more local, approach to regulations.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xml:space="preserve">  Esson J.A. in </w:t>
      </w:r>
      <w:r>
        <w:rPr>
          <w:rFonts w:ascii="arial" w:eastAsia="arial" w:hAnsi="arial" w:cs="arial"/>
          <w:b/>
          <w:i/>
          <w:color w:val="000000"/>
          <w:sz w:val="20"/>
          <w:lang w:val="en-US" w:eastAsia="en-US" w:bidi="ar-SA"/>
        </w:rPr>
        <w:t>Kupchanko</w:t>
      </w:r>
      <w:r>
        <w:rPr>
          <w:rFonts w:ascii="arial" w:eastAsia="arial" w:hAnsi="arial" w:cs="arial"/>
          <w:color w:val="000000"/>
          <w:sz w:val="20"/>
          <w:lang w:val="en-US" w:eastAsia="en-US" w:bidi="ar-SA"/>
        </w:rPr>
        <w:t xml:space="preserve"> referred to </w:t>
      </w:r>
      <w:r>
        <w:rPr>
          <w:rFonts w:ascii="arial" w:eastAsia="arial" w:hAnsi="arial" w:cs="arial"/>
          <w:b/>
          <w:i/>
          <w:color w:val="000000"/>
          <w:sz w:val="20"/>
          <w:lang w:val="en-US" w:eastAsia="en-US" w:bidi="ar-SA"/>
        </w:rPr>
        <w:t>Ordon Estate</w:t>
      </w:r>
      <w:r>
        <w:rPr>
          <w:rFonts w:ascii="arial" w:eastAsia="arial" w:hAnsi="arial" w:cs="arial"/>
          <w:color w:val="000000"/>
          <w:sz w:val="20"/>
          <w:lang w:val="en-US" w:eastAsia="en-US" w:bidi="ar-SA"/>
        </w:rPr>
        <w:t xml:space="preserve">, stating at para. 35 that "[b]ecause the constitutional analysis in that case was focussed specifically upon the issue of maritime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law, it may have limited application to other aspects of maritime law." However, he went on to say, at para. 35-6: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Nevertheless, it is important to note that the analysis in that case makes clear that there is now a very limited scope for the application of any provincial law in the maritime context.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xml:space="preserve">  As the Nova Scotia Court of Appeal stated in </w:t>
      </w:r>
      <w:r>
        <w:rPr>
          <w:rFonts w:ascii="arial" w:eastAsia="arial" w:hAnsi="arial" w:cs="arial"/>
          <w:b/>
          <w:i/>
          <w:color w:val="000000"/>
          <w:sz w:val="20"/>
          <w:lang w:val="en-US" w:eastAsia="en-US" w:bidi="ar-SA"/>
        </w:rPr>
        <w:t>Mersey Seafoods</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Canadian Western Bank</w:t>
      </w:r>
      <w:r>
        <w:rPr>
          <w:rFonts w:ascii="arial" w:eastAsia="arial" w:hAnsi="arial" w:cs="arial"/>
          <w:color w:val="000000"/>
          <w:sz w:val="20"/>
          <w:lang w:val="en-US" w:eastAsia="en-US" w:bidi="ar-SA"/>
        </w:rPr>
        <w:t xml:space="preserve"> recasts the principles of interjurisdictional immunity from those used in </w:t>
      </w:r>
      <w:r>
        <w:rPr>
          <w:rFonts w:ascii="arial" w:eastAsia="arial" w:hAnsi="arial" w:cs="arial"/>
          <w:b/>
          <w:i/>
          <w:color w:val="000000"/>
          <w:sz w:val="20"/>
          <w:lang w:val="en-US" w:eastAsia="en-US" w:bidi="ar-SA"/>
        </w:rPr>
        <w:t>Ordon Estate</w:t>
      </w:r>
      <w:r>
        <w:rPr>
          <w:rFonts w:ascii="arial" w:eastAsia="arial" w:hAnsi="arial" w:cs="arial"/>
          <w:color w:val="000000"/>
          <w:sz w:val="20"/>
          <w:lang w:val="en-US" w:eastAsia="en-US" w:bidi="ar-SA"/>
        </w:rPr>
        <w:t xml:space="preserve"> and referred to by the Court of Appeal in </w:t>
      </w:r>
      <w:r>
        <w:rPr>
          <w:rFonts w:ascii="arial" w:eastAsia="arial" w:hAnsi="arial" w:cs="arial"/>
          <w:b/>
          <w:i/>
          <w:color w:val="000000"/>
          <w:sz w:val="20"/>
          <w:lang w:val="en-US" w:eastAsia="en-US" w:bidi="ar-SA"/>
        </w:rPr>
        <w:t>Kupchanko</w:t>
      </w:r>
      <w:r>
        <w:rPr>
          <w:rFonts w:ascii="arial" w:eastAsia="arial" w:hAnsi="arial" w:cs="arial"/>
          <w:color w:val="000000"/>
          <w:sz w:val="20"/>
          <w:lang w:val="en-US" w:eastAsia="en-US" w:bidi="ar-SA"/>
        </w:rPr>
        <w:t>. The question is not whether the provincial legislation may affect navigation and shipping, but instead, whether it impairs the core of federal competence over navigation and shipping.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xml:space="preserve">  I do not find that the core competence of the federal government over navigation and shipping is impaired or placed in jeopardy by the provincial legislation under consideration here. The federal legislation is directed at ship safety; the provincial legislation at the health and safety of the crew. I see no basis for distinguishing </w:t>
      </w:r>
      <w:r>
        <w:rPr>
          <w:rFonts w:ascii="arial" w:eastAsia="arial" w:hAnsi="arial" w:cs="arial"/>
          <w:b/>
          <w:i/>
          <w:color w:val="000000"/>
          <w:sz w:val="20"/>
          <w:lang w:val="en-US" w:eastAsia="en-US" w:bidi="ar-SA"/>
        </w:rPr>
        <w:t>Mersey Seafoods</w:t>
      </w:r>
      <w:r>
        <w:rPr>
          <w:rFonts w:ascii="arial" w:eastAsia="arial" w:hAnsi="arial" w:cs="arial"/>
          <w:color w:val="000000"/>
          <w:sz w:val="20"/>
          <w:lang w:val="en-US" w:eastAsia="en-US" w:bidi="ar-SA"/>
        </w:rPr>
        <w:t xml:space="preserve"> and find that there was no infringement of federal interjurisdictional immunity.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In summary, the impugned legislation is within the jurisdiction of the Province, is operative and applies to the plaintiff and petitioners.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xml:space="preserve">  In this case, as in </w:t>
      </w:r>
      <w:r>
        <w:rPr>
          <w:rFonts w:ascii="arial" w:eastAsia="arial" w:hAnsi="arial" w:cs="arial"/>
          <w:b/>
          <w:i/>
          <w:color w:val="000000"/>
          <w:sz w:val="20"/>
          <w:lang w:val="en-US" w:eastAsia="en-US" w:bidi="ar-SA"/>
        </w:rPr>
        <w:t>Canadian Western Bank</w:t>
      </w:r>
      <w:r>
        <w:rPr>
          <w:rFonts w:ascii="arial" w:eastAsia="arial" w:hAnsi="arial" w:cs="arial"/>
          <w:color w:val="000000"/>
          <w:sz w:val="20"/>
          <w:lang w:val="en-US" w:eastAsia="en-US" w:bidi="ar-SA"/>
        </w:rPr>
        <w:t>, the two levels of government are not in disagreement. The federal government has not taken a position in this litigation, and its agencies have signed Memoranda of Understanding acknowledging the jurisdiction of the Province over occupational health and safety on British Columbia commercial fishing vessels.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Clearly, jurisdiction cannot be conferred by consent. Indeed, as Mr. Swanson submitted, the Memoranda of Understanding may reflect an accommodation between governmental entities but they do not answer the constitutional question and their existence confirms the uncertainty in 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xml:space="preserve">  However, in </w:t>
      </w:r>
      <w:r>
        <w:rPr>
          <w:rFonts w:ascii="arial" w:eastAsia="arial" w:hAnsi="arial" w:cs="arial"/>
          <w:b/>
          <w:i/>
          <w:color w:val="000000"/>
          <w:sz w:val="20"/>
          <w:lang w:val="en-US" w:eastAsia="en-US" w:bidi="ar-SA"/>
        </w:rPr>
        <w:t>Kitkatla</w:t>
      </w:r>
      <w:r>
        <w:rPr>
          <w:rFonts w:ascii="arial" w:eastAsia="arial" w:hAnsi="arial" w:cs="arial"/>
          <w:color w:val="000000"/>
          <w:sz w:val="20"/>
          <w:lang w:val="en-US" w:eastAsia="en-US" w:bidi="ar-SA"/>
        </w:rPr>
        <w:t>, the Supreme Court stated at paras. 72-73: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should be noted that the Attorney General of Canada intervened in support of British Columbia in this case. Dickson C.J. in </w:t>
      </w:r>
      <w:r>
        <w:rPr>
          <w:rFonts w:ascii="arial" w:eastAsia="arial" w:hAnsi="arial" w:cs="arial"/>
          <w:i/>
          <w:color w:val="000000"/>
          <w:sz w:val="20"/>
          <w:lang w:val="en-US" w:eastAsia="en-US" w:bidi="ar-SA"/>
        </w:rPr>
        <w:t>OPSEU v. Ontario (Attorney General)</w:t>
      </w:r>
      <w:r>
        <w:rPr>
          <w:rFonts w:ascii="arial" w:eastAsia="arial" w:hAnsi="arial" w:cs="arial"/>
          <w:color w:val="000000"/>
          <w:sz w:val="20"/>
          <w:lang w:val="en-US" w:eastAsia="en-US" w:bidi="ar-SA"/>
        </w:rPr>
        <w:t xml:space="preserve">, </w:t>
      </w:r>
      <w:hyperlink r:id="rId720" w:history="1">
        <w:r>
          <w:rPr>
            <w:rFonts w:ascii="arial" w:eastAsia="arial" w:hAnsi="arial" w:cs="arial"/>
            <w:i/>
            <w:color w:val="0077CC"/>
            <w:sz w:val="20"/>
            <w:u w:val="single"/>
            <w:shd w:val="clear" w:color="auto" w:fill="FFFFFF"/>
            <w:lang w:val="en-US" w:eastAsia="en-US" w:bidi="ar-SA"/>
          </w:rPr>
          <w:t>[1987] 2 S.C.R. 2</w:t>
        </w:r>
      </w:hyperlink>
      <w:r>
        <w:rPr>
          <w:rFonts w:ascii="arial" w:eastAsia="arial" w:hAnsi="arial" w:cs="arial"/>
          <w:color w:val="000000"/>
          <w:sz w:val="20"/>
          <w:lang w:val="en-US" w:eastAsia="en-US" w:bidi="ar-SA"/>
        </w:rPr>
        <w:t>, at pp. 19-20, commented on the significance of such an intervention in constitutional litigation with respect to the distribution of legislative powers.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think it is important to note, and attach some significance to, not only the similar federal legislation but also the fact that the federal government intervened in this appeal to support the Ontario law. The distribution of powers provisions contained in the </w:t>
      </w:r>
      <w:r>
        <w:rPr>
          <w:rFonts w:ascii="arial" w:eastAsia="arial" w:hAnsi="arial" w:cs="arial"/>
          <w:i/>
          <w:color w:val="000000"/>
          <w:sz w:val="20"/>
          <w:lang w:val="en-US" w:eastAsia="en-US" w:bidi="ar-SA"/>
        </w:rPr>
        <w:t>Constitution Act, 1867</w:t>
      </w:r>
      <w:r>
        <w:rPr>
          <w:rFonts w:ascii="arial" w:eastAsia="arial" w:hAnsi="arial" w:cs="arial"/>
          <w:color w:val="000000"/>
          <w:sz w:val="20"/>
          <w:lang w:val="en-US" w:eastAsia="en-US" w:bidi="ar-SA"/>
        </w:rPr>
        <w:t xml:space="preserve"> do not have as their exclusive addressees the federal and provincial governments. They set boundaries that are of interest to, and can be relied upon by, all Canadians. Accordingly, the fact of federal-provincial agreement on a particular boundary between their jurisdictions is not conclusive of the demarcation of that boundary. Nevertheless, in my opinion the Court should be particularly cautious about invalidating a provincial law when the federal government does not contest its validity or, as in this case, actually intervenes to support it and has enacted legislation based on the same constitutional approach adopted by Ontario. [emphasis deleted]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That is essentially the situation in this case: the Attorney General of Canada has intervened in support of the view of the British Columbia government with respect to the latter's right to legislate in this area. While this is not determinative of the issue, as Dickson C.J. said, it does invite the Court to exercise caution before it finds that the impugned provisions of the Act are </w:t>
      </w:r>
      <w:r>
        <w:rPr>
          <w:rFonts w:ascii="arial" w:eastAsia="arial" w:hAnsi="arial" w:cs="arial"/>
          <w:i/>
          <w:color w:val="000000"/>
          <w:sz w:val="20"/>
          <w:lang w:val="en-US" w:eastAsia="en-US" w:bidi="ar-SA"/>
        </w:rPr>
        <w:t>ultra vires</w:t>
      </w:r>
      <w:r>
        <w:rPr>
          <w:rFonts w:ascii="arial" w:eastAsia="arial" w:hAnsi="arial" w:cs="arial"/>
          <w:color w:val="000000"/>
          <w:sz w:val="20"/>
          <w:lang w:val="en-US" w:eastAsia="en-US" w:bidi="ar-SA"/>
        </w:rPr>
        <w:t xml:space="preserve"> the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xml:space="preserve">  The recent comments of the Supreme Court of Canada in </w:t>
      </w:r>
      <w:r>
        <w:rPr>
          <w:rFonts w:ascii="arial" w:eastAsia="arial" w:hAnsi="arial" w:cs="arial"/>
          <w:b/>
          <w:i/>
          <w:color w:val="000000"/>
          <w:sz w:val="20"/>
          <w:lang w:val="en-US" w:eastAsia="en-US" w:bidi="ar-SA"/>
        </w:rPr>
        <w:t>Canadian Western Bank</w:t>
      </w:r>
      <w:r>
        <w:rPr>
          <w:rFonts w:ascii="arial" w:eastAsia="arial" w:hAnsi="arial" w:cs="arial"/>
          <w:color w:val="000000"/>
          <w:sz w:val="20"/>
          <w:lang w:val="en-US" w:eastAsia="en-US" w:bidi="ar-SA"/>
        </w:rPr>
        <w:t xml:space="preserve"> (at para. 86) must also be borne in mind: the courts should not be astute to find ways to frustrate rather than facilitate federal-provincial cooperation if this can be done within the rules laid down by the Constitution.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The plaintiff's application for judgment under Rule 18A is dismissed, and the petitioners' application for judicial review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If the parties are unable to agree on the matter of costs, I will receive written submissions in that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C.L. SMITH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48" style="position:absolute;z-index:2518763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21"/>
          <w:headerReference w:type="default" r:id="rId722"/>
          <w:footerReference w:type="even" r:id="rId723"/>
          <w:footerReference w:type="default" r:id="rId724"/>
          <w:headerReference w:type="first" r:id="rId725"/>
          <w:footerReference w:type="first" r:id="rId72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727" w:history="1">
        <w:r>
          <w:rPr>
            <w:rFonts w:ascii="arial" w:eastAsia="arial" w:hAnsi="arial" w:cs="arial"/>
            <w:b/>
            <w:bCs/>
            <w:i/>
            <w:color w:val="0077CC"/>
            <w:kern w:val="32"/>
            <w:sz w:val="28"/>
            <w:szCs w:val="32"/>
            <w:u w:val="single"/>
            <w:shd w:val="clear" w:color="auto" w:fill="FFFFFF"/>
            <w:lang w:val="en-US" w:eastAsia="en-US" w:bidi="ar-SA"/>
          </w:rPr>
          <w:t>Jones v. Treloar, [2013] B.C.J. No. 496</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D. Kloegman J.</w:t>
      </w:r>
    </w:p>
    <w:p>
      <w:pPr>
        <w:spacing w:before="120" w:line="260" w:lineRule="atLeast"/>
        <w:jc w:val="center"/>
        <w:rPr>
          <w:lang w:val="en-US" w:eastAsia="en-US" w:bidi="ar-SA"/>
        </w:rPr>
      </w:pPr>
      <w:r>
        <w:rPr>
          <w:rFonts w:ascii="arial" w:eastAsia="arial" w:hAnsi="arial" w:cs="arial"/>
          <w:color w:val="000000"/>
          <w:sz w:val="20"/>
          <w:lang w:val="en-US" w:eastAsia="en-US" w:bidi="ar-SA"/>
        </w:rPr>
        <w:t>Heard: January 28-31, February 1, 4-5 and 7-8, 2013.</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March 15, 2013.</w:t>
      </w:r>
    </w:p>
    <w:p>
      <w:pPr>
        <w:spacing w:before="120" w:line="260" w:lineRule="atLeast"/>
        <w:jc w:val="center"/>
        <w:rPr>
          <w:lang w:val="en-US" w:eastAsia="en-US" w:bidi="ar-SA"/>
        </w:rPr>
      </w:pPr>
      <w:r>
        <w:rPr>
          <w:rFonts w:ascii="arial" w:eastAsia="arial" w:hAnsi="arial" w:cs="arial"/>
          <w:color w:val="000000"/>
          <w:sz w:val="20"/>
          <w:lang w:val="en-US" w:eastAsia="en-US" w:bidi="ar-SA"/>
        </w:rPr>
        <w:t>Docket: M063365</w:t>
      </w:r>
    </w:p>
    <w:p>
      <w:pPr>
        <w:spacing w:before="120" w:line="260" w:lineRule="atLeast"/>
        <w:jc w:val="center"/>
        <w:rPr>
          <w:lang w:val="en-US" w:eastAsia="en-US" w:bidi="ar-SA"/>
        </w:rPr>
      </w:pPr>
      <w:r>
        <w:rPr>
          <w:rFonts w:ascii="arial" w:eastAsia="arial" w:hAnsi="arial" w:cs="arial"/>
          <w:color w:val="000000"/>
          <w:sz w:val="20"/>
          <w:lang w:val="en-US" w:eastAsia="en-US" w:bidi="ar-SA"/>
        </w:rPr>
        <w:t>Registry: Vancouver</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[2013] B.C.J. No. 496</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hyperlink r:id="rId728" w:history="1">
        <w:r>
          <w:rPr>
            <w:rFonts w:ascii="arial" w:eastAsia="arial" w:hAnsi="arial" w:cs="arial"/>
            <w:i/>
            <w:color w:val="0077CC"/>
            <w:sz w:val="20"/>
            <w:u w:val="single"/>
            <w:shd w:val="clear" w:color="auto" w:fill="FFFFFF"/>
            <w:lang w:val="en-US" w:eastAsia="en-US" w:bidi="ar-SA"/>
          </w:rPr>
          <w:t>2013 BCSC 452</w:t>
        </w:r>
      </w:hyperlink>
    </w:p>
    <w:p>
      <w:pPr>
        <w:spacing w:before="120" w:line="260" w:lineRule="atLeast"/>
        <w:rPr>
          <w:lang w:val="en-US" w:eastAsia="en-US" w:bidi="ar-SA"/>
        </w:rPr>
      </w:pPr>
      <w:r>
        <w:rPr>
          <w:rFonts w:ascii="arial" w:eastAsia="arial" w:hAnsi="arial" w:cs="arial"/>
          <w:color w:val="000000"/>
          <w:sz w:val="20"/>
          <w:lang w:val="en-US" w:eastAsia="en-US" w:bidi="ar-SA"/>
        </w:rPr>
        <w:t>Between Stephen Jones, Plaintiff, and Debra Lynn Treloar and Caduceus Physiotherapist Corporation,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(48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149" style="position:absolute;z-index:251684864"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182" w:name="Keywords_25"/>
      <w:bookmarkEnd w:id="182"/>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 — Rules of the road — Action by plaintiff for damages for personal injuries dismissed — Plaintiff's motorcycle struck by defendants' vehicle as it attempted to cross six-lane roadway from two-way stop sign — Defendant was traveling in far curb lane when plaintiff's motorcycle suddenly appeared — Plaintiff was sole cause of accident as defendant had right of way and plaintiff failed to exercise due care and attention while crossing intersection at excessive speed — Defendant did nothing to forfeit right of way — Collision was unavoidable.</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 xml:space="preserve">Transportation law — Motor vehicles and highway traffic — Rules of the road — Intersections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Liability — Civil actions — Breach of rules of the road — Action by plaintiff for damages for personal injuries dismissed — Plaintiff's motorcycle struck by defendants' vehicle as it attempted to cross six-lane roadway from two-way stop sign — Defendant was traveling in far curb lane when plaintiff's motorcycle suddenly appeared — Plaintiff was sole cause of accident as defendant had right of way and plaintiff failed to exercise due care and attention while crossing intersection at excessive speed — Defendant did nothing to forfeit right of way — Collision was unavoidable.</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183" w:name="Case Summary_25"/>
            <w:bookmarkEnd w:id="183"/>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Action by the plaintiff, Jones, against the defendants, Treloar and her employer, for damages to compensate for personal injuries. The plaintiff was riding his motorcycle when he was struck by a vehicle owned and operated by the defendants. The accident occurred on a clear summer afternoon in congested traffic. The plaintiff attempted to proceed from a two-way stop sign across six lanes of traffic when the accident occurred in the far curb lane. He testified that the intersection was open when he proceeded, as other lanes had stopped. His vision of the curb lane was obscured by vehicles in the adjacent two lanes. The defendant driver testified that she slowly passed a stationary vehicle in the middle lane when the plaintiff's motorcycle suddenly appeared in her path. She instantly braked but was unable to avoid the collision. An eyewitness testified that the plaintiff's motorcycle accelerated through the intersection until it was struck by the defendants' vehicle. The plaintiff acknowledged he was negligent in failing to ascertain that he could enter the curb lane safely. He submitted that the defendant was also negligent for failing to slow her vehicle to avoid the accident. The plaintiff's right leg was severely injured and took nine months to heal. The plaintiff claimed general damages of $115,000 and $2 million for past and future loss of income. </w:t>
            </w:r>
            <w:r>
              <w:rPr>
                <w:lang w:val="en-US" w:eastAsia="en-US" w:bidi="ar-SA"/>
              </w:rPr>
              <w:cr/>
            </w:r>
          </w:p>
          <w:p>
            <w:pPr>
              <w:spacing w:before="120" w:line="260" w:lineRule="atLeast"/>
              <w:ind w:left="240"/>
              <w:jc w:val="both"/>
              <w:rPr>
                <w:lang w:val="en-US" w:eastAsia="en-US" w:bidi="ar-SA"/>
              </w:rPr>
            </w:pPr>
            <w:bookmarkStart w:id="184" w:name="Holdings of Court_21"/>
            <w:bookmarkEnd w:id="184"/>
            <w:r>
              <w:rPr>
                <w:rFonts w:ascii="arial" w:eastAsia="arial" w:hAnsi="arial" w:cs="arial"/>
                <w:color w:val="000000"/>
                <w:sz w:val="20"/>
                <w:lang w:val="en-US" w:eastAsia="en-US" w:bidi="ar-SA"/>
              </w:rPr>
              <w:t>HELD: Action dismissed.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The defendant driver was traveling relatively slowly and in full control. The plaintiff's evidence of his speed was unreliable. The defendant was the dominant driver and enjoyed the right of way as she entered the intersection. She did nothing to forfeit that right of way. The plaintiff entered the intersection without due care and attention. He had a duty to yield to crossing traffic and failed to appreciate the immediate hazard of the defendant's vehicle. The defendant was unable to avoid the extraordinary circumstance of the plaintiff's obscured motorcycle traveling into her lane at excessive speed. The plaintiff was the sole cause of the accident. </w:t>
            </w:r>
            <w:r>
              <w:rPr>
                <w:lang w:val="en-US" w:eastAsia="en-US" w:bidi="ar-SA"/>
              </w:rPr>
              <w:cr/>
            </w:r>
          </w:p>
          <w:p>
            <w:pPr>
              <w:rPr>
                <w:lang w:val="en-US" w:eastAsia="en-US" w:bidi="ar-SA"/>
              </w:rPr>
            </w:pPr>
          </w:p>
        </w:tc>
      </w:tr>
    </w:tbl>
    <w:p>
      <w:pPr>
        <w:jc w:val="both"/>
        <w:rPr>
          <w:lang w:val="en-US" w:eastAsia="en-US" w:bidi="ar-SA"/>
        </w:rPr>
      </w:pPr>
      <w:bookmarkStart w:id="185" w:name="Legislation Cited_14"/>
      <w:bookmarkEnd w:id="185"/>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150" style="position:absolute;z-index:251736064"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Motor Vehicle Act, </w:t>
      </w:r>
      <w:hyperlink r:id="rId729" w:history="1">
        <w:r>
          <w:rPr>
            <w:rFonts w:ascii="arial" w:eastAsia="arial" w:hAnsi="arial" w:cs="arial"/>
            <w:i/>
            <w:color w:val="0077CC"/>
            <w:sz w:val="20"/>
            <w:u w:val="single"/>
            <w:shd w:val="clear" w:color="auto" w:fill="FFFFFF"/>
            <w:lang w:val="en-US" w:eastAsia="en-US" w:bidi="ar-SA"/>
          </w:rPr>
          <w:t>RSBC 1996, CHAPTER 318, s. 131</w:t>
        </w:r>
      </w:hyperlink>
      <w:r>
        <w:rPr>
          <w:rFonts w:ascii="arial" w:eastAsia="arial" w:hAnsi="arial" w:cs="arial"/>
          <w:color w:val="000000"/>
          <w:sz w:val="20"/>
          <w:lang w:val="en-US" w:eastAsia="en-US" w:bidi="ar-SA"/>
        </w:rPr>
        <w:t>(5), s. 175, s. 186, s. 195(1)(b)</w:t>
      </w:r>
      <w:r>
        <w:rPr>
          <w:lang w:val="en-US" w:eastAsia="en-US" w:bidi="ar-SA"/>
        </w:rPr>
        <w:cr/>
      </w:r>
    </w:p>
    <w:p>
      <w:pPr>
        <w:keepNext/>
        <w:spacing w:before="240" w:line="340" w:lineRule="atLeast"/>
        <w:rPr>
          <w:lang w:val="en-US" w:eastAsia="en-US" w:bidi="ar-SA"/>
        </w:rPr>
      </w:pPr>
      <w:bookmarkStart w:id="186" w:name="Counsel_25"/>
      <w:bookmarkEnd w:id="186"/>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51" style="position:absolute;z-index:251787264"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Plaintiff: L.G. Harris, Q.C.</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Defendants: J.G. Marshall, C.A. Bennett.</w:t>
      </w:r>
      <w:r>
        <w:rPr>
          <w:lang w:val="en-US" w:eastAsia="en-US" w:bidi="ar-SA"/>
        </w:rPr>
        <w:cr/>
      </w:r>
    </w:p>
    <w:p>
      <w:pPr>
        <w:spacing w:after="240"/>
        <w:rPr>
          <w:lang w:val="en-US" w:eastAsia="en-US" w:bidi="ar-SA"/>
        </w:rPr>
      </w:pPr>
      <w:bookmarkStart w:id="187" w:name="Judgment_25"/>
      <w:bookmarkEnd w:id="187"/>
      <w:r>
        <w:pict>
          <v:line id="_x0000_s1152" style="position:absolute;z-index:251837440" from="0,12pt" to="512pt,12pt" strokecolor="#009ddb" strokeweight="1.5pt">
            <v:stroke linestyle="single"/>
          </v:line>
        </w:pict>
      </w:r>
    </w:p>
    <w:p>
      <w:pPr>
        <w:spacing w:before="120" w:line="260" w:lineRule="atLeast"/>
        <w:jc w:val="center"/>
        <w:rPr>
          <w:lang w:val="en-US" w:eastAsia="en-US" w:bidi="ar-SA"/>
        </w:rPr>
      </w:pPr>
      <w:r>
        <w:rPr>
          <w:rFonts w:ascii="arial" w:eastAsia="arial" w:hAnsi="arial" w:cs="arial"/>
          <w:b/>
          <w:color w:val="000000"/>
          <w:sz w:val="20"/>
          <w:lang w:val="en-US" w:eastAsia="en-US" w:bidi="ar-SA"/>
        </w:rPr>
        <w:t>Reasons for Judgment</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188" w:name="D. KLOEGMAN J."/>
            <w:bookmarkEnd w:id="188"/>
            <w:r>
              <w:rPr>
                <w:rFonts w:ascii="arial" w:eastAsia="arial" w:hAnsi="arial" w:cs="arial"/>
                <w:b/>
                <w:color w:val="000000"/>
                <w:sz w:val="30"/>
                <w:lang w:val="en-US" w:eastAsia="en-US" w:bidi="ar-SA"/>
              </w:rPr>
              <w:t>D. KLOEGMAN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While driving his Harley Davidson V-Rod motorcycle across the intersection of Georgia Street and Broughton Street in Vancouver, the plaintiff was struck by a Ford Windstar minivan driven by the defendant Debra Treloar and owned by Caduceus Physiotherapist Corporation (collectively, the "defendants"). The plaintiff's right leg was severely injured and it took about nine months to heal. He claims $115,000 for non-pecuniary damages and over $2 million for loss of the opportunity to earn income, both in the past and in the future.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Unfortunately for the plaintiff, and for the reasons that follow, I cannot find the defendant to be negligent in any way. I find that the plaintiff was the author of his own misfortune that fateful day, and is wholly liable for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day of the accident, August 1, 2005, was a holiday Monday. The weather was clear and warm. There were three lanes of traffic travelling west on Georgia and three lanes travelling east. Broughton had one lane of traffic for north travel and one lane for south travel. There was a stop sign and stop line on Broughton at the southeast corner of the intersection. On the east side of the intersection there was a pedestrian crosswalk across Georgia. This crosswalk was controlled by a flashing light. The parties agree that throughout the material time the light was flashing green and never changed.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traffic that day was congested, particularly in the westerly direction. Cars were jutting over the crosswalk into the intersection, but there was a corridor for travel from Broughton across Georgia.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testified that he was stopped on his motorcycle at the stop sign on Broughton, facing north. The traffic moving eastbound on Georgia was held up at the light to the west, so the eastbound lanes were clear in front of him. The westbound lanes on Georgia were "plugged," but the gap in the intersection was about four cars wide. He said he had a clear view of the intersection.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says he eased out his clutch on the motorcycle, revved it mildly, pulled in the clutch to give momentum, and started to cross the first two eastbound lanes of Georgia. Then he crossed the first and second westbound lanes of Georgia, but as he approached the third, or curb lane of Georgia, he saw a motor vehicle which hit his leg and the rest of his motorcycle. He did not slow down his motorcycle; he was going at a constant speed.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He could not say what kind of motor vehicle hit him. All of a sudden it was there and its bumper hit his right leg just above the ankle. He bounced onto the hood of the vehicle and back off into the intersection. He came to rest near a corner of the intersection facing Coal Harbour. He was still on Georgia but close to the curb.</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On cross-examination he said he was somewhat familiar with the intersection and had travelled it before. He knew there was a pedestrian cross button at the crosswalk which, if he had pressed it, would have caused the traffic light on Georgia to turn red. He did not press the button because he did not consider himself to be a pedestrian, and his bike weighed about 600 pounds which made it difficult to move over to press the button.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Also on cross-examination, he likened his position to a four-way stop and said he decided to cross Georgia when he believed it was his turn. All the cars had stopped in the other directions. The intersection was completely open and free for him to go at that point. As he moved through the eastbound lanes to the middle lane of Georgia, he looked left and right, then he just looked to his right. When he looked to his right he had a 30 degree angle peripheral vision. His vision of the westbound curb lane was obscured by cars in the inside and middle lanes. He did not slow down before entering the curb lane. He did not look to the right to look for vehicles. He did not expect a vehicle to be coming through the curb lane. He did not crane his neck around to see if anything was coming through the curb lane.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his examination for discovery he said he thought the westbound traffic on Georgia condensed into two lanes and the curb lane was a parking lane. At trial he denied believing that the curb lane was a parking lane. He said he knew cars parked there but at the time of the accident he did not think of whether the curb lane was a parking lane or not. He did not see any cars parked or stopped in the curb lane. He just thought of going through the intersection.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He estimated his speed as he crossed the intersection to be 10 or 15 kilometres per hour. He admitted he was not looking at the speedometer. He said his speed remained constant after acceleration, i.e., the same as the peak of his acceleration, whatever that was. He said from the time his bike entered the westbound curb lane, the collision was instantaneous.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defendant testified that she was heading out with her daughter to catch either one of two Langdale ferries from Horseshoe Bay and she was not in a hurry. She had planned to go through Stanley Park or the causeway, depending on the traffic. She said initially the traffic on Georgia was not bad. She had to stop at the light at Jervis. She was in the middle lane westbound. The light turned green and she crossed Jervis and saw more traffic in the westbound lanes. Two cars were parked on the curb lane past the Jervis intersection, but the HOV lane was clear past that so she made a decision to take it. She moved into the HOV, or curb lane, halfway down the block between Jervis and Broughton. No cars were immediately in front of her. Two cars were stopped further ahead at the lights at the intersection of Nicola and Georgia. The middle lane beside her was backed up and the center lane beside it even more so. She had the impression that cars were rolling forward one at a time.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She said she was not in a rush approaching Broughton, which had a pedestrian light flashing green. She was not looking at her speedometer, but she was looking about and was very aware that it was busy. She did not increase her speed as she moved from the middle lane to the curb lane. As she came towards Broughton, a car in the middle lane beside her was stopped, poking through the intersection. She had a clear memory of looking at the north side of the intersection and seeing no pedestrians at the crosswalk. She said she could have stopped if the flashing green light had turned amber. At no time was she going so fast that she did not have control of her vehicle with the information she was processing about her environment.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car beside her in the middle lane was encroaching into the intersection about two feet. When she had passed slightly in front of this car, the plaintiff's motorcycle suddenly appeared in her path. She had not seen it before. The moment she saw the motorcycle she braked, but they crashed. At first she was not sure what she had hit; later she learned it was a motorcycle. Something hit the windshield, she did not know what. Later she learned it was the plaintiff. Her minivan hit the motorcycle dead on center.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On cross-examination she testified that she felt she was going relatively slowly, under the speed limit. She said she was aware that cars could cross the intersection from Broughton. On discovery she said she was aware of the possibility of vehicles crossing the intersection when the light was red. At trial she admitted she knew cars might cross even if the light had not turned 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She said she felt established in the curb lane, she was not driving quickly and she felt sure she had proceeded safely.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best evidence came from an independent eye witness to the accident, Mr. Cornelius Zandbergen. He was driving on Georgia, returning home to West Vancouver. He was standing still in traffic, westbound, waiting to get across the Broughton intersection. It was very busy westbound, but not eastbound.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Zandbergen was driving a Ford F350. It was a raised, large truck. He was in the center westbound lane behind one other car. There were vehicles to his left but the right lane was empty. His lane and the lane to his left were plugged, that is, they had a green flashing light and were allowed to proceed, but could not because traffic was congested on the other side of the intersection. There were cars jutting into the intersection with maybe two wheels over the crosswalk line, but there was a corridor north and south. Westbound cars were moving car by car through the intersection.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Zandbergen testified that to his left there was a vehicle indicating a desire to make a left turn onto Broughton, which he eventually did. At the same moment as the vehicle turned left, the plaintiff's motorcycle revved up and went across the intersection. Mr. Zandbergen thought if the motorcycle was going to cross all the lanes he better be careful. Mr. Zandbergen glanced over his right shoulder to see if the curb lane was still empty when he saw the minivan "going not all that fast" through the intersection. Instantly thereafter the accident happened.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Zandbergen said he was under the impression that when the plaintiff made his turn, the plaintiff made eye contact with the person driving the left-turning vehicle. The left-turning vehicle cut the corner a bit short to give the plaintiff more room to enter the intersection, and the plaintiff "bowed" round the vehicle.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Zandbergen said the defendant was "just gently driving through the intersection," but he expected trouble because of when the motorcycle went across.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With regard to speed, Mr. Zandbergen testified that the motorcycle was in a stopped position when he first saw it. The motorcycle's speed increased from the time it left the stopped position right up until the point of impact with the defendant's car. It did not slow down as it approached the westbound lanes; it was in constant motion. He gave a statement at the time of the accident estimating the speed of the motorcycle as 40 kilometres per hour. On his deposition he said it might have been only 30 kilometres per hour, but the motorcycle was definitely going faster than the minivan. Mr. Zandbergen estimated the speed of the defendant's minivan as 20 kilometres per hour.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When asked if he could estimate how much time elapsed between the time the motorcycle moved away from its stopped position to the time of the accident, Mr. Zandbergen said, "He revved up. He did not look at the traffic anymore. He went across all the lanes until he got hit." The plaintiff did not signal his horn, or flash any lights, he just went straight through. Mr. Zandbergen estimated that the accident occurred within two seconds of the plaintiff entering the intersection.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 plaintiff conceded that he was negligent in failing to ascertain that his movement into the curb lane on Georgia could be made in safety. However, he submits that the defendant was also negligent for failing to slow her vehicle so as to be able to stop and avoid an accident. The plaintiff relies on ss. 131(5), 186 and 195(1)(b)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and the common law prohibition against driving at a speed that is excessive in the circumstances.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speed of both vehicles is an important consideration in determining whether the defendant was in breach of ss. 131(5) or 186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and ultimately whether she breached the standard of care of a reasonably prudent driver in the circumstances.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 accept the defendant's evidence that she was travelling relatively slowly, had full control of her vehicle and could have stopped if the flashing green light had changed colour, or if she had seen a pedestrian at the crosswalk. I found the defendant to be a straightforward, reliable witness whose evidence was relatively uncontradicted. The pertinent aspects of her testimony were corroborated by Mr. Zandbergen, also a reliable witness. I accept his estimate of the defendant's speed as 20 kilometres per hour.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 found the plaintiff's evidence to be less reliable, and where it contradicts that of Mr. Zandbergen or the defendant, I prefer the evidence of the latter two witnesses.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plaintiff made a significant previous inconsistent statement. On discovery, he stated under oath that: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lang w:val="en-US" w:eastAsia="en-US" w:bidi="ar-SA"/>
              </w:rPr>
            </w:pPr>
            <w:r>
              <w:rPr>
                <w:lang w:val="en-US" w:eastAsia="en-US" w:bidi="ar-SA"/>
              </w:rPr>
              <w:br/>
            </w:r>
          </w:p>
        </w:tc>
        <w:tc>
          <w:tcPr>
            <w:tcW w:w="512" w:type="dxa"/>
            <w:tcBorders>
              <w:bottom w:val="nil"/>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lang w:val="en-US" w:eastAsia="en-US" w:bidi="ar-SA"/>
              </w:rPr>
            </w:pPr>
            <w:r>
              <w:rPr>
                <w:lang w:val="en-US" w:eastAsia="en-US" w:bidi="ar-SA"/>
              </w:rPr>
              <w:br/>
            </w:r>
          </w:p>
        </w:tc>
        <w:tc>
          <w:tcPr>
            <w:tcW w:w="7885" w:type="dxa"/>
            <w:tcBorders>
              <w:bottom w:val="nil"/>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As you were stopped then what observations did you make of the westbound traffic on Georgia?</w:t>
            </w:r>
          </w:p>
        </w:tc>
        <w:tc>
          <w:tcPr>
            <w:tcW w:w="1024" w:type="dxa"/>
            <w:tcBorders>
              <w:bottom w:val="nil"/>
            </w:tcBorders>
            <w:tcMar>
              <w:top w:w="100" w:type="dxa"/>
              <w:bottom w:w="0" w:type="dxa"/>
            </w:tcMar>
            <w:vAlign w:val="top"/>
          </w:tcPr>
          <w:p>
            <w:pPr>
              <w:rPr>
                <w:lang w:val="en-US" w:eastAsia="en-US" w:bidi="ar-SA"/>
              </w:rPr>
            </w:pPr>
            <w:r>
              <w:rPr>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51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lang w:val="en-US" w:eastAsia="en-US" w:bidi="ar-SA"/>
              </w:rPr>
            </w:pPr>
            <w:r>
              <w:rPr>
                <w:lang w:val="en-US" w:eastAsia="en-US" w:bidi="ar-SA"/>
              </w:rPr>
              <w:br/>
            </w:r>
          </w:p>
        </w:tc>
        <w:tc>
          <w:tcPr>
            <w:tcW w:w="788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It was very dense. I guess somewhat with my familiarity they were condensed into two lanes of traffic because the third lane is parking, so because there were cars actually parked in the far lane so you know that the traffic is condensed into the two lanes.</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At trial, he said he was "surprised" that he had said that on discovery; at the time of the accident he did not think he thought of whether the curb lane was for parking or not.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When testifying, the plaintiff omitted to disclose or failed to remember the left-turning driver, whom he acknowledged and around whose vehicle he traversed as he crossed the intersection.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plaintiff's initial evidence with regard to the time he spent in Toronto and Vancouver during the first six months of his recuperation was hopelessly inaccurate, as shown by his own receipts submitted for special damages. His evidence with regard to his physical rehabilitation changed during the course of trial, leaving an unsatisfactory impression of vagueness. Similarly his evidence on income loss changed according to his theory of damages, and was difficult to pin down.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drawing the above observations, I am not finding that the plaintiff was deliberately misleading the court. The difficulty with his evidence appears to stem from the analysis and reconstruction he imposed on any actual recollection he may have stored.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Therefore, I do not accept the plaintiff's evidence that he was travelling no more than 10 or 15 kilometres per hour across the intersection. I accept Mr. Zandbergen's estimate of the plaintiff's speed as being in the range of 30 or 40 kilometres per hour. I also accept Mr. Zandbergen's evidence that only a couple of seconds had passed between the time the plaintiff left the stop sign and the collision.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my view, the evidence established on a balance of probabilities that the defendant was the dominant driver in the circumstances, and enjoyed the right of way as she entered the intersection.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The plaintiff was entering in the intersection from a side road with a stop sign. By virtue of ss. 186 and 175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he had a duty to yield the right of way to traffic on Georgia and cross the intersection only if the intersection was clear of immediate hazards.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An "immediate hazard", in this context, has been defined in </w:t>
      </w:r>
      <w:r>
        <w:rPr>
          <w:rFonts w:ascii="arial" w:eastAsia="arial" w:hAnsi="arial" w:cs="arial"/>
          <w:i/>
          <w:color w:val="000000"/>
          <w:sz w:val="20"/>
          <w:lang w:val="en-US" w:eastAsia="en-US" w:bidi="ar-SA"/>
        </w:rPr>
        <w:t>Keen v. Stene</w:t>
      </w:r>
      <w:r>
        <w:rPr>
          <w:rFonts w:ascii="arial" w:eastAsia="arial" w:hAnsi="arial" w:cs="arial"/>
          <w:color w:val="000000"/>
          <w:sz w:val="20"/>
          <w:lang w:val="en-US" w:eastAsia="en-US" w:bidi="ar-SA"/>
        </w:rPr>
        <w:t xml:space="preserve">, </w:t>
      </w:r>
      <w:hyperlink r:id="rId730" w:history="1">
        <w:r>
          <w:rPr>
            <w:rFonts w:ascii="arial" w:eastAsia="arial" w:hAnsi="arial" w:cs="arial"/>
            <w:i/>
            <w:color w:val="0077CC"/>
            <w:sz w:val="20"/>
            <w:u w:val="single"/>
            <w:shd w:val="clear" w:color="auto" w:fill="FFFFFF"/>
            <w:lang w:val="en-US" w:eastAsia="en-US" w:bidi="ar-SA"/>
          </w:rPr>
          <w:t>44 D.L.R. (2d) 350</w:t>
        </w:r>
      </w:hyperlink>
      <w:r>
        <w:rPr>
          <w:rFonts w:ascii="arial" w:eastAsia="arial" w:hAnsi="arial" w:cs="arial"/>
          <w:color w:val="000000"/>
          <w:sz w:val="20"/>
          <w:lang w:val="en-US" w:eastAsia="en-US" w:bidi="ar-SA"/>
        </w:rPr>
        <w:t xml:space="preserve"> at 359 (B.C.C.A.):</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An approaching car is an immediate hazard if the circumstances are such as to require the driver of that car to take some sudden or violent action to avoid threat of a collision if the serviant driver fails to yield the right of way.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Speed and distance generally determine what constitutes an immediate hazard: </w:t>
      </w:r>
      <w:r>
        <w:rPr>
          <w:rFonts w:ascii="arial" w:eastAsia="arial" w:hAnsi="arial" w:cs="arial"/>
          <w:i/>
          <w:color w:val="000000"/>
          <w:sz w:val="20"/>
          <w:lang w:val="en-US" w:eastAsia="en-US" w:bidi="ar-SA"/>
        </w:rPr>
        <w:t>Peek v. S. Cunard &amp; Co.</w:t>
      </w:r>
      <w:r>
        <w:rPr>
          <w:rFonts w:ascii="arial" w:eastAsia="arial" w:hAnsi="arial" w:cs="arial"/>
          <w:color w:val="000000"/>
          <w:sz w:val="20"/>
          <w:lang w:val="en-US" w:eastAsia="en-US" w:bidi="ar-SA"/>
        </w:rPr>
        <w:t xml:space="preserve"> </w:t>
      </w:r>
      <w:hyperlink r:id="rId731" w:history="1">
        <w:r>
          <w:rPr>
            <w:rFonts w:ascii="arial" w:eastAsia="arial" w:hAnsi="arial" w:cs="arial"/>
            <w:i/>
            <w:color w:val="0077CC"/>
            <w:sz w:val="20"/>
            <w:u w:val="single"/>
            <w:shd w:val="clear" w:color="auto" w:fill="FFFFFF"/>
            <w:lang w:val="en-US" w:eastAsia="en-US" w:bidi="ar-SA"/>
          </w:rPr>
          <w:t>(1958), 40 M.P.R. 236</w:t>
        </w:r>
      </w:hyperlink>
      <w:r>
        <w:rPr>
          <w:rFonts w:ascii="arial" w:eastAsia="arial" w:hAnsi="arial" w:cs="arial"/>
          <w:color w:val="000000"/>
          <w:sz w:val="20"/>
          <w:lang w:val="en-US" w:eastAsia="en-US" w:bidi="ar-SA"/>
        </w:rPr>
        <w:t xml:space="preserve"> at 241 (N.S.C.A.). Distance must be translated into time in order to determine what are the rights of the parties: </w:t>
      </w:r>
      <w:r>
        <w:rPr>
          <w:rFonts w:ascii="arial" w:eastAsia="arial" w:hAnsi="arial" w:cs="arial"/>
          <w:i/>
          <w:color w:val="000000"/>
          <w:sz w:val="20"/>
          <w:lang w:val="en-US" w:eastAsia="en-US" w:bidi="ar-SA"/>
        </w:rPr>
        <w:t>Swartz Bros. Ltd. v. Wills</w:t>
      </w:r>
      <w:r>
        <w:rPr>
          <w:rFonts w:ascii="arial" w:eastAsia="arial" w:hAnsi="arial" w:cs="arial"/>
          <w:color w:val="000000"/>
          <w:sz w:val="20"/>
          <w:lang w:val="en-US" w:eastAsia="en-US" w:bidi="ar-SA"/>
        </w:rPr>
        <w:t xml:space="preserve">, </w:t>
      </w:r>
      <w:hyperlink r:id="rId732" w:history="1">
        <w:r>
          <w:rPr>
            <w:rFonts w:ascii="arial" w:eastAsia="arial" w:hAnsi="arial" w:cs="arial"/>
            <w:i/>
            <w:color w:val="0077CC"/>
            <w:sz w:val="20"/>
            <w:u w:val="single"/>
            <w:shd w:val="clear" w:color="auto" w:fill="FFFFFF"/>
            <w:lang w:val="en-US" w:eastAsia="en-US" w:bidi="ar-SA"/>
          </w:rPr>
          <w:t>[1935] S.C.R. 628</w:t>
        </w:r>
      </w:hyperlink>
      <w:r>
        <w:rPr>
          <w:rFonts w:ascii="arial" w:eastAsia="arial" w:hAnsi="arial" w:cs="arial"/>
          <w:color w:val="000000"/>
          <w:sz w:val="20"/>
          <w:lang w:val="en-US" w:eastAsia="en-US" w:bidi="ar-SA"/>
        </w:rPr>
        <w:t xml:space="preserve"> at 632.</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It is important to note that it is the "threat" of accident which is relevant to determining whether a dominant driver is an immediate hazard: </w:t>
      </w:r>
      <w:r>
        <w:rPr>
          <w:rFonts w:ascii="arial" w:eastAsia="arial" w:hAnsi="arial" w:cs="arial"/>
          <w:i/>
          <w:color w:val="000000"/>
          <w:sz w:val="20"/>
          <w:lang w:val="en-US" w:eastAsia="en-US" w:bidi="ar-SA"/>
        </w:rPr>
        <w:t>Knight v. Li</w:t>
      </w:r>
      <w:r>
        <w:rPr>
          <w:rFonts w:ascii="arial" w:eastAsia="arial" w:hAnsi="arial" w:cs="arial"/>
          <w:color w:val="000000"/>
          <w:sz w:val="20"/>
          <w:lang w:val="en-US" w:eastAsia="en-US" w:bidi="ar-SA"/>
        </w:rPr>
        <w:t xml:space="preserve">, </w:t>
      </w:r>
      <w:hyperlink r:id="rId733" w:history="1">
        <w:r>
          <w:rPr>
            <w:rFonts w:ascii="arial" w:eastAsia="arial" w:hAnsi="arial" w:cs="arial"/>
            <w:i/>
            <w:color w:val="0077CC"/>
            <w:sz w:val="20"/>
            <w:u w:val="single"/>
            <w:shd w:val="clear" w:color="auto" w:fill="FFFFFF"/>
            <w:lang w:val="en-US" w:eastAsia="en-US" w:bidi="ar-SA"/>
          </w:rPr>
          <w:t>2011 BCSC 184</w:t>
        </w:r>
      </w:hyperlink>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defendant was so close to the intersection that she entered it within two seconds of the plaintiff leaving the stop sign. Mr. Zandbergen thought the plaintiff better be careful going around the left-turning driver and trying to cross all lanes of traffic, because when Mr. Zandbergen looked to the lane beside him, the defendant's minivan was entering the intersection.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plaintiff argued that he had a significant prior entry into the intersection and the curb lane on Georgia before the collision. Therefore, he submitted, he had gained the right of way and the defendant was negligent in failing to yield to him.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difficulty with this submission is that the plaintiff's entry into the intersection, prior or not, was made imprudently without care and attention and at a time when the defendant and her vehicle constituted a threat of collision. It appeared that the plaintiff did not appreciate the immediate hazard of the defendant's vehicle. His focus was on going around the left-turning vehicle. His view of the curb lane was obscured and he accelerated rapidly across the intersection without slowing down.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Notwithstanding that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gives the defendant the right of way as dominant driver, there is still a duty on her to avail herself of any sufficient opportunity to avoid an accident if she was aware, or should have been aware, of the serviant driver's own disregard of the law. Any doubt is to be decided in favour of the defendant: </w:t>
      </w:r>
      <w:r>
        <w:rPr>
          <w:rFonts w:ascii="arial" w:eastAsia="arial" w:hAnsi="arial" w:cs="arial"/>
          <w:i/>
          <w:color w:val="000000"/>
          <w:sz w:val="20"/>
          <w:lang w:val="en-US" w:eastAsia="en-US" w:bidi="ar-SA"/>
        </w:rPr>
        <w:t>Walker v. Brownlee</w:t>
      </w:r>
      <w:r>
        <w:rPr>
          <w:rFonts w:ascii="arial" w:eastAsia="arial" w:hAnsi="arial" w:cs="arial"/>
          <w:color w:val="000000"/>
          <w:sz w:val="20"/>
          <w:lang w:val="en-US" w:eastAsia="en-US" w:bidi="ar-SA"/>
        </w:rPr>
        <w:t xml:space="preserve">, </w:t>
      </w:r>
      <w:hyperlink r:id="rId734" w:history="1">
        <w:r>
          <w:rPr>
            <w:rFonts w:ascii="arial" w:eastAsia="arial" w:hAnsi="arial" w:cs="arial"/>
            <w:i/>
            <w:color w:val="0077CC"/>
            <w:sz w:val="20"/>
            <w:u w:val="single"/>
            <w:shd w:val="clear" w:color="auto" w:fill="FFFFFF"/>
            <w:lang w:val="en-US" w:eastAsia="en-US" w:bidi="ar-SA"/>
          </w:rPr>
          <w:t>[1952] 2 D.L.R. 450</w:t>
        </w:r>
      </w:hyperlink>
      <w:r>
        <w:rPr>
          <w:rFonts w:ascii="arial" w:eastAsia="arial" w:hAnsi="arial" w:cs="arial"/>
          <w:color w:val="000000"/>
          <w:sz w:val="20"/>
          <w:lang w:val="en-US" w:eastAsia="en-US" w:bidi="ar-SA"/>
        </w:rPr>
        <w:t xml:space="preserve"> (S.C.C.). Drivers are generally entitled to assume that others will obey the rules of the road. A dominant driver is not obliged to take extraordinary steps to avoid an accident or to show exceptional proficiency in the operation of a motor vehicle: </w:t>
      </w:r>
      <w:r>
        <w:rPr>
          <w:rFonts w:ascii="arial" w:eastAsia="arial" w:hAnsi="arial" w:cs="arial"/>
          <w:i/>
          <w:color w:val="000000"/>
          <w:sz w:val="20"/>
          <w:lang w:val="en-US" w:eastAsia="en-US" w:bidi="ar-SA"/>
        </w:rPr>
        <w:t>Salaam v. Abramovic</w:t>
      </w:r>
      <w:r>
        <w:rPr>
          <w:rFonts w:ascii="arial" w:eastAsia="arial" w:hAnsi="arial" w:cs="arial"/>
          <w:color w:val="000000"/>
          <w:sz w:val="20"/>
          <w:lang w:val="en-US" w:eastAsia="en-US" w:bidi="ar-SA"/>
        </w:rPr>
        <w:t xml:space="preserve">, </w:t>
      </w:r>
      <w:hyperlink r:id="rId129" w:history="1">
        <w:r>
          <w:rPr>
            <w:rFonts w:ascii="arial" w:eastAsia="arial" w:hAnsi="arial" w:cs="arial"/>
            <w:i/>
            <w:color w:val="0077CC"/>
            <w:sz w:val="20"/>
            <w:u w:val="single"/>
            <w:shd w:val="clear" w:color="auto" w:fill="FFFFFF"/>
            <w:lang w:val="en-US" w:eastAsia="en-US" w:bidi="ar-SA"/>
          </w:rPr>
          <w:t>2010 BCCA 212</w:t>
        </w:r>
      </w:hyperlink>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I find that the defendant was not afforded a reasonable opportunity to see, perceive or react to the sudden appearance of the plaintiff in her path. Although she was able to see the crosswalk and any potential change to the flashing green light, her view of the plaintiff's motorcycle was obstructed by other traffic. In </w:t>
      </w:r>
      <w:r>
        <w:rPr>
          <w:rFonts w:ascii="arial" w:eastAsia="arial" w:hAnsi="arial" w:cs="arial"/>
          <w:i/>
          <w:color w:val="000000"/>
          <w:sz w:val="20"/>
          <w:lang w:val="en-US" w:eastAsia="en-US" w:bidi="ar-SA"/>
        </w:rPr>
        <w:t>Pacheco v. Robinson</w:t>
      </w:r>
      <w:r>
        <w:rPr>
          <w:rFonts w:ascii="arial" w:eastAsia="arial" w:hAnsi="arial" w:cs="arial"/>
          <w:color w:val="000000"/>
          <w:sz w:val="20"/>
          <w:lang w:val="en-US" w:eastAsia="en-US" w:bidi="ar-SA"/>
        </w:rPr>
        <w:t xml:space="preserve"> </w:t>
      </w:r>
      <w:hyperlink r:id="rId415" w:history="1">
        <w:r>
          <w:rPr>
            <w:rFonts w:ascii="arial" w:eastAsia="arial" w:hAnsi="arial" w:cs="arial"/>
            <w:i/>
            <w:color w:val="0077CC"/>
            <w:sz w:val="20"/>
            <w:u w:val="single"/>
            <w:shd w:val="clear" w:color="auto" w:fill="FFFFFF"/>
            <w:lang w:val="en-US" w:eastAsia="en-US" w:bidi="ar-SA"/>
          </w:rPr>
          <w:t>(1993), 75 B.C.L.R. (2d) 273</w:t>
        </w:r>
      </w:hyperlink>
      <w:r>
        <w:rPr>
          <w:rFonts w:ascii="arial" w:eastAsia="arial" w:hAnsi="arial" w:cs="arial"/>
          <w:color w:val="000000"/>
          <w:sz w:val="20"/>
          <w:lang w:val="en-US" w:eastAsia="en-US" w:bidi="ar-SA"/>
        </w:rPr>
        <w:t xml:space="preserve"> (C.A.), Legg J.A. said when each party's vision of the other is blocked by traffic, the dominant driver who is proceeding through the intersection is generally entitled to continue and the serviant driver must yield the right of way. </w:t>
      </w:r>
      <w:r>
        <w:rPr>
          <w:rFonts w:ascii="arial" w:eastAsia="arial" w:hAnsi="arial" w:cs="arial"/>
          <w:i/>
          <w:color w:val="000000"/>
          <w:sz w:val="20"/>
          <w:lang w:val="en-US" w:eastAsia="en-US" w:bidi="ar-SA"/>
        </w:rPr>
        <w:t>Pacheco</w:t>
      </w:r>
      <w:r>
        <w:rPr>
          <w:rFonts w:ascii="arial" w:eastAsia="arial" w:hAnsi="arial" w:cs="arial"/>
          <w:color w:val="000000"/>
          <w:sz w:val="20"/>
          <w:lang w:val="en-US" w:eastAsia="en-US" w:bidi="ar-SA"/>
        </w:rPr>
        <w:t xml:space="preserve"> was a left-turning case, but I see no reason why the principle should not apply here.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Similarly, the Supreme Court of Canada in </w:t>
      </w:r>
      <w:r>
        <w:rPr>
          <w:rFonts w:ascii="arial" w:eastAsia="arial" w:hAnsi="arial" w:cs="arial"/>
          <w:i/>
          <w:color w:val="000000"/>
          <w:sz w:val="20"/>
          <w:lang w:val="en-US" w:eastAsia="en-US" w:bidi="ar-SA"/>
        </w:rPr>
        <w:t>Mathieson v. Thompson</w:t>
      </w:r>
      <w:r>
        <w:rPr>
          <w:rFonts w:ascii="arial" w:eastAsia="arial" w:hAnsi="arial" w:cs="arial"/>
          <w:color w:val="000000"/>
          <w:sz w:val="20"/>
          <w:lang w:val="en-US" w:eastAsia="en-US" w:bidi="ar-SA"/>
        </w:rPr>
        <w:t xml:space="preserve">, </w:t>
      </w:r>
      <w:hyperlink r:id="rId735" w:history="1">
        <w:r>
          <w:rPr>
            <w:rFonts w:ascii="arial" w:eastAsia="arial" w:hAnsi="arial" w:cs="arial"/>
            <w:i/>
            <w:color w:val="0077CC"/>
            <w:sz w:val="20"/>
            <w:u w:val="single"/>
            <w:shd w:val="clear" w:color="auto" w:fill="FFFFFF"/>
            <w:lang w:val="en-US" w:eastAsia="en-US" w:bidi="ar-SA"/>
          </w:rPr>
          <w:t>[1953] 2 D.L.R. 604</w:t>
        </w:r>
      </w:hyperlink>
      <w:r>
        <w:rPr>
          <w:rFonts w:ascii="arial" w:eastAsia="arial" w:hAnsi="arial" w:cs="arial"/>
          <w:color w:val="000000"/>
          <w:sz w:val="20"/>
          <w:lang w:val="en-US" w:eastAsia="en-US" w:bidi="ar-SA"/>
        </w:rPr>
        <w:t xml:space="preserve"> at 614, citing Scott L.J. in </w:t>
      </w:r>
      <w:r>
        <w:rPr>
          <w:rFonts w:ascii="arial" w:eastAsia="arial" w:hAnsi="arial" w:cs="arial"/>
          <w:i/>
          <w:color w:val="000000"/>
          <w:sz w:val="20"/>
          <w:lang w:val="en-US" w:eastAsia="en-US" w:bidi="ar-SA"/>
        </w:rPr>
        <w:t>Joseph Eva Ltd. v. Reeves</w:t>
      </w:r>
      <w:r>
        <w:rPr>
          <w:rFonts w:ascii="arial" w:eastAsia="arial" w:hAnsi="arial" w:cs="arial"/>
          <w:color w:val="000000"/>
          <w:sz w:val="20"/>
          <w:lang w:val="en-US" w:eastAsia="en-US" w:bidi="ar-SA"/>
        </w:rPr>
        <w:t xml:space="preserve"> (1938), 2 K.B. 393 at 405, stated: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all traffic regulation has two main purposes, the first to insure safety and the second to promote the free circulation of traffic. To hold that the driver of the vehicle on a through highway who is proceeding on the right-hand side of the centre line of the road and at a reasonable rate of speed must, on approaching an intersection where his view to the left is obstructed, proceed on the theory that a driver may emerge from his left into his path in total disregard of the statutory rule would tend towards the paralysis of traffic rather than to the promotion of its free circulation.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duty on the defendant was to exercise due care and attention in the circumstances. The plaintiff says, in circular fashion, that the defendant failed to do so because she failed to slow down enough to avoid an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 find that the defendant was travelling at a reasonable speed and certainly slow enough to stop in ordinary circumstances. However, she was not able to avoid the extraordinary circumstance of the plaintiff's obscured motorcycle bolting across the intersection at excessive speed from a stop sign where it was supposed to have rested until safe to enter the intersection.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cases upon which the plaintiff relies to establish shared liability of the defendant are cases where either the driver in the situation of the defendant here did not constitute an immediate hazard, or was travelling at excessive speed, or was impaired. None of these factors exist in the case before 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my view, the defendant had the right of way, she did nothing to forfeit that right of way, she was driving reasonably and prudently in the circumstances and could not reasonably avoid hitting the plaintiff.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Thus I dismiss the plaintiff's claim with costs.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D. KLOEGMAN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3" style="position:absolute;z-index:2518773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36"/>
          <w:headerReference w:type="default" r:id="rId737"/>
          <w:footerReference w:type="even" r:id="rId738"/>
          <w:footerReference w:type="default" r:id="rId739"/>
          <w:headerReference w:type="first" r:id="rId740"/>
          <w:footerReference w:type="first" r:id="rId74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742" w:history="1">
        <w:r>
          <w:rPr>
            <w:rFonts w:ascii="arial" w:eastAsia="arial" w:hAnsi="arial" w:cs="arial"/>
            <w:b/>
            <w:bCs/>
            <w:i/>
            <w:color w:val="0077CC"/>
            <w:kern w:val="32"/>
            <w:sz w:val="28"/>
            <w:szCs w:val="32"/>
            <w:u w:val="single"/>
            <w:shd w:val="clear" w:color="auto" w:fill="FFFFFF"/>
            <w:lang w:val="en-US" w:eastAsia="en-US" w:bidi="ar-SA"/>
          </w:rPr>
          <w:t>Krause v. Gill, [2006] B.C.J. No. 2203</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Fisher J.</w:t>
      </w:r>
    </w:p>
    <w:p>
      <w:pPr>
        <w:spacing w:before="120" w:line="260" w:lineRule="atLeast"/>
        <w:jc w:val="center"/>
        <w:rPr>
          <w:lang w:val="en-US" w:eastAsia="en-US" w:bidi="ar-SA"/>
        </w:rPr>
      </w:pPr>
      <w:r>
        <w:rPr>
          <w:rFonts w:ascii="arial" w:eastAsia="arial" w:hAnsi="arial" w:cs="arial"/>
          <w:color w:val="000000"/>
          <w:sz w:val="20"/>
          <w:lang w:val="en-US" w:eastAsia="en-US" w:bidi="ar-SA"/>
        </w:rPr>
        <w:t>Heard: September 14 and 15, 2006.</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September 29, 2006.</w:t>
      </w:r>
    </w:p>
    <w:p>
      <w:pPr>
        <w:spacing w:before="120" w:line="260" w:lineRule="atLeast"/>
        <w:jc w:val="center"/>
        <w:rPr>
          <w:lang w:val="en-US" w:eastAsia="en-US" w:bidi="ar-SA"/>
        </w:rPr>
      </w:pPr>
      <w:r>
        <w:rPr>
          <w:rFonts w:ascii="arial" w:eastAsia="arial" w:hAnsi="arial" w:cs="arial"/>
          <w:color w:val="000000"/>
          <w:sz w:val="20"/>
          <w:lang w:val="en-US" w:eastAsia="en-US" w:bidi="ar-SA"/>
        </w:rPr>
        <w:t>New Westminster Registry No. M86139</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[2006] B.C.J. No. 2203</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2006 BCSC 1459</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152 A.C.W.S. (3d) 630</w:t>
      </w:r>
    </w:p>
    <w:p>
      <w:pPr>
        <w:spacing w:before="120" w:line="260" w:lineRule="atLeast"/>
        <w:rPr>
          <w:lang w:val="en-US" w:eastAsia="en-US" w:bidi="ar-SA"/>
        </w:rPr>
      </w:pPr>
      <w:r>
        <w:rPr>
          <w:rFonts w:ascii="arial" w:eastAsia="arial" w:hAnsi="arial" w:cs="arial"/>
          <w:color w:val="000000"/>
          <w:sz w:val="20"/>
          <w:lang w:val="en-US" w:eastAsia="en-US" w:bidi="ar-SA"/>
        </w:rPr>
        <w:t>Between Michael KRAUSE, Plaintiff, and Sukhdeep Kaur GILL, Simranjeet SEKHON and Hargurjeet SEKHON,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(62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154" style="position:absolute;z-index:251685888"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189" w:name="Keywords_26"/>
      <w:bookmarkEnd w:id="189"/>
      <w:r>
        <w:rPr>
          <w:rFonts w:ascii="arial" w:eastAsia="arial" w:hAnsi="arial" w:cs="arial"/>
          <w:b/>
          <w:color w:val="000000"/>
          <w:sz w:val="20"/>
          <w:lang w:val="en-US" w:eastAsia="en-US" w:bidi="ar-SA"/>
        </w:rPr>
        <w:t>Damages — General damages — For personal injuries — Considerations — Aggravation of pre-existing injury — Duration of loss — Extent of incapacity — Non-pecuniary damages, including pain and suffering — Assessment of plaintiff's non-pecuniary damages — Damages of $30,000 awarded — Plaintiff sustained soft tissue injuries to neck and back — Plaintiff substantially recovered from injuries within 18 months of accident — Plaintiff had substantially recovered from his previous injuries at time of present accident.</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190" w:name="Case Summary_26"/>
            <w:bookmarkEnd w:id="190"/>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Assessment of plaintiff's non-pecuniary damages -- Plaintiff injured in 2003 motor vehicle accident -- Soft tissue injuries sustained to neck and back -- Prior injuries to neck and back from other accidents -- Plaintiff in early 20's -- Full-time worker at call centre for customer service department -- Plaintiff off work for two weeks after accident -- Plaintiff became less active and could not do household chores -- Plaintiff became depressed and had nightmares -- Plaintiff now functioned quite normally but had continued pain in neck and back until late 2004 -- Medical report indicated plaintiff had fully recovered -- Injuries affected plaintiff's enjoyment of life for six months, and less so for the next year, and minimally at present -- HELD: Non-pecuniary damages assessed at $30,000 -- Plaintiff substantially recovered from injuries within 18 months of accident -- Some on-going symptoms that were not debilitating and did not restrict his activities to any significant degree -- Plaintiff had substantially recovered from his previous injuries at time of present accident -- Little evidence that plaintiff's previous injuries would have affected him in future -- No measurable risk that plaintiff had a pre-existing condition which would have detrimentally affected him in future, regardless of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lang w:val="en-US" w:eastAsia="en-US" w:bidi="ar-SA"/>
              </w:rPr>
              <w:cr/>
            </w:r>
          </w:p>
          <w:p>
            <w:pPr>
              <w:rPr>
                <w:lang w:val="en-US" w:eastAsia="en-US" w:bidi="ar-SA"/>
              </w:rPr>
            </w:pPr>
          </w:p>
        </w:tc>
      </w:tr>
    </w:tbl>
    <w:p>
      <w:pPr>
        <w:jc w:val="both"/>
        <w:rPr>
          <w:lang w:val="en-US" w:eastAsia="en-US" w:bidi="ar-SA"/>
        </w:rPr>
      </w:pPr>
      <w:bookmarkStart w:id="191" w:name="Legislation Cited_15"/>
      <w:bookmarkEnd w:id="191"/>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155" style="position:absolute;z-index:251737088"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British Columbia Rules of Court, Rule 66</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Evidence Act, </w:t>
      </w:r>
      <w:hyperlink r:id="rId743" w:history="1">
        <w:r>
          <w:rPr>
            <w:rFonts w:ascii="arial" w:eastAsia="arial" w:hAnsi="arial" w:cs="arial"/>
            <w:i/>
            <w:color w:val="0077CC"/>
            <w:sz w:val="20"/>
            <w:u w:val="single"/>
            <w:shd w:val="clear" w:color="auto" w:fill="FFFFFF"/>
            <w:lang w:val="en-US" w:eastAsia="en-US" w:bidi="ar-SA"/>
          </w:rPr>
          <w:t>R.S.B.C. 1996, c. 124, s. 42</w:t>
        </w:r>
      </w:hyperlink>
      <w:r>
        <w:rPr>
          <w:lang w:val="en-US" w:eastAsia="en-US" w:bidi="ar-SA"/>
        </w:rPr>
        <w:cr/>
      </w:r>
    </w:p>
    <w:p>
      <w:pPr>
        <w:keepNext/>
        <w:spacing w:before="240" w:line="340" w:lineRule="atLeast"/>
        <w:rPr>
          <w:lang w:val="en-US" w:eastAsia="en-US" w:bidi="ar-SA"/>
        </w:rPr>
      </w:pPr>
      <w:bookmarkStart w:id="192" w:name="Counsel_26"/>
      <w:bookmarkEnd w:id="192"/>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56" style="position:absolute;z-index:251788288"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plaintiff: L.A. Cowley</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 Gill: J.A. Thomson</w:t>
      </w:r>
      <w:r>
        <w:rPr>
          <w:lang w:val="en-US" w:eastAsia="en-US" w:bidi="ar-SA"/>
        </w:rPr>
        <w:cr/>
      </w:r>
    </w:p>
    <w:p>
      <w:pPr>
        <w:spacing w:after="240"/>
        <w:rPr>
          <w:lang w:val="en-US" w:eastAsia="en-US" w:bidi="ar-SA"/>
        </w:rPr>
      </w:pPr>
      <w:bookmarkStart w:id="193" w:name="Judgment_26"/>
      <w:bookmarkEnd w:id="193"/>
      <w:r>
        <w:pict>
          <v:line id="_x0000_s1157" style="position:absolute;z-index:251838464"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7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194" w:name="FISHER J."/>
            <w:bookmarkEnd w:id="194"/>
            <w:r>
              <w:rPr>
                <w:rFonts w:ascii="arial" w:eastAsia="arial" w:hAnsi="arial" w:cs="arial"/>
                <w:b/>
                <w:color w:val="000000"/>
                <w:sz w:val="30"/>
                <w:lang w:val="en-US" w:eastAsia="en-US" w:bidi="ar-SA"/>
              </w:rPr>
              <w:t>FISHER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August 6, 2003, the plaintiff, Michael Krause, was injured in a motor vehicle accident (the subject accident). The only issue in this trial, conducted under Rule 66 of the , is the amount of non-pecuniary damages to which the plaintiff is entitled.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suffered mainly soft tissue injuries to his neck and back. He has a history of previous accidents, which involved injuries to his neck and back. At issue is whether he was fully recovered from his previous injuries at the time of the subject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The plaintiff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is a young man in his early 20's. He lives with his mother, who is divorced. He was quite an active person at the time of the subject accident. He worked full time at a call centre in a customer service-related position. He hiked, biked, ran, and went to the gym regularly. He had a girlfriend and an active social life. He helped his mother around the house and mowed the lawn.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On August 6, 2003, the plaintiff was the front seat passenger in a 2002 Honda Accord when it was hit broadside by a vehicle driven by the defendant Gill. He described the impact as "really, really severe", "very sudden" and "fast". His glasses flew off his face. He saw the other vehicle out of the corner of his eye just before the impact; he tried to curl into a ball, but his body was "kind of thrown in the vehicle". The Honda Accord incurred approximately $10,000 damage.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was taken to Surrey Memorial Hospital, where x-rays were taken. He went home the same day.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The evidence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testified about his injuries. Much of his evidence is supported by the medical evidence. However, his memory about the injuries he suffered from his previous accidents was quite selective. He was evasive about the length of time he was off work after his earlier accidents. While I accept his testimony for the most part, I found that he exaggerated his symptoms from this accident and minimized his injuries from the previous accidents.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His mother, Eva Krause, also testified. I found that she, too, while generally credible, tended to exaggerate when she described her son after this accident and tended to minimize the injuries from his previous accidents.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filed four medical reports and the defendant filed one (as well as an update). Two of the plaintiff's reports were from his family physician, Dr. Michael Frankel, one was from Dr. Kennely Ho, a neurologist, and one from Dr. Stephen Flamer, a psychologist. The defendant's report was from Dr. J.F. Schweigel, an orthopaedic surgeon. Dr. Frankel and Dr. Schweigel also testified.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In addition to these reports, copies of the plaintiff's clinical records kept by Dr. Frankel and other physicians in his practice were admitted in evidence as business records under s. 42 of the </w:t>
      </w:r>
      <w:r>
        <w:rPr>
          <w:rFonts w:ascii="arial" w:eastAsia="arial" w:hAnsi="arial" w:cs="arial"/>
          <w:b/>
          <w:i/>
          <w:color w:val="000000"/>
          <w:sz w:val="20"/>
          <w:lang w:val="en-US" w:eastAsia="en-US" w:bidi="ar-SA"/>
        </w:rPr>
        <w:t>Evidence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124</w:t>
      </w:r>
      <w:r>
        <w:rPr>
          <w:rFonts w:ascii="arial" w:eastAsia="arial" w:hAnsi="arial" w:cs="arial"/>
          <w:color w:val="000000"/>
          <w:sz w:val="20"/>
          <w:lang w:val="en-US" w:eastAsia="en-US" w:bidi="ar-SA"/>
        </w:rPr>
        <w:t>. The clinical notes were also admitted for the truth of their contents, so far as they record statements made by the plaintiff to his physicians about how he was feeling on the day of each visit. Both counsel agreed with this basis for admitting this evidence. I found that these clinical notes satisfied the requirements of necessity and reliability under the principled approach to hearsay.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I adopt the reasoning of Mr. Justice Ehrcke in </w:t>
      </w:r>
      <w:r>
        <w:rPr>
          <w:rFonts w:ascii="arial" w:eastAsia="arial" w:hAnsi="arial" w:cs="arial"/>
          <w:b/>
          <w:i/>
          <w:color w:val="000000"/>
          <w:sz w:val="20"/>
          <w:lang w:val="en-US" w:eastAsia="en-US" w:bidi="ar-SA"/>
        </w:rPr>
        <w:t>White v. Stonestreet</w:t>
      </w:r>
      <w:r>
        <w:rPr>
          <w:rFonts w:ascii="arial" w:eastAsia="arial" w:hAnsi="arial" w:cs="arial"/>
          <w:color w:val="000000"/>
          <w:sz w:val="20"/>
          <w:lang w:val="en-US" w:eastAsia="en-US" w:bidi="ar-SA"/>
        </w:rPr>
        <w:t xml:space="preserve"> </w:t>
      </w:r>
      <w:hyperlink r:id="rId744" w:history="1">
        <w:r>
          <w:rPr>
            <w:rFonts w:ascii="arial" w:eastAsia="arial" w:hAnsi="arial" w:cs="arial"/>
            <w:i/>
            <w:color w:val="0077CC"/>
            <w:sz w:val="20"/>
            <w:u w:val="single"/>
            <w:shd w:val="clear" w:color="auto" w:fill="FFFFFF"/>
            <w:lang w:val="en-US" w:eastAsia="en-US" w:bidi="ar-SA"/>
          </w:rPr>
          <w:t>(2005), 51 B.C.L.R. (4th) 386</w:t>
        </w:r>
      </w:hyperlink>
      <w:r>
        <w:rPr>
          <w:rFonts w:ascii="arial" w:eastAsia="arial" w:hAnsi="arial" w:cs="arial"/>
          <w:color w:val="000000"/>
          <w:sz w:val="20"/>
          <w:lang w:val="en-US" w:eastAsia="en-US" w:bidi="ar-SA"/>
        </w:rPr>
        <w:t xml:space="preserve">, </w:t>
      </w:r>
      <w:hyperlink r:id="rId744" w:history="1">
        <w:r>
          <w:rPr>
            <w:rFonts w:ascii="arial" w:eastAsia="arial" w:hAnsi="arial" w:cs="arial"/>
            <w:i/>
            <w:color w:val="0077CC"/>
            <w:sz w:val="20"/>
            <w:u w:val="single"/>
            <w:shd w:val="clear" w:color="auto" w:fill="FFFFFF"/>
            <w:lang w:val="en-US" w:eastAsia="en-US" w:bidi="ar-SA"/>
          </w:rPr>
          <w:t>2005 BCSC 1751</w:t>
        </w:r>
      </w:hyperlink>
      <w:r>
        <w:rPr>
          <w:rFonts w:ascii="arial" w:eastAsia="arial" w:hAnsi="arial" w:cs="arial"/>
          <w:color w:val="000000"/>
          <w:sz w:val="20"/>
          <w:lang w:val="en-US" w:eastAsia="en-US" w:bidi="ar-SA"/>
        </w:rPr>
        <w:t>. He discussed the necessity requirement at para. 24:</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The salient point here is that in cases such as this, where the important issues are not only what sensations or conditions a person was experiencing, but also when they were being experienced, the requirement of necessity is satisfied not by the declarant's total lack of recall, but rather by the fact that his or her present memory is unlikely to be as precise as his contemporaneous declarations. This point was eloquently made by Wigmore at paragraph 1714. He observed that while most common law exceptions to the hearsay rule are founded on either the impossibility or the inconvenience of producing the declarant to testify at trial, the exception for declarations of bodily condition is founded on the relative value of the evidence:</w:t>
      </w:r>
    </w:p>
    <w:p>
      <w:pPr>
        <w:spacing w:before="120" w:line="260" w:lineRule="atLeast"/>
        <w:ind w:left="1080"/>
        <w:rPr>
          <w:lang w:val="en-US" w:eastAsia="en-US" w:bidi="ar-SA"/>
        </w:rPr>
      </w:pPr>
      <w:r>
        <w:rPr>
          <w:rFonts w:ascii="arial" w:eastAsia="arial" w:hAnsi="arial" w:cs="arial"/>
          <w:color w:val="000000"/>
          <w:sz w:val="20"/>
          <w:lang w:val="en-US" w:eastAsia="en-US" w:bidi="ar-SA"/>
        </w:rPr>
        <w:t>In the present and the two ensuing exceptions, this necessity principle presents itself in still a third and different form, viz., relative value of the evidence. It rests on the consideration that though the person's testimony on the stand may still be both actually and conveniently practicable, yet the probability of there receiving from him testimony which shall be in value equal or superior to certain hearsay statements is small; thus, while there is hardly a necessity in the strict sense, there is at least a desirability of resorting also to hearsay statements.</w:t>
      </w:r>
    </w:p>
    <w:p>
      <w:pPr>
        <w:spacing w:before="120" w:line="260" w:lineRule="atLeast"/>
        <w:ind w:left="1080"/>
        <w:rPr>
          <w:lang w:val="en-US" w:eastAsia="en-US" w:bidi="ar-SA"/>
        </w:rPr>
      </w:pPr>
      <w:r>
        <w:rPr>
          <w:rFonts w:ascii="arial" w:eastAsia="arial" w:hAnsi="arial" w:cs="arial"/>
          <w:color w:val="000000"/>
          <w:sz w:val="20"/>
          <w:lang w:val="en-US" w:eastAsia="en-US" w:bidi="ar-SA"/>
        </w:rPr>
        <w:t>Applied specifically to the present exception, the judicial doctrine has been that there is a fair necessity, for lack of other better evidence, for resorting to a person's own contemporary statements of his mental or physical condition. It is indeed possible to obtain by circumstantial evidence (chiefly of conduct) some of knowledge of a human being's internal state of pain, emotion, motive, design and the like; but in directness, amount and value, this source of evidence must usually be decidedly inferior to the person's own contemporary assertions of those conditions. It might be argued, however, that the person's own statements on the stand would amply satisfy the need for his testimonial evidence. The answer is that statements of this sort on the stand, where there is ample opportunity for deliberate misrepresentation and small means of checking it by other evidence or testing it by cross-examination, are comparatively inferior to statements made at times when circumstances lessened the possible inducement to misrepresentation.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These principles apply in this case, given the plaintiff's rather vague memory of his symptoms from the previous accidents and his tendency to exaggerate his symptoms from the subject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With respect to reliability, although there is no guarantee of accuracy, a contemporaneous declaration of bodily condition may be more accurate than testimony at trial given some time after the condition has changed. There may have been less of an inclination to exaggerate or minimize the symptoms. Most of the plaintiff's statements were made before he commenced this action in May 2004. Moreover, the plaintiff testified that he had reviewed the clinical notes and he did not say that the contents were incorrect in any way.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Having admitted the clinical notes, I have given them limited weight where they were written by a physician who did not testify. The notes are difficult to read and they contain quite a bit of shorthand which only the writer could explain. I have given more weight to the notes written by Dr. Frankel, since he testified about his examinations of the plaintiff.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The injuries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Facts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Immediately after the impact, the plaintiff had neck and back pain, pain along the entire right side of his body, a numb, tingling feeling in his hands and fingers, and a headache. He was very anxious in his mother's car on the way home from the hospital, and had what he described as a panic attack - he was "really nervous", "hot and sweaty", shaking at stop signs and re-living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next day, the plaintiff was very sore all over, particularly on his right side. He went to school to write an exam. He drove his car home, with some difficulty, as he was sore and very anxious about driving.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As a result of his injuries, the plaintiff was off work for approximately two weeks. He had some difficulty with neck and back pain after he returned to work. He became less active. He continued to go to the gym, but on a very modified program, and he could not do chores around the house.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He continued to have anxiety, and became quite depressed. He had nightmares. He did not want to go out with his friends, and he had difficulty in his relationship with his girlfriend. He said that for a period of time after the accident (the medical records indicate this to be approximately a month and a half) he was unable to have sex because of the pain in his back. No doubt these anxiety-related symptoms were very troubling for the plaintiff.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plaintiff was treated with pain medication and physiotherapy for his neck and back. He was also given some anti-depressant and sleep medication for a short period of time, for his anxiety symptoms. He stopped attending physiotherapy after several months, when funding was terminated, but he continued to do the recommended exercises.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plaintiff said that the nightmares and the numbness in his hands went away after about 6 months. His other symptoms gradually lessened and now he is functioning quite normally, but with continued pain in his neck and back. He still has some driving anxiety, but he says it is "not a really big problem anymore".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medical evidence regarding the injuries is generally consistent with the plaintiff's evidence, except as to whether there has been a full recovery. Dr. Frankel stated that the plaintiff was totally disabled for 15 days following the accident, partially disabled for about 18 months, and is now fully recovered. The plaintiff has not complained to his doctor about these injuries since November 2004. Dr. Frankel testified that the plaintiff's pattern is to go to the doctor when he has pain and to stop when the pain goes away. The plaintiff said that he stopped complaining to his doctor because he was always told the same thing, that it would take time.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Dr. Ho, a neurologist, confirmed that the numbness and tingling in the plaintiff's hands was caused by his soft tissue injuries. In November 2004, he reported that the plaintiff's prognosis was "overall quite favourable" and that the likelihood of any long term symptoms or restrictions was mild or minimal.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Dr. Flamer, a psychologist, confirmed that the plaintiff had a mild-moderate anxiety reaction to the accident, which resolved gradually over a period of about six months. As of April 2005, when he assessed the plaintiff, Dr. Flamer did not observe any psychological condition or disorder related to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Dr. Schweigel performed an independent medical examination on the plaintiff in February 2005. He diagnosed a minor soft tissue injury of the neck and back. He attributed the cause of these injuries to the subject accident; he was not aware of any details regarding the plaintiff's previous accidents and he assumed that these injuries were not causing any neck and back pain in the two to three weeks prior to August 6, 2003. Dr. Schweigel did not think that the plaintiff was attempting to deceive, but he did think that the plaintiff was exaggerating the extent of his pain. In cross-examination, Dr. Schweigel agreed that a person can continue to have pain after an injury has healed, that the prognosis is not good where symptoms persist two to three years after an accident, and that 10 to 20% of soft tissue injuries have long term problems. However, he did not relate these statements to the plaintiff.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Conclusion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 find that the plaintiff suffered a moderate soft tissue injury to his neck and back, which caused numbness and tingling in his hands, as well as anxiety. He was not able to work for two weeks following the accident. His numbness, tingling and anxiety-related symptoms resolved within six months. His neck and back pain persisted until late 2004 or early 2005.</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 find that the plaintiff substantially recovered from his injuries within 18 months of the accident. He has some on-going symptoms, but these are not of a debilitating nature and they do not restrict his activities to any significant degree. The plaintiff's description of his on-going pain is not consistent with any of the medical evidence. I find that he exaggerated the extent of his on-going symptoms. I place considerable weight on the evidence of Dr. Frankel in this regard, as he saw the plaintiff quite regularly during this period of time.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Previous injuries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Facts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plaintiff was injured in a work-related accident in August 2000. While he was working at the Future Shop, a television fell on him. He had injuries to his neck and back. He was off work for a period of time, perhaps three weeks. (The plaintiff did not recall how long, but his physician's reports to the Workers Compensation Board indicate that he may have been off work for about three weeks.) The plaintiff said that he recovered from these injuries in less than six months.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January 2001, the plaintiff was in two motor vehicle accidents within five days of each other. In each, he injured his neck and back again. He was treated with pain medication, physiotherapy, acupuncture and exercise. He said that he recovered from those injuries within about one year. Again, he was not sure how much time he was off work after those accidents. His doctor noted that he was fit for work as of April 30, 2001.</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On February 6, 2002, the plaintiff was in another motor vehicle accident, and in March 2002, he had another work-related accident. Again, his neck and back were injured. He was treated with pain medication, physiotherapy and exercise. Again, the plaintiff could not recall how long he was off work. His doctor noted that he was fit for part time work, light duties, in mid-March.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plaintiff testified that he had fully recovered from his injuries from the subject accident by the spring of 2003. He said he was in the best shape of his life and was feeling well. He had one brief flare-up of back pain in late July 2003, but he did not consider this to be related to his previous injuries. The doctor's note of this visit, on July 26, 2003, referenced the February 2002 motor vehicle accident and stated: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Still neck/back pain (?)</w:t>
      </w:r>
    </w:p>
    <w:p>
      <w:pPr>
        <w:spacing w:before="120" w:line="260" w:lineRule="atLeast"/>
        <w:ind w:left="720"/>
        <w:rPr>
          <w:lang w:val="en-US" w:eastAsia="en-US" w:bidi="ar-SA"/>
        </w:rPr>
      </w:pPr>
      <w:r>
        <w:rPr>
          <w:rFonts w:ascii="arial" w:eastAsia="arial" w:hAnsi="arial" w:cs="arial"/>
          <w:color w:val="000000"/>
          <w:sz w:val="20"/>
          <w:lang w:val="en-US" w:eastAsia="en-US" w:bidi="ar-SA"/>
        </w:rPr>
        <w:t xml:space="preserve"> Difficulty to sleep at night</w:t>
      </w:r>
    </w:p>
    <w:p>
      <w:pPr>
        <w:spacing w:before="120" w:line="260" w:lineRule="atLeast"/>
        <w:ind w:left="720"/>
        <w:rPr>
          <w:lang w:val="en-US" w:eastAsia="en-US" w:bidi="ar-SA"/>
        </w:rPr>
      </w:pPr>
      <w:r>
        <w:rPr>
          <w:rFonts w:ascii="arial" w:eastAsia="arial" w:hAnsi="arial" w:cs="arial"/>
          <w:color w:val="000000"/>
          <w:sz w:val="20"/>
          <w:lang w:val="en-US" w:eastAsia="en-US" w:bidi="ar-SA"/>
        </w:rPr>
        <w:t xml:space="preserve"> Still working</w:t>
      </w:r>
    </w:p>
    <w:p>
      <w:pPr>
        <w:spacing w:before="120" w:line="260" w:lineRule="atLeast"/>
        <w:ind w:left="720"/>
        <w:rPr>
          <w:lang w:val="en-US" w:eastAsia="en-US" w:bidi="ar-SA"/>
        </w:rPr>
      </w:pPr>
      <w:r>
        <w:rPr>
          <w:rFonts w:ascii="arial" w:eastAsia="arial" w:hAnsi="arial" w:cs="arial"/>
          <w:color w:val="000000"/>
          <w:sz w:val="20"/>
          <w:lang w:val="en-US" w:eastAsia="en-US" w:bidi="ar-SA"/>
        </w:rPr>
        <w:t xml:space="preserve"> Unable to lift heavy?</w:t>
      </w:r>
    </w:p>
    <w:p>
      <w:pPr>
        <w:spacing w:before="120" w:line="260" w:lineRule="atLeast"/>
        <w:ind w:left="720"/>
        <w:rPr>
          <w:lang w:val="en-US" w:eastAsia="en-US" w:bidi="ar-SA"/>
        </w:rPr>
      </w:pPr>
      <w:r>
        <w:rPr>
          <w:rFonts w:ascii="arial" w:eastAsia="arial" w:hAnsi="arial" w:cs="arial"/>
          <w:color w:val="000000"/>
          <w:sz w:val="20"/>
          <w:lang w:val="en-US" w:eastAsia="en-US" w:bidi="ar-SA"/>
        </w:rPr>
        <w:t xml:space="preserve"> Unable to do physical exercise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physical examination noted a good range of motion in the neck and a decreased range of motion in the back, with some back spasm.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plaintiff did not recall telling the doctor he "still" had back pain. He said he "must have got out of bed the wrong way" and just had a "pretty bad week", but the back pain died down after a few days.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defendant made much of this note, as it appears to contradict the plaintiff's assertion that he was fully recovered from his previous injuries at that time. Dr. Frankel, who did not make the note, did not consider this complaint of back pain to be related to the plaintiff's previous accident because it was the only note of back pain since September 2002, over ten months earlier. The plaintiff had been to the doctor numerous times during this period for other matters. Dr. Frankel considered the plaintiff to have been fully recovered despite this. He referred to the plaintiff's pattern of visiting the doctor only when he has pain. He did agree, however, that the plaintiff may be more susceptible to back injury.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Conclusion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July 26, 2003 note is inconsistent with the plaintiff's testimony at trial; it appears to indicate that the plaintiff's flare-up of back pain did stem from the February 2002 accident and was worse than he says.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Dr. Frankel did not think that this flare-up was related to the previous motor vehicle accident because of the length of time since any prior complaints (ten months). However, he did not see the plaintiff that day; nor was he aware of the plaintiff's testimony that he was fully recovered by the spring of 2003.</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Because the doctor who wrote the note did not testify, I have given it little weight. Overall, I prefer the evidence of the plaintiff and of Dr. Frankel, despite some of the problems I have noted. Dr. Frankel has been the plaintiff's regular physician for a number of years, and he is familiar with the plaintiff's condition.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 find that the plaintiff had substantially recovered from his previous injuries at the time of the subject accident. He had one episode of back pain in July 2003. The cause of this is not clear; however, it was of a minor nature and it did not affect his activities in any significant way.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Causation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The defendant does not dispute that the plaintiff has established causation. It is clear on the evidence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materially contributed to the plaintiff's injuries. This is in accordance with the tests set out in </w:t>
      </w:r>
      <w:r>
        <w:rPr>
          <w:rFonts w:ascii="arial" w:eastAsia="arial" w:hAnsi="arial" w:cs="arial"/>
          <w:b/>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3"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"Crumbling skull"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Mr. Thomson, counsel for the defendant, characterized this as a "crumbling skull" case, on the basis that the plaintiff had a pre-existing condition, which was symptomatic immediately before the subject accident. He relied on the principle in </w:t>
      </w:r>
      <w:r>
        <w:rPr>
          <w:rFonts w:ascii="arial" w:eastAsia="arial" w:hAnsi="arial" w:cs="arial"/>
          <w:b/>
          <w:i/>
          <w:color w:val="000000"/>
          <w:sz w:val="20"/>
          <w:lang w:val="en-US" w:eastAsia="en-US" w:bidi="ar-SA"/>
        </w:rPr>
        <w:t>Pryor v. Bains</w:t>
      </w:r>
      <w:r>
        <w:rPr>
          <w:rFonts w:ascii="arial" w:eastAsia="arial" w:hAnsi="arial" w:cs="arial"/>
          <w:color w:val="000000"/>
          <w:sz w:val="20"/>
          <w:lang w:val="en-US" w:eastAsia="en-US" w:bidi="ar-SA"/>
        </w:rPr>
        <w:t xml:space="preserve"> </w:t>
      </w:r>
      <w:hyperlink r:id="rId745" w:history="1">
        <w:r>
          <w:rPr>
            <w:rFonts w:ascii="arial" w:eastAsia="arial" w:hAnsi="arial" w:cs="arial"/>
            <w:i/>
            <w:color w:val="0077CC"/>
            <w:sz w:val="20"/>
            <w:u w:val="single"/>
            <w:shd w:val="clear" w:color="auto" w:fill="FFFFFF"/>
            <w:lang w:val="en-US" w:eastAsia="en-US" w:bidi="ar-SA"/>
          </w:rPr>
          <w:t>(1986), 69 B.C.L.R. 395</w:t>
        </w:r>
      </w:hyperlink>
      <w:r>
        <w:rPr>
          <w:rFonts w:ascii="arial" w:eastAsia="arial" w:hAnsi="arial" w:cs="arial"/>
          <w:color w:val="000000"/>
          <w:sz w:val="20"/>
          <w:lang w:val="en-US" w:eastAsia="en-US" w:bidi="ar-SA"/>
        </w:rPr>
        <w:t xml:space="preserve"> (C.A.), and applied in </w:t>
      </w:r>
      <w:r>
        <w:rPr>
          <w:rFonts w:ascii="arial" w:eastAsia="arial" w:hAnsi="arial" w:cs="arial"/>
          <w:b/>
          <w:i/>
          <w:color w:val="000000"/>
          <w:sz w:val="20"/>
          <w:lang w:val="en-US" w:eastAsia="en-US" w:bidi="ar-SA"/>
        </w:rPr>
        <w:t>Premack v. McGovern</w:t>
      </w:r>
      <w:r>
        <w:rPr>
          <w:rFonts w:ascii="arial" w:eastAsia="arial" w:hAnsi="arial" w:cs="arial"/>
          <w:color w:val="000000"/>
          <w:sz w:val="20"/>
          <w:lang w:val="en-US" w:eastAsia="en-US" w:bidi="ar-SA"/>
        </w:rPr>
        <w:t xml:space="preserve"> </w:t>
      </w:r>
      <w:hyperlink r:id="rId746" w:history="1">
        <w:r>
          <w:rPr>
            <w:rFonts w:ascii="arial" w:eastAsia="arial" w:hAnsi="arial" w:cs="arial"/>
            <w:i/>
            <w:color w:val="0077CC"/>
            <w:sz w:val="20"/>
            <w:u w:val="single"/>
            <w:shd w:val="clear" w:color="auto" w:fill="FFFFFF"/>
            <w:lang w:val="en-US" w:eastAsia="en-US" w:bidi="ar-SA"/>
          </w:rPr>
          <w:t>(1997), 45 B.C.L.R. (3d) 181</w:t>
        </w:r>
      </w:hyperlink>
      <w:r>
        <w:rPr>
          <w:rFonts w:ascii="arial" w:eastAsia="arial" w:hAnsi="arial" w:cs="arial"/>
          <w:color w:val="000000"/>
          <w:sz w:val="20"/>
          <w:lang w:val="en-US" w:eastAsia="en-US" w:bidi="ar-SA"/>
        </w:rPr>
        <w:t xml:space="preserve"> (C.A.). In each of those cases, the plaintiff had not recovered from injuries that existed before the motor vehicle accident at issue.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Pryor v. Bains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the Court distinguished a case where a pre-existing condition was "already manifest and presently disabling" from a "thin skull" case where a "weakness or latent susceptibility of the victim is quiescent but is activated into being as a result of the tortious conduct of another." As the Court of Appeal stated in </w:t>
      </w:r>
      <w:r>
        <w:rPr>
          <w:rFonts w:ascii="arial" w:eastAsia="arial" w:hAnsi="arial" w:cs="arial"/>
          <w:b/>
          <w:i/>
          <w:color w:val="000000"/>
          <w:sz w:val="20"/>
          <w:lang w:val="en-US" w:eastAsia="en-US" w:bidi="ar-SA"/>
        </w:rPr>
        <w:t>Zacharias v. Leys</w:t>
      </w:r>
      <w:r>
        <w:rPr>
          <w:rFonts w:ascii="arial" w:eastAsia="arial" w:hAnsi="arial" w:cs="arial"/>
          <w:color w:val="000000"/>
          <w:sz w:val="20"/>
          <w:lang w:val="en-US" w:eastAsia="en-US" w:bidi="ar-SA"/>
        </w:rPr>
        <w:t xml:space="preserve"> </w:t>
      </w:r>
      <w:hyperlink r:id="rId747" w:history="1">
        <w:r>
          <w:rPr>
            <w:rFonts w:ascii="arial" w:eastAsia="arial" w:hAnsi="arial" w:cs="arial"/>
            <w:i/>
            <w:color w:val="0077CC"/>
            <w:sz w:val="20"/>
            <w:u w:val="single"/>
            <w:shd w:val="clear" w:color="auto" w:fill="FFFFFF"/>
            <w:lang w:val="en-US" w:eastAsia="en-US" w:bidi="ar-SA"/>
          </w:rPr>
          <w:t>(2005), 219 B.C.A.C. 88</w:t>
        </w:r>
      </w:hyperlink>
      <w:r>
        <w:rPr>
          <w:rFonts w:ascii="arial" w:eastAsia="arial" w:hAnsi="arial" w:cs="arial"/>
          <w:color w:val="000000"/>
          <w:sz w:val="20"/>
          <w:lang w:val="en-US" w:eastAsia="en-US" w:bidi="ar-SA"/>
        </w:rPr>
        <w:t xml:space="preserve">, </w:t>
      </w:r>
      <w:hyperlink r:id="rId747" w:history="1">
        <w:r>
          <w:rPr>
            <w:rFonts w:ascii="arial" w:eastAsia="arial" w:hAnsi="arial" w:cs="arial"/>
            <w:i/>
            <w:color w:val="0077CC"/>
            <w:sz w:val="20"/>
            <w:u w:val="single"/>
            <w:shd w:val="clear" w:color="auto" w:fill="FFFFFF"/>
            <w:lang w:val="en-US" w:eastAsia="en-US" w:bidi="ar-SA"/>
          </w:rPr>
          <w:t>2005 BCCA 560</w:t>
        </w:r>
      </w:hyperlink>
      <w:r>
        <w:rPr>
          <w:rFonts w:ascii="arial" w:eastAsia="arial" w:hAnsi="arial" w:cs="arial"/>
          <w:color w:val="000000"/>
          <w:sz w:val="20"/>
          <w:lang w:val="en-US" w:eastAsia="en-US" w:bidi="ar-SA"/>
        </w:rPr>
        <w:t xml:space="preserve">, this passage from </w:t>
      </w:r>
      <w:r>
        <w:rPr>
          <w:rFonts w:ascii="arial" w:eastAsia="arial" w:hAnsi="arial" w:cs="arial"/>
          <w:b/>
          <w:i/>
          <w:color w:val="000000"/>
          <w:sz w:val="20"/>
          <w:lang w:val="en-US" w:eastAsia="en-US" w:bidi="ar-SA"/>
        </w:rPr>
        <w:t>Pryor v. Bains</w:t>
      </w:r>
      <w:r>
        <w:rPr>
          <w:rFonts w:ascii="arial" w:eastAsia="arial" w:hAnsi="arial" w:cs="arial"/>
          <w:color w:val="000000"/>
          <w:sz w:val="20"/>
          <w:lang w:val="en-US" w:eastAsia="en-US" w:bidi="ar-SA"/>
        </w:rPr>
        <w:t xml:space="preserve"> does not mean that a pre-existing condition must be already manifest and disabling for the "crumbling skull" rule to apply; it simply means that manifest and disabling conditions should be taken into account.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The Supreme Court of Canada further explained the "crumbling skull" rule in </w:t>
      </w:r>
      <w:r>
        <w:rPr>
          <w:rFonts w:ascii="arial" w:eastAsia="arial" w:hAnsi="arial" w:cs="arial"/>
          <w:b/>
          <w:i/>
          <w:color w:val="000000"/>
          <w:sz w:val="20"/>
          <w:lang w:val="en-US" w:eastAsia="en-US" w:bidi="ar-SA"/>
        </w:rPr>
        <w:t>Athey</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at para. 35:</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The so-called "crumbling skull" rule simply recognizes that the pre-existing condition was inherent in the plaintiff's "original position". The defendant need not put the plaintiff in a position </w:t>
      </w:r>
      <w:r>
        <w:rPr>
          <w:rFonts w:ascii="arial" w:eastAsia="arial" w:hAnsi="arial" w:cs="arial"/>
          <w:color w:val="000000"/>
          <w:sz w:val="20"/>
          <w:u w:val="single"/>
          <w:lang w:val="en-US" w:eastAsia="en-US" w:bidi="ar-SA"/>
        </w:rPr>
        <w:t>better</w:t>
      </w:r>
      <w:r>
        <w:rPr>
          <w:rFonts w:ascii="arial" w:eastAsia="arial" w:hAnsi="arial" w:cs="arial"/>
          <w:color w:val="000000"/>
          <w:sz w:val="20"/>
          <w:lang w:val="en-US" w:eastAsia="en-US" w:bidi="ar-SA"/>
        </w:rPr>
        <w:t xml:space="preserve"> than his or her original position. The defendant is liable for the injuries caused, even if they are extreme, but need not compensate the plaintiff for any debilitating effects of the pre-existing condition which the plaintiff would have experienced anyway. The defendant is liable for the additional damage but not the pre-existing damage: Cooper-Stephenson,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pp. 779-780 and John Munkman, </w:t>
      </w:r>
      <w:r>
        <w:rPr>
          <w:rFonts w:ascii="arial" w:eastAsia="arial" w:hAnsi="arial" w:cs="arial"/>
          <w:i/>
          <w:color w:val="000000"/>
          <w:sz w:val="20"/>
          <w:lang w:val="en-US" w:eastAsia="en-US" w:bidi="ar-SA"/>
        </w:rPr>
        <w:t>Damages for Personal Injuries and Death</w:t>
      </w:r>
      <w:r>
        <w:rPr>
          <w:rFonts w:ascii="arial" w:eastAsia="arial" w:hAnsi="arial" w:cs="arial"/>
          <w:color w:val="000000"/>
          <w:sz w:val="20"/>
          <w:lang w:val="en-US" w:eastAsia="en-US" w:bidi="ar-SA"/>
        </w:rPr>
        <w:t xml:space="preserve"> (9th ed. 1993), at pp. 39-40. Likewise, </w:t>
      </w:r>
      <w:r>
        <w:rPr>
          <w:rFonts w:ascii="arial" w:eastAsia="arial" w:hAnsi="arial" w:cs="arial"/>
          <w:b/>
          <w:color w:val="000000"/>
          <w:sz w:val="20"/>
          <w:lang w:val="en-US" w:eastAsia="en-US" w:bidi="ar-SA"/>
        </w:rPr>
        <w:t xml:space="preserve">if there is a measurable risk that the pre-existing condition would have detrimentally affected the plaintiff in the future, regardless of the defendant's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then this can be taken into account in reducing the overall award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 xml:space="preserve">Graham v. Rourke, </w:t>
      </w:r>
      <w:hyperlink r:id="rId748" w:history="1">
        <w:r>
          <w:rPr>
            <w:rFonts w:ascii="arial" w:eastAsia="arial" w:hAnsi="arial" w:cs="arial"/>
            <w:i/>
            <w:color w:val="0077CC"/>
            <w:sz w:val="20"/>
            <w:u w:val="single"/>
            <w:shd w:val="clear" w:color="auto" w:fill="FFFFFF"/>
            <w:lang w:val="en-US" w:eastAsia="en-US" w:bidi="ar-SA"/>
          </w:rPr>
          <w:t>74 D.L.R. (4th) 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Malec v. J.C. Hutton Proprietary Ltd., 169 C.L.R. 638</w:t>
      </w:r>
      <w:r>
        <w:rPr>
          <w:rFonts w:ascii="arial" w:eastAsia="arial" w:hAnsi="arial" w:cs="arial"/>
          <w:color w:val="000000"/>
          <w:sz w:val="20"/>
          <w:lang w:val="en-US" w:eastAsia="en-US" w:bidi="ar-SA"/>
        </w:rPr>
        <w:t xml:space="preserve">; Cooper-Stephenson,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at pp. 851-852. This is consistent with the general rule that the plaintiff must be returned to the position he would have been in, with all of its attendant risks and shortcomings, and not a better position. (emphasis added)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This "measurable risk", being a future hypothetical event, need not be proven on a balance of probabilities; it is to be given weight according to its relative likelihood: </w:t>
      </w:r>
      <w:r>
        <w:rPr>
          <w:rFonts w:ascii="arial" w:eastAsia="arial" w:hAnsi="arial" w:cs="arial"/>
          <w:b/>
          <w:i/>
          <w:color w:val="000000"/>
          <w:sz w:val="20"/>
          <w:lang w:val="en-US" w:eastAsia="en-US" w:bidi="ar-SA"/>
        </w:rPr>
        <w:t>Athey</w:t>
      </w:r>
      <w:r>
        <w:rPr>
          <w:rFonts w:ascii="arial" w:eastAsia="arial" w:hAnsi="arial" w:cs="arial"/>
          <w:i/>
          <w:color w:val="000000"/>
          <w:sz w:val="20"/>
          <w:lang w:val="en-US" w:eastAsia="en-US" w:bidi="ar-SA"/>
        </w:rPr>
        <w:t>, supra</w:t>
      </w:r>
      <w:r>
        <w:rPr>
          <w:rFonts w:ascii="arial" w:eastAsia="arial" w:hAnsi="arial" w:cs="arial"/>
          <w:color w:val="000000"/>
          <w:sz w:val="20"/>
          <w:lang w:val="en-US" w:eastAsia="en-US" w:bidi="ar-SA"/>
        </w:rPr>
        <w:t>, at para. 27.</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As I understand </w:t>
      </w:r>
      <w:r>
        <w:rPr>
          <w:rFonts w:ascii="arial" w:eastAsia="arial" w:hAnsi="arial" w:cs="arial"/>
          <w:b/>
          <w:i/>
          <w:color w:val="000000"/>
          <w:sz w:val="20"/>
          <w:lang w:val="en-US" w:eastAsia="en-US" w:bidi="ar-SA"/>
        </w:rPr>
        <w:t>Athey</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and many of the cases that have considered it, the distinction between "thin skull" and "crumbling skull" does not depend on whether the plaintiff's pre-existing condition was active immediately before the second source or cause of injury. A weakness inherent in a plaintiff, which might realistically cause or contribute to a loss, regardless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a defendant, is relevant in the assessment of damages: see </w:t>
      </w:r>
      <w:r>
        <w:rPr>
          <w:rFonts w:ascii="arial" w:eastAsia="arial" w:hAnsi="arial" w:cs="arial"/>
          <w:b/>
          <w:i/>
          <w:color w:val="000000"/>
          <w:sz w:val="20"/>
          <w:lang w:val="en-US" w:eastAsia="en-US" w:bidi="ar-SA"/>
        </w:rPr>
        <w:t>T.W.N.A. v. Canada</w:t>
      </w:r>
      <w:r>
        <w:rPr>
          <w:rFonts w:ascii="arial" w:eastAsia="arial" w:hAnsi="arial" w:cs="arial"/>
          <w:color w:val="000000"/>
          <w:sz w:val="20"/>
          <w:lang w:val="en-US" w:eastAsia="en-US" w:bidi="ar-SA"/>
        </w:rPr>
        <w:t xml:space="preserve"> </w:t>
      </w:r>
      <w:hyperlink r:id="rId79" w:history="1">
        <w:r>
          <w:rPr>
            <w:rFonts w:ascii="arial" w:eastAsia="arial" w:hAnsi="arial" w:cs="arial"/>
            <w:i/>
            <w:color w:val="0077CC"/>
            <w:sz w:val="20"/>
            <w:u w:val="single"/>
            <w:shd w:val="clear" w:color="auto" w:fill="FFFFFF"/>
            <w:lang w:val="en-US" w:eastAsia="en-US" w:bidi="ar-SA"/>
          </w:rPr>
          <w:t>(2003), 22 B.C.L.R. (4th) 1</w:t>
        </w:r>
      </w:hyperlink>
      <w:r>
        <w:rPr>
          <w:rFonts w:ascii="arial" w:eastAsia="arial" w:hAnsi="arial" w:cs="arial"/>
          <w:color w:val="000000"/>
          <w:sz w:val="20"/>
          <w:lang w:val="en-US" w:eastAsia="en-US" w:bidi="ar-SA"/>
        </w:rPr>
        <w:t xml:space="preserve"> (C.A.) at para. 48, </w:t>
      </w:r>
      <w:hyperlink r:id="rId79" w:history="1">
        <w:r>
          <w:rPr>
            <w:rFonts w:ascii="arial" w:eastAsia="arial" w:hAnsi="arial" w:cs="arial"/>
            <w:i/>
            <w:color w:val="0077CC"/>
            <w:sz w:val="20"/>
            <w:u w:val="single"/>
            <w:shd w:val="clear" w:color="auto" w:fill="FFFFFF"/>
            <w:lang w:val="en-US" w:eastAsia="en-US" w:bidi="ar-SA"/>
          </w:rPr>
          <w:t>2003 BCCA 670</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York v. Johnston</w:t>
      </w:r>
      <w:r>
        <w:rPr>
          <w:rFonts w:ascii="arial" w:eastAsia="arial" w:hAnsi="arial" w:cs="arial"/>
          <w:color w:val="000000"/>
          <w:sz w:val="20"/>
          <w:lang w:val="en-US" w:eastAsia="en-US" w:bidi="ar-SA"/>
        </w:rPr>
        <w:t xml:space="preserve"> </w:t>
      </w:r>
      <w:hyperlink r:id="rId80" w:history="1">
        <w:r>
          <w:rPr>
            <w:rFonts w:ascii="arial" w:eastAsia="arial" w:hAnsi="arial" w:cs="arial"/>
            <w:i/>
            <w:color w:val="0077CC"/>
            <w:sz w:val="20"/>
            <w:u w:val="single"/>
            <w:shd w:val="clear" w:color="auto" w:fill="FFFFFF"/>
            <w:lang w:val="en-US" w:eastAsia="en-US" w:bidi="ar-SA"/>
          </w:rPr>
          <w:t>(1997), 37 B.C.L.R. (3d) 235</w:t>
        </w:r>
      </w:hyperlink>
      <w:r>
        <w:rPr>
          <w:rFonts w:ascii="arial" w:eastAsia="arial" w:hAnsi="arial" w:cs="arial"/>
          <w:color w:val="000000"/>
          <w:sz w:val="20"/>
          <w:lang w:val="en-US" w:eastAsia="en-US" w:bidi="ar-SA"/>
        </w:rPr>
        <w:t xml:space="preserve"> (C.A.), </w:t>
      </w:r>
      <w:r>
        <w:rPr>
          <w:rFonts w:ascii="arial" w:eastAsia="arial" w:hAnsi="arial" w:cs="arial"/>
          <w:b/>
          <w:i/>
          <w:color w:val="000000"/>
          <w:sz w:val="20"/>
          <w:lang w:val="en-US" w:eastAsia="en-US" w:bidi="ar-SA"/>
        </w:rPr>
        <w:t>McKelvie v. Ng</w:t>
      </w:r>
      <w:r>
        <w:rPr>
          <w:rFonts w:ascii="arial" w:eastAsia="arial" w:hAnsi="arial" w:cs="arial"/>
          <w:color w:val="000000"/>
          <w:sz w:val="20"/>
          <w:lang w:val="en-US" w:eastAsia="en-US" w:bidi="ar-SA"/>
        </w:rPr>
        <w:t xml:space="preserve"> </w:t>
      </w:r>
      <w:hyperlink r:id="rId155" w:history="1">
        <w:r>
          <w:rPr>
            <w:rFonts w:ascii="arial" w:eastAsia="arial" w:hAnsi="arial" w:cs="arial"/>
            <w:i/>
            <w:color w:val="0077CC"/>
            <w:sz w:val="20"/>
            <w:u w:val="single"/>
            <w:shd w:val="clear" w:color="auto" w:fill="FFFFFF"/>
            <w:lang w:val="en-US" w:eastAsia="en-US" w:bidi="ar-SA"/>
          </w:rPr>
          <w:t>(2001), 90 B.C.L.R. (3d) 62</w:t>
        </w:r>
      </w:hyperlink>
      <w:r>
        <w:rPr>
          <w:rFonts w:ascii="arial" w:eastAsia="arial" w:hAnsi="arial" w:cs="arial"/>
          <w:color w:val="000000"/>
          <w:sz w:val="20"/>
          <w:lang w:val="en-US" w:eastAsia="en-US" w:bidi="ar-SA"/>
        </w:rPr>
        <w:t xml:space="preserve">, </w:t>
      </w:r>
      <w:hyperlink r:id="rId155" w:history="1">
        <w:r>
          <w:rPr>
            <w:rFonts w:ascii="arial" w:eastAsia="arial" w:hAnsi="arial" w:cs="arial"/>
            <w:i/>
            <w:color w:val="0077CC"/>
            <w:sz w:val="20"/>
            <w:u w:val="single"/>
            <w:shd w:val="clear" w:color="auto" w:fill="FFFFFF"/>
            <w:lang w:val="en-US" w:eastAsia="en-US" w:bidi="ar-SA"/>
          </w:rPr>
          <w:t>2001 BCCA 384</w:t>
        </w:r>
      </w:hyperlink>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As set out in </w:t>
      </w:r>
      <w:r>
        <w:rPr>
          <w:rFonts w:ascii="arial" w:eastAsia="arial" w:hAnsi="arial" w:cs="arial"/>
          <w:b/>
          <w:i/>
          <w:color w:val="000000"/>
          <w:sz w:val="20"/>
          <w:lang w:val="en-US" w:eastAsia="en-US" w:bidi="ar-SA"/>
        </w:rPr>
        <w:t>Athey</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and the other cases, the main objective is to reflect the difference between the plaintiff's original position and his injured position. If there is a measurable risk that a pre-existing condition would have detrimentally affected him in the future, regardless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then this contingency should be accounted for in reducing the amount of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this case, there is little evidence that the plaintiff's previous injuries would have affected him in the future. In cross-examination, Dr. Frankel agreed that the plaintiff may be more susceptible to back injury. Dr. Schweigel testified that if the previous accidents caused neck and back pain, and pain was in place two to three weeks before August 6, 2003, then he could not attribute the subject accident to all of his problems. Dr. Schweigel did not comment on whether this would apply if there was one episode of pain after a period without symptoms.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In this case, I have found that the plaintiff had substantially recovered from his previous injuries at the time of the subject accident, and that the back pain he experienced in July 2003 was of a minor nature. Whatever the cause of that back pain, it is my view that the evidence described above does not support a finding that there was a measurable risk that the plaintiff had a pre-existing condition which would have detrimentally affected him in the future, regardless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Accordingly, I do not consider this to be a "crumbling skull" case.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Non-pecuniary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Dr. Cowley, counsel for the plaintiff, characterized the plaintiff's injuries as moderate soft tissue with chronic pain and psychological symptoms. He submitted that the non-pecuniary damages should be approximately $40,000.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Mr. Thomson characterized the plaintiff's injuries as minor soft tissue with two weeks of total disability and 15 months partial disability. He submitted that the damages should be in the range of $2,500 to $7,500, or in any event, less than $10,000.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Dr. Cowley relied on two Court of Appeal decisions which, he says, established a range of damages for soft tissue injuries with some emotional problems from a low of $30,000 or $35,000 to $40,000: </w:t>
      </w:r>
      <w:r>
        <w:rPr>
          <w:rFonts w:ascii="arial" w:eastAsia="arial" w:hAnsi="arial" w:cs="arial"/>
          <w:b/>
          <w:i/>
          <w:color w:val="000000"/>
          <w:sz w:val="20"/>
          <w:lang w:val="en-US" w:eastAsia="en-US" w:bidi="ar-SA"/>
        </w:rPr>
        <w:t>Baas v. Jellema</w:t>
      </w:r>
      <w:r>
        <w:rPr>
          <w:rFonts w:ascii="arial" w:eastAsia="arial" w:hAnsi="arial" w:cs="arial"/>
          <w:color w:val="000000"/>
          <w:sz w:val="20"/>
          <w:lang w:val="en-US" w:eastAsia="en-US" w:bidi="ar-SA"/>
        </w:rPr>
        <w:t xml:space="preserve"> </w:t>
      </w:r>
      <w:hyperlink r:id="rId749" w:history="1">
        <w:r>
          <w:rPr>
            <w:rFonts w:ascii="arial" w:eastAsia="arial" w:hAnsi="arial" w:cs="arial"/>
            <w:i/>
            <w:color w:val="0077CC"/>
            <w:sz w:val="20"/>
            <w:u w:val="single"/>
            <w:shd w:val="clear" w:color="auto" w:fill="FFFFFF"/>
            <w:lang w:val="en-US" w:eastAsia="en-US" w:bidi="ar-SA"/>
          </w:rPr>
          <w:t>(1998), 48 B.C.L.R. (3d) 310</w:t>
        </w:r>
      </w:hyperlink>
      <w:r>
        <w:rPr>
          <w:rFonts w:ascii="arial" w:eastAsia="arial" w:hAnsi="arial" w:cs="arial"/>
          <w:color w:val="000000"/>
          <w:sz w:val="20"/>
          <w:lang w:val="en-US" w:eastAsia="en-US" w:bidi="ar-SA"/>
        </w:rPr>
        <w:t xml:space="preserve"> (C.A.); </w:t>
      </w:r>
      <w:r>
        <w:rPr>
          <w:rFonts w:ascii="arial" w:eastAsia="arial" w:hAnsi="arial" w:cs="arial"/>
          <w:b/>
          <w:i/>
          <w:color w:val="000000"/>
          <w:sz w:val="20"/>
          <w:lang w:val="en-US" w:eastAsia="en-US" w:bidi="ar-SA"/>
        </w:rPr>
        <w:t>Unger v. Singh</w:t>
      </w:r>
      <w:r>
        <w:rPr>
          <w:rFonts w:ascii="arial" w:eastAsia="arial" w:hAnsi="arial" w:cs="arial"/>
          <w:color w:val="000000"/>
          <w:sz w:val="20"/>
          <w:lang w:val="en-US" w:eastAsia="en-US" w:bidi="ar-SA"/>
        </w:rPr>
        <w:t xml:space="preserve"> </w:t>
      </w:r>
      <w:hyperlink r:id="rId750" w:history="1">
        <w:r>
          <w:rPr>
            <w:rFonts w:ascii="arial" w:eastAsia="arial" w:hAnsi="arial" w:cs="arial"/>
            <w:i/>
            <w:color w:val="0077CC"/>
            <w:sz w:val="20"/>
            <w:u w:val="single"/>
            <w:shd w:val="clear" w:color="auto" w:fill="FFFFFF"/>
            <w:lang w:val="en-US" w:eastAsia="en-US" w:bidi="ar-SA"/>
          </w:rPr>
          <w:t>(2000), 72 B.C.L.R. (3d) 353</w:t>
        </w:r>
      </w:hyperlink>
      <w:r>
        <w:rPr>
          <w:rFonts w:ascii="arial" w:eastAsia="arial" w:hAnsi="arial" w:cs="arial"/>
          <w:color w:val="000000"/>
          <w:sz w:val="20"/>
          <w:lang w:val="en-US" w:eastAsia="en-US" w:bidi="ar-SA"/>
        </w:rPr>
        <w:t xml:space="preserve">, </w:t>
      </w:r>
      <w:hyperlink r:id="rId750" w:history="1">
        <w:r>
          <w:rPr>
            <w:rFonts w:ascii="arial" w:eastAsia="arial" w:hAnsi="arial" w:cs="arial"/>
            <w:i/>
            <w:color w:val="0077CC"/>
            <w:sz w:val="20"/>
            <w:u w:val="single"/>
            <w:shd w:val="clear" w:color="auto" w:fill="FFFFFF"/>
            <w:lang w:val="en-US" w:eastAsia="en-US" w:bidi="ar-SA"/>
          </w:rPr>
          <w:t>2000 BCCA 94</w:t>
        </w:r>
      </w:hyperlink>
      <w:r>
        <w:rPr>
          <w:rFonts w:ascii="arial" w:eastAsia="arial" w:hAnsi="arial" w:cs="arial"/>
          <w:color w:val="000000"/>
          <w:sz w:val="20"/>
          <w:lang w:val="en-US" w:eastAsia="en-US" w:bidi="ar-SA"/>
        </w:rPr>
        <w:t>. He then cited a number of cases where the amount of damages awarded for injuries analogous to the plaintiff ranged from $30,000 to $50,000.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None of these cases is truly comparable; each involved a plaintiff with some significant aspect of his or her injuries continuing indefinitely. Similarly, the range reviewed in </w:t>
      </w:r>
      <w:r>
        <w:rPr>
          <w:rFonts w:ascii="arial" w:eastAsia="arial" w:hAnsi="arial" w:cs="arial"/>
          <w:b/>
          <w:i/>
          <w:color w:val="000000"/>
          <w:sz w:val="20"/>
          <w:lang w:val="en-US" w:eastAsia="en-US" w:bidi="ar-SA"/>
        </w:rPr>
        <w:t>Baas v. Jellema</w:t>
      </w:r>
      <w:r>
        <w:rPr>
          <w:rFonts w:ascii="arial" w:eastAsia="arial" w:hAnsi="arial" w:cs="arial"/>
          <w:i/>
          <w:color w:val="000000"/>
          <w:sz w:val="20"/>
          <w:lang w:val="en-US" w:eastAsia="en-US" w:bidi="ar-SA"/>
        </w:rPr>
        <w:t>, supra,</w:t>
      </w:r>
      <w:r>
        <w:rPr>
          <w:rFonts w:ascii="arial" w:eastAsia="arial" w:hAnsi="arial" w:cs="arial"/>
          <w:color w:val="000000"/>
          <w:sz w:val="20"/>
          <w:lang w:val="en-US" w:eastAsia="en-US" w:bidi="ar-SA"/>
        </w:rPr>
        <w:t xml:space="preserve"> generally involved plaintiffs with on-going injuries or symptoms. </w:t>
      </w:r>
      <w:r>
        <w:rPr>
          <w:rFonts w:ascii="arial" w:eastAsia="arial" w:hAnsi="arial" w:cs="arial"/>
          <w:b/>
          <w:i/>
          <w:color w:val="000000"/>
          <w:sz w:val="20"/>
          <w:lang w:val="en-US" w:eastAsia="en-US" w:bidi="ar-SA"/>
        </w:rPr>
        <w:t>Unger v. Singh,</w:t>
      </w:r>
      <w:r>
        <w:rPr>
          <w:rFonts w:ascii="arial" w:eastAsia="arial" w:hAnsi="arial" w:cs="arial"/>
          <w:i/>
          <w:color w:val="000000"/>
          <w:sz w:val="20"/>
          <w:lang w:val="en-US" w:eastAsia="en-US" w:bidi="ar-SA"/>
        </w:rPr>
        <w:t xml:space="preserve"> supra</w:t>
      </w:r>
      <w:r>
        <w:rPr>
          <w:rFonts w:ascii="arial" w:eastAsia="arial" w:hAnsi="arial" w:cs="arial"/>
          <w:color w:val="000000"/>
          <w:sz w:val="20"/>
          <w:lang w:val="en-US" w:eastAsia="en-US" w:bidi="ar-SA"/>
        </w:rPr>
        <w:t>, involved a plaintiff with more serious injuries.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Ghazgbi v. Hibbard</w:t>
      </w:r>
      <w:r>
        <w:rPr>
          <w:rFonts w:ascii="arial" w:eastAsia="arial" w:hAnsi="arial" w:cs="arial"/>
          <w:color w:val="000000"/>
          <w:sz w:val="20"/>
          <w:lang w:val="en-US" w:eastAsia="en-US" w:bidi="ar-SA"/>
        </w:rPr>
        <w:t>, (April 16, 2004), New Westminster Registry S078611 (B.C.S.C.), the court awarded $30,000 to a plaintiff with chronic soft tissue injuries, who continued to suffer from headaches and neck pain almost three years after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An award of $40,000 was made in </w:t>
      </w:r>
      <w:r>
        <w:rPr>
          <w:rFonts w:ascii="arial" w:eastAsia="arial" w:hAnsi="arial" w:cs="arial"/>
          <w:b/>
          <w:i/>
          <w:color w:val="000000"/>
          <w:sz w:val="20"/>
          <w:lang w:val="en-US" w:eastAsia="en-US" w:bidi="ar-SA"/>
        </w:rPr>
        <w:t>Matkin v. Gaurian</w:t>
      </w:r>
      <w:r>
        <w:rPr>
          <w:rFonts w:ascii="arial" w:eastAsia="arial" w:hAnsi="arial" w:cs="arial"/>
          <w:color w:val="000000"/>
          <w:sz w:val="20"/>
          <w:lang w:val="en-US" w:eastAsia="en-US" w:bidi="ar-SA"/>
        </w:rPr>
        <w:t xml:space="preserve"> </w:t>
      </w:r>
      <w:hyperlink r:id="rId751" w:history="1">
        <w:r>
          <w:rPr>
            <w:rFonts w:ascii="arial" w:eastAsia="arial" w:hAnsi="arial" w:cs="arial"/>
            <w:i/>
            <w:color w:val="0077CC"/>
            <w:sz w:val="20"/>
            <w:u w:val="single"/>
            <w:shd w:val="clear" w:color="auto" w:fill="FFFFFF"/>
            <w:lang w:val="en-US" w:eastAsia="en-US" w:bidi="ar-SA"/>
          </w:rPr>
          <w:t>(2003), 122 A.C.W.S. (3d) 870</w:t>
        </w:r>
      </w:hyperlink>
      <w:r>
        <w:rPr>
          <w:rFonts w:ascii="arial" w:eastAsia="arial" w:hAnsi="arial" w:cs="arial"/>
          <w:color w:val="000000"/>
          <w:sz w:val="20"/>
          <w:lang w:val="en-US" w:eastAsia="en-US" w:bidi="ar-SA"/>
        </w:rPr>
        <w:t xml:space="preserve">, </w:t>
      </w:r>
      <w:hyperlink r:id="rId751" w:history="1">
        <w:r>
          <w:rPr>
            <w:rFonts w:ascii="arial" w:eastAsia="arial" w:hAnsi="arial" w:cs="arial"/>
            <w:i/>
            <w:color w:val="0077CC"/>
            <w:sz w:val="20"/>
            <w:u w:val="single"/>
            <w:shd w:val="clear" w:color="auto" w:fill="FFFFFF"/>
            <w:lang w:val="en-US" w:eastAsia="en-US" w:bidi="ar-SA"/>
          </w:rPr>
          <w:t>2003 BCSC 763</w:t>
        </w:r>
      </w:hyperlink>
      <w:r>
        <w:rPr>
          <w:rFonts w:ascii="arial" w:eastAsia="arial" w:hAnsi="arial" w:cs="arial"/>
          <w:color w:val="000000"/>
          <w:sz w:val="20"/>
          <w:lang w:val="en-US" w:eastAsia="en-US" w:bidi="ar-SA"/>
        </w:rPr>
        <w:t>. There, the plaintiff was involved in a terrifying accident, where her vehicle was struck by a tractor-trailer travelling in the wrong lane. She escaped serious injury because she was able to pull over enough to avoid direct impact. Her physical injuries resolved within six months, but she continued to have anxiety, which was likely to continue for the foreseeable future.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Kertz v. Sagmoen</w:t>
      </w:r>
      <w:r>
        <w:rPr>
          <w:rFonts w:ascii="arial" w:eastAsia="arial" w:hAnsi="arial" w:cs="arial"/>
          <w:color w:val="000000"/>
          <w:sz w:val="20"/>
          <w:lang w:val="en-US" w:eastAsia="en-US" w:bidi="ar-SA"/>
        </w:rPr>
        <w:t xml:space="preserve"> </w:t>
      </w:r>
      <w:hyperlink r:id="rId752" w:history="1">
        <w:r>
          <w:rPr>
            <w:rFonts w:ascii="arial" w:eastAsia="arial" w:hAnsi="arial" w:cs="arial"/>
            <w:i/>
            <w:color w:val="0077CC"/>
            <w:sz w:val="20"/>
            <w:u w:val="single"/>
            <w:shd w:val="clear" w:color="auto" w:fill="FFFFFF"/>
            <w:lang w:val="en-US" w:eastAsia="en-US" w:bidi="ar-SA"/>
          </w:rPr>
          <w:t>(1997), 73 A.C.W.S. (3d) 249</w:t>
        </w:r>
      </w:hyperlink>
      <w:r>
        <w:rPr>
          <w:rFonts w:ascii="arial" w:eastAsia="arial" w:hAnsi="arial" w:cs="arial"/>
          <w:color w:val="000000"/>
          <w:sz w:val="20"/>
          <w:lang w:val="en-US" w:eastAsia="en-US" w:bidi="ar-SA"/>
        </w:rPr>
        <w:t xml:space="preserve">, </w:t>
      </w:r>
      <w:hyperlink r:id="rId752" w:history="1">
        <w:r>
          <w:rPr>
            <w:rFonts w:ascii="arial" w:eastAsia="arial" w:hAnsi="arial" w:cs="arial"/>
            <w:i/>
            <w:color w:val="0077CC"/>
            <w:sz w:val="20"/>
            <w:u w:val="single"/>
            <w:shd w:val="clear" w:color="auto" w:fill="FFFFFF"/>
            <w:lang w:val="en-US" w:eastAsia="en-US" w:bidi="ar-SA"/>
          </w:rPr>
          <w:t>[1997] B.C.J. No. 1890</w:t>
        </w:r>
      </w:hyperlink>
      <w:r>
        <w:rPr>
          <w:rFonts w:ascii="arial" w:eastAsia="arial" w:hAnsi="arial" w:cs="arial"/>
          <w:color w:val="000000"/>
          <w:sz w:val="20"/>
          <w:lang w:val="en-US" w:eastAsia="en-US" w:bidi="ar-SA"/>
        </w:rPr>
        <w:t xml:space="preserve"> (S.C.), the plaintiff sought damages for injuries from two accidents. She had on-going headaches and pain in her back, neck and shoulder, with restricted movement. Full recovery was unlikely. She had also suffered from depression, a significant portion which was found to be attributable to the accidents. The court awarded her $45,000 in non-pecuniary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Ching v. McCabe et al</w:t>
      </w:r>
      <w:r>
        <w:rPr>
          <w:rFonts w:ascii="arial" w:eastAsia="arial" w:hAnsi="arial" w:cs="arial"/>
          <w:color w:val="000000"/>
          <w:sz w:val="20"/>
          <w:lang w:val="en-US" w:eastAsia="en-US" w:bidi="ar-SA"/>
        </w:rPr>
        <w:t>. (July 4, 2006), Victoria Registry 04-1942 (B.C.S.C.), the plaintiff had soft tissue injuries to her neck, shoulder and upper back, which caused headaches and a mild stress reaction. She had four years of pain and discomfort with limitation of movement and some restriction of activities, which was continuing to the future. She was awarded $50,000 for non-pecuniary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Mr. Thomson relied on a series of cases where the amount of damages ranged from $2,000 to $12,000. None of these cases was comparable; each involved injuries which resolved from six weeks to a year.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w:t>
      </w:r>
      <w:r>
        <w:rPr>
          <w:rFonts w:ascii="arial" w:eastAsia="arial" w:hAnsi="arial" w:cs="arial"/>
          <w:b/>
          <w:i/>
          <w:color w:val="000000"/>
          <w:sz w:val="20"/>
          <w:lang w:val="en-US" w:eastAsia="en-US" w:bidi="ar-SA"/>
        </w:rPr>
        <w:t>Snesar v. Black Top Cabs Ltd</w:t>
      </w:r>
      <w:r>
        <w:rPr>
          <w:rFonts w:ascii="arial" w:eastAsia="arial" w:hAnsi="arial" w:cs="arial"/>
          <w:color w:val="000000"/>
          <w:sz w:val="20"/>
          <w:lang w:val="en-US" w:eastAsia="en-US" w:bidi="ar-SA"/>
        </w:rPr>
        <w:t xml:space="preserve">. </w:t>
      </w:r>
      <w:hyperlink r:id="rId753" w:history="1">
        <w:r>
          <w:rPr>
            <w:rFonts w:ascii="arial" w:eastAsia="arial" w:hAnsi="arial" w:cs="arial"/>
            <w:i/>
            <w:color w:val="0077CC"/>
            <w:sz w:val="20"/>
            <w:u w:val="single"/>
            <w:shd w:val="clear" w:color="auto" w:fill="FFFFFF"/>
            <w:lang w:val="en-US" w:eastAsia="en-US" w:bidi="ar-SA"/>
          </w:rPr>
          <w:t>(2005), 26 M.V.R. (5th) 148</w:t>
        </w:r>
      </w:hyperlink>
      <w:r>
        <w:rPr>
          <w:rFonts w:ascii="arial" w:eastAsia="arial" w:hAnsi="arial" w:cs="arial"/>
          <w:color w:val="000000"/>
          <w:sz w:val="20"/>
          <w:lang w:val="en-US" w:eastAsia="en-US" w:bidi="ar-SA"/>
        </w:rPr>
        <w:t xml:space="preserve">, </w:t>
      </w:r>
      <w:hyperlink r:id="rId753" w:history="1">
        <w:r>
          <w:rPr>
            <w:rFonts w:ascii="arial" w:eastAsia="arial" w:hAnsi="arial" w:cs="arial"/>
            <w:i/>
            <w:color w:val="0077CC"/>
            <w:sz w:val="20"/>
            <w:u w:val="single"/>
            <w:shd w:val="clear" w:color="auto" w:fill="FFFFFF"/>
            <w:lang w:val="en-US" w:eastAsia="en-US" w:bidi="ar-SA"/>
          </w:rPr>
          <w:t>2005 BCPC 393</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Gill v. Mansour</w:t>
      </w:r>
      <w:r>
        <w:rPr>
          <w:rFonts w:ascii="arial" w:eastAsia="arial" w:hAnsi="arial" w:cs="arial"/>
          <w:color w:val="000000"/>
          <w:sz w:val="20"/>
          <w:lang w:val="en-US" w:eastAsia="en-US" w:bidi="ar-SA"/>
        </w:rPr>
        <w:t xml:space="preserve"> </w:t>
      </w:r>
      <w:hyperlink r:id="rId754" w:history="1">
        <w:r>
          <w:rPr>
            <w:rFonts w:ascii="arial" w:eastAsia="arial" w:hAnsi="arial" w:cs="arial"/>
            <w:i/>
            <w:color w:val="0077CC"/>
            <w:sz w:val="20"/>
            <w:u w:val="single"/>
            <w:shd w:val="clear" w:color="auto" w:fill="FFFFFF"/>
            <w:lang w:val="en-US" w:eastAsia="en-US" w:bidi="ar-SA"/>
          </w:rPr>
          <w:t>(2004), 135 A.C.W.S. (3d) 1053</w:t>
        </w:r>
      </w:hyperlink>
      <w:r>
        <w:rPr>
          <w:rFonts w:ascii="arial" w:eastAsia="arial" w:hAnsi="arial" w:cs="arial"/>
          <w:color w:val="000000"/>
          <w:sz w:val="20"/>
          <w:lang w:val="en-US" w:eastAsia="en-US" w:bidi="ar-SA"/>
        </w:rPr>
        <w:t xml:space="preserve">, </w:t>
      </w:r>
      <w:hyperlink r:id="rId754" w:history="1">
        <w:r>
          <w:rPr>
            <w:rFonts w:ascii="arial" w:eastAsia="arial" w:hAnsi="arial" w:cs="arial"/>
            <w:i/>
            <w:color w:val="0077CC"/>
            <w:sz w:val="20"/>
            <w:u w:val="single"/>
            <w:shd w:val="clear" w:color="auto" w:fill="FFFFFF"/>
            <w:lang w:val="en-US" w:eastAsia="en-US" w:bidi="ar-SA"/>
          </w:rPr>
          <w:t>2004 BCSC 1537</w:t>
        </w:r>
      </w:hyperlink>
      <w:r>
        <w:rPr>
          <w:rFonts w:ascii="arial" w:eastAsia="arial" w:hAnsi="arial" w:cs="arial"/>
          <w:color w:val="000000"/>
          <w:sz w:val="20"/>
          <w:lang w:val="en-US" w:eastAsia="en-US" w:bidi="ar-SA"/>
        </w:rPr>
        <w:t xml:space="preserve">, where the awards were $2,000 and $3,000 respectively, are clearly not applicable. Each involved minimal impact accidents where the plaintiffs' injuries substantially resolved within six to eight weeks. In </w:t>
      </w:r>
      <w:r>
        <w:rPr>
          <w:rFonts w:ascii="arial" w:eastAsia="arial" w:hAnsi="arial" w:cs="arial"/>
          <w:b/>
          <w:i/>
          <w:color w:val="000000"/>
          <w:sz w:val="20"/>
          <w:lang w:val="en-US" w:eastAsia="en-US" w:bidi="ar-SA"/>
        </w:rPr>
        <w:t>Al-Mundlawi v. Gara</w:t>
      </w:r>
      <w:r>
        <w:rPr>
          <w:rFonts w:ascii="arial" w:eastAsia="arial" w:hAnsi="arial" w:cs="arial"/>
          <w:color w:val="000000"/>
          <w:sz w:val="20"/>
          <w:lang w:val="en-US" w:eastAsia="en-US" w:bidi="ar-SA"/>
        </w:rPr>
        <w:t xml:space="preserve"> </w:t>
      </w:r>
      <w:hyperlink r:id="rId755" w:history="1">
        <w:r>
          <w:rPr>
            <w:rFonts w:ascii="arial" w:eastAsia="arial" w:hAnsi="arial" w:cs="arial"/>
            <w:i/>
            <w:color w:val="0077CC"/>
            <w:sz w:val="20"/>
            <w:u w:val="single"/>
            <w:shd w:val="clear" w:color="auto" w:fill="FFFFFF"/>
            <w:lang w:val="en-US" w:eastAsia="en-US" w:bidi="ar-SA"/>
          </w:rPr>
          <w:t>(2005), 139 A.C.W.S. (3d) 478</w:t>
        </w:r>
      </w:hyperlink>
      <w:r>
        <w:rPr>
          <w:rFonts w:ascii="arial" w:eastAsia="arial" w:hAnsi="arial" w:cs="arial"/>
          <w:color w:val="000000"/>
          <w:sz w:val="20"/>
          <w:lang w:val="en-US" w:eastAsia="en-US" w:bidi="ar-SA"/>
        </w:rPr>
        <w:t xml:space="preserve">, </w:t>
      </w:r>
      <w:hyperlink r:id="rId755" w:history="1">
        <w:r>
          <w:rPr>
            <w:rFonts w:ascii="arial" w:eastAsia="arial" w:hAnsi="arial" w:cs="arial"/>
            <w:i/>
            <w:color w:val="0077CC"/>
            <w:sz w:val="20"/>
            <w:u w:val="single"/>
            <w:shd w:val="clear" w:color="auto" w:fill="FFFFFF"/>
            <w:lang w:val="en-US" w:eastAsia="en-US" w:bidi="ar-SA"/>
          </w:rPr>
          <w:t>2005 BCSC 740</w:t>
        </w:r>
      </w:hyperlink>
      <w:r>
        <w:rPr>
          <w:rFonts w:ascii="arial" w:eastAsia="arial" w:hAnsi="arial" w:cs="arial"/>
          <w:color w:val="000000"/>
          <w:sz w:val="20"/>
          <w:lang w:val="en-US" w:eastAsia="en-US" w:bidi="ar-SA"/>
        </w:rPr>
        <w:t xml:space="preserve">, an award of $7,500 was given to a plaintiff for soft tissue injuries that resolved within eight months. There, the Court found that the plaintiff had seriously exaggerated his complaints and some were not attributable to the accident. A $10,000 award was given to the plaintiff in </w:t>
      </w:r>
      <w:r>
        <w:rPr>
          <w:rFonts w:ascii="arial" w:eastAsia="arial" w:hAnsi="arial" w:cs="arial"/>
          <w:b/>
          <w:color w:val="000000"/>
          <w:sz w:val="20"/>
          <w:lang w:val="en-US" w:eastAsia="en-US" w:bidi="ar-SA"/>
        </w:rPr>
        <w:t>Hall v. Day</w:t>
      </w:r>
      <w:r>
        <w:rPr>
          <w:rFonts w:ascii="arial" w:eastAsia="arial" w:hAnsi="arial" w:cs="arial"/>
          <w:color w:val="000000"/>
          <w:sz w:val="20"/>
          <w:lang w:val="en-US" w:eastAsia="en-US" w:bidi="ar-SA"/>
        </w:rPr>
        <w:t xml:space="preserve">, </w:t>
      </w:r>
      <w:hyperlink r:id="rId532" w:history="1">
        <w:r>
          <w:rPr>
            <w:rFonts w:ascii="arial" w:eastAsia="arial" w:hAnsi="arial" w:cs="arial"/>
            <w:i/>
            <w:color w:val="0077CC"/>
            <w:sz w:val="20"/>
            <w:u w:val="single"/>
            <w:shd w:val="clear" w:color="auto" w:fill="FFFFFF"/>
            <w:lang w:val="en-US" w:eastAsia="en-US" w:bidi="ar-SA"/>
          </w:rPr>
          <w:t>[2006] B.C.J. No. 1287</w:t>
        </w:r>
      </w:hyperlink>
      <w:r>
        <w:rPr>
          <w:rFonts w:ascii="arial" w:eastAsia="arial" w:hAnsi="arial" w:cs="arial"/>
          <w:color w:val="000000"/>
          <w:sz w:val="20"/>
          <w:lang w:val="en-US" w:eastAsia="en-US" w:bidi="ar-SA"/>
        </w:rPr>
        <w:t xml:space="preserve">, </w:t>
      </w:r>
      <w:hyperlink r:id="rId532" w:history="1">
        <w:r>
          <w:rPr>
            <w:rFonts w:ascii="arial" w:eastAsia="arial" w:hAnsi="arial" w:cs="arial"/>
            <w:i/>
            <w:color w:val="0077CC"/>
            <w:sz w:val="20"/>
            <w:u w:val="single"/>
            <w:shd w:val="clear" w:color="auto" w:fill="FFFFFF"/>
            <w:lang w:val="en-US" w:eastAsia="en-US" w:bidi="ar-SA"/>
          </w:rPr>
          <w:t>2006 BCSC 874</w:t>
        </w:r>
      </w:hyperlink>
      <w:r>
        <w:rPr>
          <w:rFonts w:ascii="arial" w:eastAsia="arial" w:hAnsi="arial" w:cs="arial"/>
          <w:color w:val="000000"/>
          <w:sz w:val="20"/>
          <w:lang w:val="en-US" w:eastAsia="en-US" w:bidi="ar-SA"/>
        </w:rPr>
        <w:t>, for soft tissue injuries that resolved within 10 months; the plaintiff was not a credible witness and there was little objective evidence to explain his complaints.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Kumar v. Canada Post Corp</w:t>
      </w:r>
      <w:r>
        <w:rPr>
          <w:rFonts w:ascii="arial" w:eastAsia="arial" w:hAnsi="arial" w:cs="arial"/>
          <w:color w:val="000000"/>
          <w:sz w:val="20"/>
          <w:lang w:val="en-US" w:eastAsia="en-US" w:bidi="ar-SA"/>
        </w:rPr>
        <w:t xml:space="preserve">., </w:t>
      </w:r>
      <w:hyperlink r:id="rId756" w:history="1">
        <w:r>
          <w:rPr>
            <w:rFonts w:ascii="arial" w:eastAsia="arial" w:hAnsi="arial" w:cs="arial"/>
            <w:i/>
            <w:color w:val="0077CC"/>
            <w:sz w:val="20"/>
            <w:u w:val="single"/>
            <w:shd w:val="clear" w:color="auto" w:fill="FFFFFF"/>
            <w:lang w:val="en-US" w:eastAsia="en-US" w:bidi="ar-SA"/>
          </w:rPr>
          <w:t>[2006] B.C.J. No. 49</w:t>
        </w:r>
      </w:hyperlink>
      <w:r>
        <w:rPr>
          <w:rFonts w:ascii="arial" w:eastAsia="arial" w:hAnsi="arial" w:cs="arial"/>
          <w:color w:val="000000"/>
          <w:sz w:val="20"/>
          <w:lang w:val="en-US" w:eastAsia="en-US" w:bidi="ar-SA"/>
        </w:rPr>
        <w:t xml:space="preserve">, </w:t>
      </w:r>
      <w:hyperlink r:id="rId756" w:history="1">
        <w:r>
          <w:rPr>
            <w:rFonts w:ascii="arial" w:eastAsia="arial" w:hAnsi="arial" w:cs="arial"/>
            <w:i/>
            <w:color w:val="0077CC"/>
            <w:sz w:val="20"/>
            <w:u w:val="single"/>
            <w:shd w:val="clear" w:color="auto" w:fill="FFFFFF"/>
            <w:lang w:val="en-US" w:eastAsia="en-US" w:bidi="ar-SA"/>
          </w:rPr>
          <w:t>2006 BCSC 54</w:t>
        </w:r>
      </w:hyperlink>
      <w:r>
        <w:rPr>
          <w:rFonts w:ascii="arial" w:eastAsia="arial" w:hAnsi="arial" w:cs="arial"/>
          <w:color w:val="000000"/>
          <w:sz w:val="20"/>
          <w:lang w:val="en-US" w:eastAsia="en-US" w:bidi="ar-SA"/>
        </w:rPr>
        <w:t>, the plaintiff sustained a mild to moderate soft tissue injury in a slight collision at slow speed. The acute phase of his injury resolved within a week to ten days, but he had ongoing, sporadic pain and discomfort for about 18 months. He had a significant pre-existing injury, which was asymptomatic at the time of the accident. The Court assessed general damages at $12,000, reduced by 20% due to the likelihood that the injuries would have resurfaced in any event.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The Court also awarded $12,000 in </w:t>
      </w:r>
      <w:r>
        <w:rPr>
          <w:rFonts w:ascii="arial" w:eastAsia="arial" w:hAnsi="arial" w:cs="arial"/>
          <w:b/>
          <w:i/>
          <w:color w:val="000000"/>
          <w:sz w:val="20"/>
          <w:lang w:val="en-US" w:eastAsia="en-US" w:bidi="ar-SA"/>
        </w:rPr>
        <w:t>Darji v. Regimbald</w:t>
      </w:r>
      <w:r>
        <w:rPr>
          <w:rFonts w:ascii="arial" w:eastAsia="arial" w:hAnsi="arial" w:cs="arial"/>
          <w:color w:val="000000"/>
          <w:sz w:val="20"/>
          <w:lang w:val="en-US" w:eastAsia="en-US" w:bidi="ar-SA"/>
        </w:rPr>
        <w:t xml:space="preserve">, </w:t>
      </w:r>
      <w:hyperlink r:id="rId757" w:history="1">
        <w:r>
          <w:rPr>
            <w:rFonts w:ascii="arial" w:eastAsia="arial" w:hAnsi="arial" w:cs="arial"/>
            <w:i/>
            <w:color w:val="0077CC"/>
            <w:sz w:val="20"/>
            <w:u w:val="single"/>
            <w:shd w:val="clear" w:color="auto" w:fill="FFFFFF"/>
            <w:lang w:val="en-US" w:eastAsia="en-US" w:bidi="ar-SA"/>
          </w:rPr>
          <w:t>[2006] B.C.J. No. 1197</w:t>
        </w:r>
      </w:hyperlink>
      <w:r>
        <w:rPr>
          <w:rFonts w:ascii="arial" w:eastAsia="arial" w:hAnsi="arial" w:cs="arial"/>
          <w:color w:val="000000"/>
          <w:sz w:val="20"/>
          <w:lang w:val="en-US" w:eastAsia="en-US" w:bidi="ar-SA"/>
        </w:rPr>
        <w:t xml:space="preserve">, </w:t>
      </w:r>
      <w:hyperlink r:id="rId757" w:history="1">
        <w:r>
          <w:rPr>
            <w:rFonts w:ascii="arial" w:eastAsia="arial" w:hAnsi="arial" w:cs="arial"/>
            <w:i/>
            <w:color w:val="0077CC"/>
            <w:sz w:val="20"/>
            <w:u w:val="single"/>
            <w:shd w:val="clear" w:color="auto" w:fill="FFFFFF"/>
            <w:lang w:val="en-US" w:eastAsia="en-US" w:bidi="ar-SA"/>
          </w:rPr>
          <w:t>2006 BCSC 834</w:t>
        </w:r>
      </w:hyperlink>
      <w:r>
        <w:rPr>
          <w:rFonts w:ascii="arial" w:eastAsia="arial" w:hAnsi="arial" w:cs="arial"/>
          <w:color w:val="000000"/>
          <w:sz w:val="20"/>
          <w:lang w:val="en-US" w:eastAsia="en-US" w:bidi="ar-SA"/>
        </w:rPr>
        <w:t>, which involved a minimal impact accident and mild soft tissue injuries that substantially resolved within ten months with minimal residual pain.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 do not consider these cases to be fairly comparable to this case. They all involve less serious injuries. The plaintiff here sustained moderate soft tissue injuries, as well as some rather significant anxiety, for an acute period of six months, on-going neck and back pain for another year, and some minor residual pain which is on-going. The injuries clearly affected the plaintiff's enjoyment of life for six months, and less so for the next year, and minimally at present.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Considering the cases, and the facts of this case, I assess non-pecuniary damages at $30,000.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Other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parties agreed on net wage loss, special damages, travel costs and interest in the amount of $1,180.53.</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Costs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No submissions were made on costs. Counsel may speak to costs if they are unable to agree.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FISHER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8" style="position:absolute;z-index:25187840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58"/>
          <w:headerReference w:type="default" r:id="rId759"/>
          <w:footerReference w:type="even" r:id="rId760"/>
          <w:footerReference w:type="default" r:id="rId761"/>
          <w:headerReference w:type="first" r:id="rId762"/>
          <w:footerReference w:type="first" r:id="rId76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64" w:history="1">
        <w:r>
          <w:rPr>
            <w:rFonts w:ascii="arial" w:eastAsia="arial" w:hAnsi="arial" w:cs="arial"/>
            <w:b/>
            <w:bCs/>
            <w:i/>
            <w:color w:val="0077CC"/>
            <w:kern w:val="32"/>
            <w:sz w:val="28"/>
            <w:szCs w:val="32"/>
            <w:u w:val="single"/>
            <w:shd w:val="clear" w:color="auto" w:fill="FFFFFF"/>
            <w:lang w:val="en-US" w:eastAsia="en-US" w:bidi="ar-SA"/>
          </w:rPr>
          <w:t>Peragine v. Serena, [2012] B.C.J. No. 1698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 Weatherill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July 23-27,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14,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M111319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[2012] B.C.J. No. 1698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2012 BCSC 1218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Michelle Peragine, Plaintiff, and Elia Serena,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(148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59" style="position:absolute;z-index:2516869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95" w:name="Keywords_27"/>
      <w:bookmarkEnd w:id="195"/>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 — Liability of driver — Action by plaintiff for damages arising from motor vehicle accident allowed in part — Defendant proceeded into intersection and collided with plaintiff — Defendant was 100 per cent liable for collision — Plaintiff proved on balance of probabilities that knee injury occurred during collision — Despite pain, she was living normal life and prognosis for recovery was good — Her career path was not affected by injury — She was awarded $40,000 in non-pecuniary damages, $939 in past wage loss and $120 in special expenses.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Physical and psychological injuries — Physical injuries — Leg injuries — Knee — Action by plaintiff for damages arising from motor vehicle accident allowed in part — Defendant proceeded into intersection and collided with plaintiff — Defendant was 100 per cent liable for collision — Plaintiff proved on balance of probabilities that knee injury occurred during collision — Despite pain, she was living normal life and prognosis for recovery was good — Her career path was not affected by injury — She was awarded $40,000 in non-pecuniary damages, $939 in past wage loss and $120 in special expenses.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Considerations — Extent of incapacity — Special damages — Past loss of income — Expenses and expenditures — Non-pecuniary loss — Action by plaintiff for damages arising from motor vehicle accident allowed in part — Defendant proceeded into intersection and collided with plaintiff — Defendant was 100 per cent liable for collision — Plaintiff proved on balance of probabilities that knee injury occurred during collision — Despite pain, she was living normal life and prognosis for recovery was good — Her career path was not affected by injury — She was awarded $40,000 in non-pecuniary damages, $939 in past wage loss and $120 in special expenses.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96" w:name="Case Summary_27"/>
            <w:bookmarkEnd w:id="19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 for damages arising from a motor vehicle accident. The plaintiff was driving southbound on a through highway toward an intersection. The cross street was controlled by a stop sign in both directions. The defendant was driving westbound on the cross street. She stopped at the stop sign and proceeded into the intersection, where she collided with the plaintiff. The plaintiff began to complain of pain in her left knee several weeks after the accident. She continued to suffered intense and ongoing pain in the knee. Two doctors agreed that the pain could have been caused by a blunt trauma. However, they also believed that the pain would resolve in three years at most, that there was no structural abnormality and that the plaintiff was not at risk of developing osteoarthritis as a result of the injury. One of the doctors added that there was nothing preventing the plaintiff from performing all normal daily activities and that she would be able to resume most sporting activities in time. The plaintiff's father confirmed that her life was not much different than it had been before the accident. The plaintiff had suffered a minor injury to the knee six years earlier, but the injury fully resolved soon after it occurred. The plaintiff was 21. She had been an accomplished high school athlete, in both soccer and track and field. She was in her first year of university at the time of the accident, but did not return after. She was presently employed as a legal assistant and hoped to become a paralegal. She claimed general damages for loss of enjoyment of life and loss of income earning capacity, non-pecuniary damages, past wage loss and special expenses.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97" w:name="Holdings of Court_22"/>
            <w:bookmarkEnd w:id="197"/>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defendant was 100 per cent liable for the collision. The plaintiff had the right of way. Her vehicle had either entered or was approaching the intersection so closely that it constituted an immediate hazard. It was there to be seen had the defendant been keeping a proper lookout. The plaintiff had no warning of or chance to avoid the collision. The plaintiff proved on a balance of probabilities that the injury occurred during the collision. Although she did not complain of pain until several weeks later, that time frame was consistent with her having settled back into her normal daily routine after the shock and distress of the accident and the pain becoming more noticeable. The only reasonable conclusion to draw from her having such pain a relatively short time after the accident was that an impact occurred during the accident that injured her knee but did not manifest itself for a few weeks. Despite the pain, the plaintiff was living a normal, enjoyable life and the prognosis for a full recovery was good. Her career path was not affected by the injury. She did not prove that there was a causal connection between the accident and her decision not to pursue a university degree. She was awarded $40,000 in non-pecuniary damages, $939 in past wage loss and $120 in special expenses.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98" w:name="Legislation Cited_16"/>
      <w:bookmarkEnd w:id="19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60" style="position:absolute;z-index:2517381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Motor Vehicle Act </w:t>
      </w:r>
      <w:hyperlink r:id="rId765" w:history="1">
        <w:r>
          <w:rPr>
            <w:rFonts w:ascii="arial" w:eastAsia="arial" w:hAnsi="arial" w:cs="arial"/>
            <w:i/>
            <w:color w:val="0077CC"/>
            <w:sz w:val="20"/>
            <w:u w:val="single"/>
            <w:shd w:val="clear" w:color="auto" w:fill="FFFFFF"/>
            <w:lang w:val="en-US" w:eastAsia="en-US" w:bidi="ar-SA"/>
          </w:rPr>
          <w:t>RSBC 1996, CHAPTER 318, s. 125</w:t>
        </w:r>
      </w:hyperlink>
      <w:r>
        <w:rPr>
          <w:rFonts w:ascii="arial" w:eastAsia="arial" w:hAnsi="arial" w:cs="arial"/>
          <w:color w:val="000000"/>
          <w:sz w:val="20"/>
          <w:lang w:val="en-US" w:eastAsia="en-US" w:bidi="ar-SA"/>
        </w:rPr>
        <w:t>, s. 175, s. 175(1), s. 175(2)</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99" w:name="Counsel_27"/>
      <w:bookmarkEnd w:id="19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61" style="position:absolute;z-index:2517893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J.M. Richter.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A. Kim.</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00" w:name="Judgment_27"/>
      <w:bookmarkEnd w:id="200"/>
      <w:r>
        <w:pict>
          <v:line id="_x0000_s1162" style="position:absolute;z-index:25183948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01" w:name="G. WEATHERILL J."/>
            <w:bookmarkEnd w:id="201"/>
            <w:r>
              <w:rPr>
                <w:rFonts w:ascii="arial" w:eastAsia="arial" w:hAnsi="arial" w:cs="arial"/>
                <w:b/>
                <w:color w:val="000000"/>
                <w:sz w:val="30"/>
                <w:lang w:val="en-US" w:eastAsia="en-US" w:bidi="ar-SA"/>
              </w:rPr>
              <w:t>G. WEATHERILL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action arises out of a motor vehicle accident that occurred on Friday, March 13, 2009 at the intersection of Willingdon Avenue and Pender Street in Burnaby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who at the time of the accident was an 18 year old "new" driver, was driving her father's 1984 Volkswagen Rabbit convertible southbound along Willingdon Avenue. The cross street, Pender Street, was controlled by a stop sign in both the easterly and westerly directions. The defendant was driving her 1996 Pontiac Grand Prix westbound along Pender St. and had stopped at the stop sign waiting for the traffic on Willingdon Ave. to clear so that she could cross it and continue westbound along Pender 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Facing the defendant as she was stopped at the stop sign was another sign, immediately below the stop sign, which prohibited traffic from turning left (southbound) or from proceeding westbound directly across Willingdon between the hours of 3:00 pm and 6:00 pm. There is an issue in this case as to whether the accident took place shortly before or shortly after 3:00 pm.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defendant's vehicle proceeded into the intersection and attempted to cross Willingdon Ave. so that she could continue westbound along Pender St. The left front of the plaintiff's vehicle collided with the right front of the defendant's vehicle. The impact was violent enough to spin the plaintiff's vehicle around by 70-80 degrees and push it to the west into the curb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alleges that she suffered various injuries, the most serious of which was to her left knee. The plaintiff alleges that prior to the accident she was a talented athlete who had a promising future in both track and field and soccer. She says that, as a result of the accident, she has been unable to pursue track and field activities and continues to suffer pain and discomfort in her knee. She claims general damages for loss of enjoyment of life and loss of income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Both liability and damages are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PLAINTIFF'S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following witnesses gave evidence as part of the plaintiff's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Rocco Peragine ("Rocco")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Rocco is the plaintiff's father. He was very much involved in his daughter's various sports activities while she was growing up, including track meets, soccer games, practices and tournaments. He described them in a general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He described Michelle as a fit and naturally gifted athlete who excelled in her school's sports activities. Her track and field events were the 100 meters, 200 meters, 400 meters and high jump. To this day, she still holds the record for the 400 meters in her age group. Throughout elementary and high school, she won many medals and other awards and was mentioned in various newspapers for her achievements.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Grade 12, there was a conflict between the school's track and field and soccer schedules. The school soccer team had a good opportunity to win the Provincial High School Soccer Championship so Michelle decided to focus on soccer that year rather than track and field. The team did indeed win the Provincial Championship.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After high school, during her first year at Simon Fraser University ("SFU"), the plaintiff decided to once again focus on track and field. She was eager to do so. She drew up her own training program and followed it. She was very disciplined.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Rocco testified that, in contrast to her level of activity before the accident, his daughter was markedly less active after the accident. She ices her leg often and, initially at least was "stuck in the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On cross-examination, the statement that he and his daughter gave to ICBC five days after the accident was put to him. It was signed by both of them. The statement did not refer to any injury to the plaintiff's knee. Rather, it limited her injuries to her neck, left shoulder and "left side". The statement went on to set out that the plaintiff did not pursue soccer at a high level because she wanted to concentrate on her studies and to keep working.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Rocco admitted on cross-examination that his daughter had suffered an injury to her left knee in 2005 during a soccer game. However, he stated that she only missed one game as a result. That was the only other injury that Rocco remembers the plaintiff suffering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Rocco admitted on cross-examination that, as far as he is concerned, his daughter's life now is not that much different than it was before the accident. She continues to do chores at home and seems to be able to do them without difficulty. She continues to have an active social life and live life as any normal 21 year old might be expected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Rocco was a credible witness and I accept his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Constable Londersele (RCMP)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 call about the accident was received by 911 emergency at 3:14 pm. Constable Londersele, who was on duty at the time in the Burnaby detachment's traffic division, was dispatched at 3:18 pm and arrived at the accident scene nine minutes later at 3:27 pm.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He inspected the vehicles and took statements from both the plaintiff and the defendant. Both advised him that the accident had occurred at approximately 3:00 pm. His impression was that any injuries that had been suffered were minor. He testified on cross-examination that, had the plaintiff complained to him of a sore knee, he would have made a note of it. There was no such note.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 location of the damage to the two vehicles was significant to him. The southbound plaintiff's vehicle was damaged on the front left side. The westbound defendant's vehicle was damaged on the right side in front of the front tire, from which Cst. Londersele concluded that the defendant's vehicle had not been very far into the path of the plaintiff's vehicle at the time of the collision. After reviewing the scene, Cst. Londersele concluded that the accident had been caused by the defendant entering the intersection and attempting to cross Willingdon Ave. and failing to yield the right of way to the plaintiff, contrary to section 175(1)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He issued a Violation Ticket to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He considered citing the defendant as well for attempting to cross Willingdon Ave. between the hours of 3:00 pm and 6:00 pm but, as the accident had happened so close to 3:00 pm, he decided to give her the benefit of the doubt and declined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Without the benefit of his notes, he was unable to recall much of the accident and his memory was refreshed by reviewing his notes and photographs of the scene. However, he did recall without the benefit of his notes that the defendant was very upset at having been issued a ticket and argued with him about it. This stood out in his mind.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Constable Londersele was a credible witness and I accept his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Michelle Peragine ("Michelle")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Michelle was born on September 27, 1990. She was 18 years of age and a relatively new driver at the time of the accident. She was 21 at the time of the trial. She had taken various driver training courses, including a lesson on how to drive a vehicle equipped with a manual transmission. She testified that she felt comfortable driving such vehicles.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Throughout elementary and high school, Michelle was known as a good athlete and was involved in several sports activities, primary among them soccer and track and field. She received many medals and other awards for her achievements. From Grades 8 to 12 she attended St. Thomas More Collegiate, a Catholic school known for its sports program. She had the reputation as being the "fastest girl in school", as she routinely beat older girls on the track. Of her track specialties noted above, her favourite was the 400 meter individual event in which she excelled. She spent her summers competing in track meets and usually came second to a girl named Sabrina who was a faster runner in the 100 meter and 200 meter events. Sabrina subsequently won a full track and field scholarship to Stanford University.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She played both high school and "league" soccer. In 2005 she injured her left knee during a soccer game after colliding "knee-on-knee" with an opposing player. She had one session of physiotherapy and only missed one soccer game. That injury fully resolved and it never bothered her again.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Grades 11 and 12, Michelle decided to concentrate on soccer because her high school team had a good chance to win the Provincial High School Soccer Championship. In her Grade 12 year, her high school team won the Provincial High School Soccer Championship. She did not receive or even pursue any scholarships at any post secondary institution.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the fall of 2008, Michelle enrolled in the arts program at SFU. Her best friend was also enrolled and was playing soccer on the SFU women's team. During the fall semester in 2008, Michelle took four courses and completed all required papers and exams. She described her marks as "average". At this time she was working part time at the Eagle Creek Golf Course as a server and at Boys' Co. in the Metrotown mall as a sales clerk.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Michelle testified that, by January 2009, she very much missed not being a part of a team. She felt that she wasn't being pushed. She missed track and field which had always been a part of her life that she very much enjoyed. She missed competing. She decided to return to track and field. She prepared a training/workout program and by early February 2009 had begun regularly working out, running and training. Her objective was to try to get on to the collegiate track and field team at SFU or, failing that, at the University of British Columbia or the University of Victoria.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During her cross-examination, she conceded that her goal was not to pursue track and field at a high level but rather to concentrate on her studies and keep working.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During the spring semester, she again was taking four courses and, prior to the accident on March 13, 2009, had completed all required papers and exams. She was doing "fine" in her studies. Her marks, again, were "average".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Shortly before 3:00 pm on March 13, 2009, the plaintiff was returning home after having dropped off a friend. She was driving her father's Volkswagen Rabbit convertible. There was a small dog in the vehicle who was lying on the front passenger seat. She testified that she drove with the driver's seat fairly close to the steering wheel such that the bottom of the dashboard panel was approximately 10 inches from her knees. She was comfortable driving in that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She was wearing her seat belt.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She had been travelling east on Hastings St. She turned south on to Willingdon Ave. That intersection is approximately 100 meters north of the intersection of Pender St. and Willingdon Ave. She was travelling southbound in the lane closest to the center line, having immediately moved to that lane from the curb lane which she had been in after turning on to Willingdon Ave. As she had just made the turn from Hastings St. her speed was only approximately 10 to 15 kilometers per hour. She was in second gear. There was little or no other traffic southbound. However, northbound traffic along Willingdon Ave. was stopped and solidly backed up in both lanes from Hastings St. to south of Pender St. There was a gap in the traffic at the Pender St. intersection. The time was approximately 3:00 pm. She saw two other vehicles move through the gap in the traffic and cross Willingdon Ave. ahead of her. She was approximately a one-half car length from the intersection when the defendant's vehicle suddenly came through the gap in the traffic. She did not see the defendant's vehicle until instantly before the collision and had no warning that a collision was about to happen. She testified that the force of the collision resulted in her vehicle being spun around approximately 90 degrees into the southbound curb lane, coming to rest in the location shown in the photos taken at the scene by the RCMP (Exhibit 1, Tab 6). Her vehicle remained there until it was towed.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impact of the collision resulted in her body being pushed forward and jolted to the left. Her head hit the steering wheel and she sustained a small gash on her forehead, although there was no bruising. She does not remember whether her left knee hit anything.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She was unable to open her driver's door without the assistance of a witness who forced it open from the outside.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She estimated that the police arrived at the scene approximately five to ten minutes after the collision had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She testified that she was "freaked out", hysterical, shocked and very emotional after the accident. Ambulance attendants checked the plaintiff at the scene and encouraged her to go to the hospital, but she declined. She did not complain of knee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Later that afternoon, her left knee became swollen although she did not think much of it. However, she did begin to complain of a headache, sore shoulder, neck and lower back. Her mother took her to the hospital emergency where she was examined and X-rays were taken. She was given a neck brace, a sling for her left arm and shoulder and Ibuprofen for her headache. These complaints subsided within a few weeks and were fully resolved within approximately one month. She did not mention any knee pain while at the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accident caused her to miss a few days of work at Boys' Co., where she worked as a sales clerk. She stopped her training program. She continued attending her classes at SFU.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She was able to write only one of her final exams in April 2009. She testified that she could not concentrate or study. Her mind was "somewhere else" and she had no motivation for her schooling.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She did not begin to feel any pain or discomfort in her left knee until approximately three weeks later. It then began to get sore. Pain would be triggered when she was standing or walking. The knee felt "hot inside" with a burning sensation. It was tender to the touch. She was elevating and icing her knee but there was no improvement. At times, her knee felt like a balloon about to explode. She was examined by her family physician who referred her to a physiotherapist. On July 27, 2009 she again consulted her family physician who noted that she was "having ongoing ... L knee pain ... after prolonged standing develops L knee swelling".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After 6 physiotherapy sessions (the last of which was on August 13, 2009), the pain in her knee was even more frequent and intense. On December 4, 2009, her family physician referred her to Dr. Kokan, an orthopaedic surgeon. His office advised that he would see her after an MRI had been performed. Michelle waited approximately eight months for the MRI.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While awaiting her MRI, Michelle enrolled in a Legal Assistant Course at Vancouver Community College. She is now working as a legal assistant at a small Vancouver law firm.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Michelle's first consultation with Dr. Kokan was on November 15, 2010. The MRI was normal and did not reveal anything untoward with her knee. Dr. Kokan gave her the option of arthroscopic surgery. Her parents supported her decision to have the surgery. That surgery took place in July 2011. Her recovery from the surgery was uneventful, however the symptoms in her knee did not abate. She testified that, if anything, the surgery made her pain worse. On cross-examination her examination for discovery transcript was put to her in which she was asked whether she has had any improvement with her left knee. She responded as follows:</w:t>
      </w:r>
      <w:r>
        <w:rPr>
          <w:rFonts w:ascii="arial" w:eastAsia="arial" w:hAnsi="arial" w:cs="arial"/>
          <w:sz w:val="20"/>
          <w:lang w:val="en-US" w:eastAsia="en-US" w:bidi="ar-SA"/>
        </w:rPr>
        <w:cr/>
      </w:r>
    </w:p>
    <w:p>
      <w:pPr>
        <w:numPr>
          <w:numId w:val="1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Since the surgery, yes. It's still not 100 percent, but it is better than it was before the surgery.</w:t>
      </w:r>
    </w:p>
    <w:p>
      <w:pPr>
        <w:numPr>
          <w:numId w:val="1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It's helped to a certain extent. The knee is not 100 percent, but it has helped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She was also asked during her examination for discovery whether, since she last saw Dr. Kokan, she feels she's had improvement in her left knee. Her answer was "Yes".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She continues to have intense pain in her knee, most notably when going up or down stairs and walking for extended periods. On those occasions she needs to sit and rest her knee before she can continue. She described her pain as varying in intensity day to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Counsel for the defendant made much of the fact that Michelle did not fully follow through on various exercises and exercise programs that had been recommended by Dr. Kokan. Michelle's response was "I wasn't able to do those exercises".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Michelle has a boyfriend of two and a half years. He attended SFU with a football scholarship and continues to be active in sports. Michelle is unable to enjoy sports activities with him due to her knee. Her intention is to eventually marry and have a family. She worries that she will be unable to help coach her children in the sports that she is passionate about and which were such a big part of her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When she was shown the myriad of medals and ribbons she had won, she broke down. They reminded her of good times in her life which she now feels she has been forced to give up. She is genuinely proud of her soccer and track and field accomplishments.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As mentioned, at the time of the accident, Michelle was working as a sales clerk at Boys' Co. She lost $600 in wages as a result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Michelle is currently working as a legal assistant at a small Vancouver law firm. She currently earns $32,000 per year. She enjoys her job and plans to stay for at least a few years. She would like to take the two year paralegal night school course offered by Vancouver Community College. She lost $339.15 in wages from the law firm as a result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 found Michelle to be a credible and reliable witness. She did not exaggerate the extent of her injuries, either to her doctor or to the Court. I have no hesitation accepting her evidence regarding the pain and suffering her left knee has caused her and the effect it has had on her daily life. I am satisfied that the answers she gave during her examination for discovery referred to above were given honestly at the time and that she did believe that there had been improvement on that day.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Winston Reckord ("Coach Reckord")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For the past 25 years, Coach Reckord has been a coach with a track and field club in Burnaby called the Burnaby Striders. Michelle joined the Burnaby Striders when she was 11 or 12 years old and stayed until she was 15 years old. Coach Reckord was her track and field coach throughout that period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He described Michelle as an excellent sprinter. He confirmed that Michelle was particularly good at the 400 meter individual event. He considered that she was the best 400 meter sprinter in the club while she was there. In Coach Reckord's view, Michelle had the skill, discipline and commitment to possibly go on to become a member of the British Columbia or Canada track and field teams. He also thought that she had the potential to go on to get a university scholarship in track and field as other Burnaby Striders sprinters had done. However, on cross-examination he conceded that he would have expected anyone with such aspirations to have stayed in the Burnaby Striders or an equivalent organization. He was disappointed when Michelle left the club when she was 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He agreed that it is much more difficult to become a member of a university track and field team as compared with a high school track and field team.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He also agreed that he has not seen Michelle for six years and that he is unable to predict what her prospects in track and field were when she was 18.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David Mattiazzo ("Coach Mattiazzo")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Coach Mattiazzo was Michelle's high school track and field coach. He described St. Thomas More Collegiate as a relatively small school (676 students) with a strong sense of community. Most students are involved in sports and athletics.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He described Michelle as a very successful high school athlete and one of the "poster girls" in the school. He testified that, in his view, Michelle had a lot of talent in track and field, had a great work ethic and was very dedicated and committed to training. He confirmed that Michelle stopped track and field in Grade 12 in order to play soccer, however his understanding was that she was simply taking a breather for one year in order to participate with the soccer team that had a good chance of winning the Provincial High School Soccer Championship.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He confirmed that university athletic scholarships are usually offered to students during their Grade 12 year while they are on a high school or club team. Michelle was not offered any scholarship.</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Carlo Zavarise ("Coach Zavarise")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Coach Zavarise has been a teacher at St. Thomas More Collegiate for the past 23 years. Michelle was a student in several of his classes. He was also Michelle's soccer coach during her Grade 10, 11 and 12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He described Michelle as a "very quick left sided" soccer player and generally appreciated her soccer abilities. In his experience such left footed players with speed are rare in soccer. He never witnessed her having any problem with her left knee - nor did she ever complain about her left knee.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Twelve or so of the girls Coach Zavarise has coached went on from St. Thomas More Collegiate to soccer scholarships in college and university. He compared Michelle to those girls and testified that she would was within the top six to eight of those 12 girls. He was surprised that Michelle did not play soccer at the post-secondary level. He was unable to say whether or not Michelle was skilled enough to play soccer at a U.S. college or university.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He confirmed that, to his knowledge, Michelle never received or even pursued a scholarship while she was in high school. He did not recall any discussions with Michelle regarding her career aspirations.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Peter Kokan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Dr. Kokan is an orthopaedic surgeon. Michelle was referred to him by her family physician in December 2009 after she had attended six physiotherapy sessions and had been told by her physiotherapist that her knee was getting worse rather than better. Michelle had had an MRI of her knee in October 2010. The MRI was "normal".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Michelle's first consultation with Dr. Kokan was on November 15, 2010. He examined Michelle's knee but, on that day, could not find any objective evidence of a significant problem with it. He found no visible swelling or asymmetry. There was no visible quadriceps or calf atrophy. She was able to squat fully and perform the "duck walk" without significant discomfort. In the standing position, the Thessaly test was negative. She had full range of motion in her left knee. She had no medial joint line pain or pain along the medial patellofemoral joint. In short, he found no objective evidence that there was a significant problem with Michelle's knee. He could not explain why she was experiencing pain. He mentioned that arthroscopic surgery could be considered in the future but did not feel that it would find anything untoward. He suggested that, has it had only been eight months since the accident, she should first exhaust other options, such as acupuncture or prolotherapy, although he didn't feel strongly that these other options would help.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Michelle returned to see Dr. Kokan on May 2, 2011. She complained that her left knee was constantly painful. His examination of her knee revealed that the pain was mostly under the lateral joint line anteriorly. He palpated the medial synovial plica in her left knee. That contributed to her pain. He told her that, although surgery was an option, he may not find anything and there was a possibility that there would be ongoing pain. She advised him that she had considered what he had told her about the risks and benefits of surgery and that she wanted to go ahead with it. In his words, she wanted to get to the bottom of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surgery took place on July 28, 2011 at Burnaby General Hospital. Dr. Kokan found a very large medial synovial plica as well as some redness within it. He concluded that this was at least one of the sources of Michelle's pain. The plica was removed. The rest of the joint cartilage in the knee and both medial and lateral menisci were normal. No other abnormalities were found.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Dr. Kokan saw Michelle again on February 23, 2012. She was still complaining of pain and throbbing in her left knee, however his examination of her revealed no obvious structural or surgical problems. He could not explain the cause of the pain other than the possibility of ongoing inflammation deep inside the knee following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He provided a medical legal report dated May 3, 2012. It was conceded by counsel for the defendant that he was an expert in his field with a specialty in knee surgery. He was qualified as such.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Dr. Kokan concluded that Michelle's pain in her left knee was and is caused by the medial synovial plica (which was removed during the surgery), patellofemoral pain syndrome and pes anserinus bursitis. It is his opinion that the motor vehicle collision on March 13, 2009 caused the onset of her left knee pain, which irritated the medial synovial plica. He acknowledges that there is controversy in the literature and within his profession regarding the function of the synovial plica and its contribution to symptoms. Some orthopedic surgeons, including Dr. Kokan, are of the view that it can make one susceptible to pain. Others are of the opinion that the plica has minimal, if any, impact on pain. Dr. Kokan concluded that Michelle's plica, which was in a vulnerable position, being suddenly impacted caused direct trauma and caused her to experience the pain she had reported. Moreover, the blunt impact of the accident also transmitted forces to other structures within her knee, including the patellofemoral joint.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Dr. Kokan also acknowledged that patellofemoral pain syndrome could be caused by a person being inactive and then suddenly becoming active.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In Dr. Kokan's opinion, it is likely that Michelle could continue to experience her pain symptoms for between two to three years. He expects that she will continue to experience difficulties with kneeling, walking, standing and negotiating stairs. He recommends that Michelle limit her sports to non-impact activities such as swimming or cycling.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In Dr. Kokan's opinion, Michelle's knee injury five years ago did not contribute to her current symptoms. It was an injury to her MCL (medial collateral ligament) that would have healed very quickly.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From his general interaction and dealings with Michelle, Dr. Kokan was confident that she was not exaggerating her symptoms and was not malingering. He was not surprised that Michelle did not initially report knee pain to the hospital or to ICBC or did not remember a direct impact to her knee.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 accept Dr. Kokan's description of Michelle's symptoms as described in his report. I also accept his opinion that the pain in her left knee was caused by a blunt impact during the March 13, 2009 collision and that it is possible for the injury to the knee to have occurred during the accident but the pain associated with that injury not to have manifested itself for three weeks to a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DEFENDANT'S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Defendant called the following witnesses as part of her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Elia Serena ("Elia")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Elia was the 67 year old driver of the other vehicle. She is a delightful mother of six children and a grandmother of two. She has had a valid B.C. driver's license for some 46 years. She has never before been in a motor vehicle accident or cited for a motor vehicle offence other than failing to wear a seat belt.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At the time of the accident she was employed as a teller at a branch of Vancouver City Savings located on Hastings St. one block east of Willingdon Ave. Her shift is from 9 am until 3 pm. She closes her teller's window at approximately 2:45 pm each day. She then performs her "balancing" function and is thereafter free to leave. On March 13, 2009 she parked her car facing west on Pender St. (a short block south of Hastings St. That afternoon she closed her teller's window at approximately 2:45 pm and completed her balancing very quickly. She departed her work before 3 pm, walked to her car and proceeded west along Pender St. to the intersection of Willingdon Ave. where there is a stop sign as well as a sign prohibiting left turns or proceeding through Willingdon Ave. between the hours of 3 pm and 6 pm.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She was very familiar with this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She came to a complete stop. Northbound traffic along Willingdon Ave. was stopped and backed up past the intersection in both northbound lanes. There was little traffic in the southbound lanes. There was a gap in the northbound cars approximately the width of Pender St. A car ahead of her proceeded through the gap across Willingdon Ave. and proceeded westbound along Pender 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She glanced at her watch. It was not quite 3 pm. She looked both to her left and to her right. On her right she could see that the traffic light at Hastings St. was red for vehicles travelling northbound. She testified that she could see "a bit but not much" of the southbound lanes and traffic. She did not see any southbound traffic. After a short period of time (she said during her evidence in chief that it was two to three seconds but during her examination for discovery had said it was two minutes) she proceeded through the gap in the northbound traffic intending to carry on westbound along Pender St. She estimated that she was travelling at approximately 10 to 15 kph when she crossed the center 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She did not see Michelle's vehicle until the collision. She testified that "had I seen it, I would have put on the brakes". The front of her vehicle was in the southbound center lane at the time of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On cross-examination she agreed that a red traffic light at Hastings St. meant that the east/west traffic along Hastings St. would have had a green light, that it would be expected that traffic would turn from Hastings St. south along Willingdon Ave. and that a reasonable driver would expect traffic southbound along Willingdon Ave. That, she said, is "why I went slow".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She agreed that the plaintiff's vehicle had the right of way and that she did not. However, she simply did not see the plaintiff's vehicle before the collision. In her words, "it happened so fast".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Elia was a truthful and credible witness. I have no difficulty believing her testimony.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Richard Kendall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Dr. Kendall is an orthopaedic surgeon who conducted an independent medical examination of Michelle and provided a medical-legal report to the defendant dated March 7,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plaintiff conceded that Dr. Kendall was an expert in the field of orthopaedic surgery with a specialty in knee surgery. He was qualified as such.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Dr. Kendall's opinion is that Michelle's knee symptoms are the result of patellofemoral syndrome, a painful condition thought to arise from abnormal articulation between the patella (kneecap) and the corresponding groove of the femur upon which it moves. Pain is the primary symptom and often gets worse with sitting with the knees flexed or going down stairs. Causes are varied, but include a blunt trauma to the knee. Dr. Kendall typically sees this syndrome in young women and people who have not been active but who become active over a short period of time. Symptoms exist despite normal MRI readings and no pathology within the knee being found during arthroscopy.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Dr. Kendall testified that patellofemoral syndrome can be very difficult to treat but recommends that Michelle be referred to a physiotherapist who is familiar with the treatment of patellofemoral disorders. He was also of the opinion that local treatment with ice and heat and perhaps a patellar tracking sleeve or wrap might be beneficial. He advised against further surgical procedures.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Dr. Kendall testified that, while there is no "quick fix" he was strongly of the view that Michelle's knee condition would respond to rest followed by a graduated activity program including stretching and strengthening and, give time and effort, she would be able to return to sporting activities. Assuming Michelle has proper guidance and undertakes a reasonable rehabilitation program, he expects that she will recover within 12 to 18 months. He does not expect there to be any degeneration of the knee.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Dr. Kendall does not believe that Michelle will have any restrictions to her ability to function on the job, as long as she has an opportunity to stand up and stretch her legs.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On cross-examination, Dr. Kendall agreed that different orthopaedic surgeons have varying theories as to the cause of, and may reasonably have different opinions as to the treatment for, patellofemoral syndrome. He was strongly of the view that people experiencing this syndrome need to be trained to exercise correctly and continue despite the pain in order to recondition the knee. He agreed, however, that there is a fine line that needs to be found for every patient between doing too little and doing too much.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Dr. Kendall did not criticize Michelle for having arthroscopic surgery. His only criticism is that she appears to have "fallen through the cracks", that her current exercise regime meets no more than the "minimum requirements" and that someone needs to provide her with proper guidance to come up with an appropriate rehabilitative program for her. Although the precise reason for her knee pain has not been identified, Dr. Kendall was confident that rehabilitative interventions do help.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When asked whether, had he known that Michelle's physiotherapist had told her that her physiotherapy treatments were making her condition worse, he might have changed his opinion, he said he might have, depending upon what the physiotherapist had been doing to her. He agreed that it is possible her physiotherapy was causing at least part of Michelle's problems, but if that was the case, the treatment should be re-examined, not stopped altogether. He agreed, however, that there are no guarantees that such a program will resolve her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Liability for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Section 175 of the Motor Vehicle Act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provides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xml:space="preserve"> (1) If a vehicle that is about to enter a through highway has stopped in compliance with section 186,</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driver of the vehicle must yield the right of way to traffic that has entered the intersection on the through highway or is approaching so closely on it that it constitutes an immediate hazard, and</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having yielded, the driver may proceed with caution.</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a vehicle is entering a through highway in compliance with subsection (1), traffic approaching the intersection on the highway must yield the right of way to the entering vehicle while it is proceeding into or across the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The defendant argues that she had stopped at the stop sign, looked for approaching traffic, saw none and proceeded. She argues that s. 175(2) therefore applies and it was up to the plaintiff to yield the right of way to her. She relies on the decisions of this court in </w:t>
      </w:r>
      <w:r>
        <w:rPr>
          <w:rFonts w:ascii="arial" w:eastAsia="arial" w:hAnsi="arial" w:cs="arial"/>
          <w:i/>
          <w:color w:val="000000"/>
          <w:sz w:val="20"/>
          <w:lang w:val="en-US" w:eastAsia="en-US" w:bidi="ar-SA"/>
        </w:rPr>
        <w:t>Sangha v. Chen,</w:t>
      </w:r>
      <w:r>
        <w:rPr>
          <w:rFonts w:ascii="arial" w:eastAsia="arial" w:hAnsi="arial" w:cs="arial"/>
          <w:color w:val="000000"/>
          <w:sz w:val="20"/>
          <w:lang w:val="en-US" w:eastAsia="en-US" w:bidi="ar-SA"/>
        </w:rPr>
        <w:t xml:space="preserve"> </w:t>
      </w:r>
      <w:hyperlink r:id="rId766" w:history="1">
        <w:r>
          <w:rPr>
            <w:rFonts w:ascii="arial" w:eastAsia="arial" w:hAnsi="arial" w:cs="arial"/>
            <w:i/>
            <w:color w:val="0077CC"/>
            <w:sz w:val="20"/>
            <w:u w:val="single"/>
            <w:shd w:val="clear" w:color="auto" w:fill="FFFFFF"/>
            <w:lang w:val="en-US" w:eastAsia="en-US" w:bidi="ar-SA"/>
          </w:rPr>
          <w:t>2012 BCSC 749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Gautreau v. Hollige</w:t>
      </w:r>
      <w:r>
        <w:rPr>
          <w:rFonts w:ascii="arial" w:eastAsia="arial" w:hAnsi="arial" w:cs="arial"/>
          <w:color w:val="000000"/>
          <w:sz w:val="20"/>
          <w:lang w:val="en-US" w:eastAsia="en-US" w:bidi="ar-SA"/>
        </w:rPr>
        <w:t xml:space="preserve">, </w:t>
      </w:r>
      <w:hyperlink r:id="rId767" w:history="1">
        <w:r>
          <w:rPr>
            <w:rFonts w:ascii="arial" w:eastAsia="arial" w:hAnsi="arial" w:cs="arial"/>
            <w:i/>
            <w:color w:val="0077CC"/>
            <w:sz w:val="20"/>
            <w:u w:val="single"/>
            <w:shd w:val="clear" w:color="auto" w:fill="FFFFFF"/>
            <w:lang w:val="en-US" w:eastAsia="en-US" w:bidi="ar-SA"/>
          </w:rPr>
          <w:t>2000 BCCA 390</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Nonis v. Granata</w:t>
      </w:r>
      <w:r>
        <w:rPr>
          <w:rFonts w:ascii="arial" w:eastAsia="arial" w:hAnsi="arial" w:cs="arial"/>
          <w:color w:val="000000"/>
          <w:sz w:val="20"/>
          <w:lang w:val="en-US" w:eastAsia="en-US" w:bidi="ar-SA"/>
        </w:rPr>
        <w:t xml:space="preserve">, </w:t>
      </w:r>
      <w:hyperlink r:id="rId768" w:history="1">
        <w:r>
          <w:rPr>
            <w:rFonts w:ascii="arial" w:eastAsia="arial" w:hAnsi="arial" w:cs="arial"/>
            <w:i/>
            <w:color w:val="0077CC"/>
            <w:sz w:val="20"/>
            <w:u w:val="single"/>
            <w:shd w:val="clear" w:color="auto" w:fill="FFFFFF"/>
            <w:lang w:val="en-US" w:eastAsia="en-US" w:bidi="ar-SA"/>
          </w:rPr>
          <w:t>2010 BCSC 1570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Sangha</w:t>
      </w:r>
      <w:r>
        <w:rPr>
          <w:rFonts w:ascii="arial" w:eastAsia="arial" w:hAnsi="arial" w:cs="arial"/>
          <w:color w:val="000000"/>
          <w:sz w:val="20"/>
          <w:lang w:val="en-US" w:eastAsia="en-US" w:bidi="ar-SA"/>
        </w:rPr>
        <w:t xml:space="preserve"> found that, although the plaintiff remained the dominant driver, he had a duty to exercise reasonable care even if those around him did not respect his dominant position (para. 36). The court applied s. 175(2)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It cited the decision of the British Columbia Court of Appeal in </w:t>
      </w:r>
      <w:r>
        <w:rPr>
          <w:rFonts w:ascii="arial" w:eastAsia="arial" w:hAnsi="arial" w:cs="arial"/>
          <w:i/>
          <w:color w:val="000000"/>
          <w:sz w:val="20"/>
          <w:lang w:val="en-US" w:eastAsia="en-US" w:bidi="ar-SA"/>
        </w:rPr>
        <w:t>Salaam v. Abramovic</w:t>
      </w:r>
      <w:r>
        <w:rPr>
          <w:rFonts w:ascii="arial" w:eastAsia="arial" w:hAnsi="arial" w:cs="arial"/>
          <w:color w:val="000000"/>
          <w:sz w:val="20"/>
          <w:lang w:val="en-US" w:eastAsia="en-US" w:bidi="ar-SA"/>
        </w:rPr>
        <w:t xml:space="preserve">, </w:t>
      </w:r>
      <w:hyperlink r:id="rId129" w:history="1">
        <w:r>
          <w:rPr>
            <w:rFonts w:ascii="arial" w:eastAsia="arial" w:hAnsi="arial" w:cs="arial"/>
            <w:i/>
            <w:color w:val="0077CC"/>
            <w:sz w:val="20"/>
            <w:u w:val="single"/>
            <w:shd w:val="clear" w:color="auto" w:fill="FFFFFF"/>
            <w:lang w:val="en-US" w:eastAsia="en-US" w:bidi="ar-SA"/>
          </w:rPr>
          <w:t>2010 BCCA 212</w:t>
        </w:r>
      </w:hyperlink>
      <w:r>
        <w:rPr>
          <w:rFonts w:ascii="arial" w:eastAsia="arial" w:hAnsi="arial" w:cs="arial"/>
          <w:color w:val="000000"/>
          <w:sz w:val="20"/>
          <w:lang w:val="en-US" w:eastAsia="en-US" w:bidi="ar-SA"/>
        </w:rPr>
        <w:t xml:space="preserve"> in which it was stated that, in addition to statutory duties, all drivers are subject to common law duties: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end, a court must determine whether, and to what extent, each of the players in an accident met their common law duties of care to other users of the road. In making that determination, a court will be informed by the rules of the road, but those rules do not eliminate the need to consider the reasonableness of the actions of the parties. This is both because the rules of the road cannot comprehensively cover all possible scenarios and because users of the road are expected to exercise reasonable care, even when others have failed to respect their right of way. While s. 175 of the Motor Vehicle Act and other rules of the road are important in determining whether the standard of care was met, they are not exclusive measures of that standard.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Sangha</w:t>
      </w:r>
      <w:r>
        <w:rPr>
          <w:rFonts w:ascii="arial" w:eastAsia="arial" w:hAnsi="arial" w:cs="arial"/>
          <w:color w:val="000000"/>
          <w:sz w:val="20"/>
          <w:lang w:val="en-US" w:eastAsia="en-US" w:bidi="ar-SA"/>
        </w:rPr>
        <w:t xml:space="preserve"> at para. 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The defendant cites </w:t>
      </w:r>
      <w:r>
        <w:rPr>
          <w:rFonts w:ascii="arial" w:eastAsia="arial" w:hAnsi="arial" w:cs="arial"/>
          <w:i/>
          <w:color w:val="000000"/>
          <w:sz w:val="20"/>
          <w:lang w:val="en-US" w:eastAsia="en-US" w:bidi="ar-SA"/>
        </w:rPr>
        <w:t>Gautreau</w:t>
      </w:r>
      <w:r>
        <w:rPr>
          <w:rFonts w:ascii="arial" w:eastAsia="arial" w:hAnsi="arial" w:cs="arial"/>
          <w:color w:val="000000"/>
          <w:sz w:val="20"/>
          <w:lang w:val="en-US" w:eastAsia="en-US" w:bidi="ar-SA"/>
        </w:rPr>
        <w:t xml:space="preserve"> for the proposition that the known presence of a gap in traffic stopped at an intersection (in the </w:t>
      </w:r>
      <w:r>
        <w:rPr>
          <w:rFonts w:ascii="arial" w:eastAsia="arial" w:hAnsi="arial" w:cs="arial"/>
          <w:i/>
          <w:color w:val="000000"/>
          <w:sz w:val="20"/>
          <w:lang w:val="en-US" w:eastAsia="en-US" w:bidi="ar-SA"/>
        </w:rPr>
        <w:t>Gautreau</w:t>
      </w:r>
      <w:r>
        <w:rPr>
          <w:rFonts w:ascii="arial" w:eastAsia="arial" w:hAnsi="arial" w:cs="arial"/>
          <w:color w:val="000000"/>
          <w:sz w:val="20"/>
          <w:lang w:val="en-US" w:eastAsia="en-US" w:bidi="ar-SA"/>
        </w:rPr>
        <w:t xml:space="preserve"> case it was a flashing green light indicating the presence of an cross walk) together with having observed two other vehicles cross Willingdon Ave. through the gap before the collision occurred ought to have put the plaintiff on warning that a third vehicle (the defendant's) might attempt the same thing. I note that, in </w:t>
      </w:r>
      <w:r>
        <w:rPr>
          <w:rFonts w:ascii="arial" w:eastAsia="arial" w:hAnsi="arial" w:cs="arial"/>
          <w:i/>
          <w:color w:val="000000"/>
          <w:sz w:val="20"/>
          <w:lang w:val="en-US" w:eastAsia="en-US" w:bidi="ar-SA"/>
        </w:rPr>
        <w:t>Gautreau</w:t>
      </w:r>
      <w:r>
        <w:rPr>
          <w:rFonts w:ascii="arial" w:eastAsia="arial" w:hAnsi="arial" w:cs="arial"/>
          <w:color w:val="000000"/>
          <w:sz w:val="20"/>
          <w:lang w:val="en-US" w:eastAsia="en-US" w:bidi="ar-SA"/>
        </w:rPr>
        <w:t>, the court had the benefit of an eyewitness account of the dominant driver's conduct and found that the dominant driver had been oblivious to the obvious presence of the servient driver at the stop sign as well as the presence of the flashing green light.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Nonis</w:t>
      </w:r>
      <w:r>
        <w:rPr>
          <w:rFonts w:ascii="arial" w:eastAsia="arial" w:hAnsi="arial" w:cs="arial"/>
          <w:color w:val="000000"/>
          <w:sz w:val="20"/>
          <w:lang w:val="en-US" w:eastAsia="en-US" w:bidi="ar-SA"/>
        </w:rPr>
        <w:t xml:space="preserve"> the plaintiff had stopped at a stop sign on Madison Ave. in Burnaby and was attempting to travel southbound across several lanes of Hastings St. At that intersection there were flashing green lights for traffic in the east/west direction. He did not see any vehicles in the eastbound curb lane. He slowly crossed the three westbound lanes, slowed as he began to cross the first of the eastbound lanes and then focused his attention on the eastbound curb lane. He did not see any vehicles approaching. The defendant was driving eastbound on Hastings St. in the curb lane and noticed that the traffic around him was moving slowly and that the traffic in the far left lane has stopped altogether. In that case, the surrounding circumstances were such that the court found that the defendant had failed to keep a proper lookout. In doing so, the court referred to the decision of the Supreme Court of Canada in </w:t>
      </w:r>
      <w:r>
        <w:rPr>
          <w:rFonts w:ascii="arial" w:eastAsia="arial" w:hAnsi="arial" w:cs="arial"/>
          <w:i/>
          <w:color w:val="000000"/>
          <w:sz w:val="20"/>
          <w:lang w:val="en-US" w:eastAsia="en-US" w:bidi="ar-SA"/>
        </w:rPr>
        <w:t>Walker v. Brownlee</w:t>
      </w:r>
      <w:r>
        <w:rPr>
          <w:rFonts w:ascii="arial" w:eastAsia="arial" w:hAnsi="arial" w:cs="arial"/>
          <w:color w:val="000000"/>
          <w:sz w:val="20"/>
          <w:lang w:val="en-US" w:eastAsia="en-US" w:bidi="ar-SA"/>
        </w:rPr>
        <w:t xml:space="preserve">, </w:t>
      </w:r>
      <w:hyperlink r:id="rId734" w:history="1">
        <w:r>
          <w:rPr>
            <w:rFonts w:ascii="arial" w:eastAsia="arial" w:hAnsi="arial" w:cs="arial"/>
            <w:i/>
            <w:color w:val="0077CC"/>
            <w:sz w:val="20"/>
            <w:u w:val="single"/>
            <w:shd w:val="clear" w:color="auto" w:fill="FFFFFF"/>
            <w:lang w:val="en-US" w:eastAsia="en-US" w:bidi="ar-SA"/>
          </w:rPr>
          <w:t>[1952] 2 D.L.R. 450</w:t>
        </w:r>
      </w:hyperlink>
      <w:r>
        <w:rPr>
          <w:rFonts w:ascii="arial" w:eastAsia="arial" w:hAnsi="arial" w:cs="arial"/>
          <w:color w:val="000000"/>
          <w:sz w:val="20"/>
          <w:lang w:val="en-US" w:eastAsia="en-US" w:bidi="ar-SA"/>
        </w:rPr>
        <w:t xml:space="preserve"> (S.C.C.) where, at p. 461, Cartwright J. adopted the principle that the dominant driver ought not to exercise his right of way if the circumstances are such that the result of his doing so will be a collision which he reasonably should have foreseen and avoided: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when A, the driver in the servient position, proceeds through an intersection in complete disregard of his statutory duty to yield the right-of-way and a collision results, if he seeks to cast any portion of the blame upon B, the driver having the right-of-way, A must establish that after B became aware, or by the exercise of reasonable care should have become aware, of A's disregard of the law B had in fact a sufficient opportunity to avoid the accident of which a reasonably careful and skilful driver would have availed himself; and I do not think that in such circumstances any doubts should be resolved in favour of A, whose unlawful conduct was </w:t>
      </w:r>
      <w:r>
        <w:rPr>
          <w:rFonts w:ascii="arial" w:eastAsia="arial" w:hAnsi="arial" w:cs="arial"/>
          <w:i/>
          <w:color w:val="000000"/>
          <w:sz w:val="20"/>
          <w:lang w:val="en-US" w:eastAsia="en-US" w:bidi="ar-SA"/>
        </w:rPr>
        <w:t>fons et origo mali</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The dominant driver is not required to take extraordinary steps to avoid the collision: </w:t>
      </w:r>
      <w:r>
        <w:rPr>
          <w:rFonts w:ascii="arial" w:eastAsia="arial" w:hAnsi="arial" w:cs="arial"/>
          <w:i/>
          <w:color w:val="000000"/>
          <w:sz w:val="20"/>
          <w:lang w:val="en-US" w:eastAsia="en-US" w:bidi="ar-SA"/>
        </w:rPr>
        <w:t>Nonis</w:t>
      </w:r>
      <w:r>
        <w:rPr>
          <w:rFonts w:ascii="arial" w:eastAsia="arial" w:hAnsi="arial" w:cs="arial"/>
          <w:color w:val="000000"/>
          <w:sz w:val="20"/>
          <w:lang w:val="en-US" w:eastAsia="en-US" w:bidi="ar-SA"/>
        </w:rPr>
        <w:t xml:space="preserve"> at para. 11, citing </w:t>
      </w:r>
      <w:r>
        <w:rPr>
          <w:rFonts w:ascii="arial" w:eastAsia="arial" w:hAnsi="arial" w:cs="arial"/>
          <w:i/>
          <w:color w:val="000000"/>
          <w:sz w:val="20"/>
          <w:lang w:val="en-US" w:eastAsia="en-US" w:bidi="ar-SA"/>
        </w:rPr>
        <w:t>Salaam</w:t>
      </w:r>
      <w:r>
        <w:rPr>
          <w:rFonts w:ascii="arial" w:eastAsia="arial" w:hAnsi="arial" w:cs="arial"/>
          <w:color w:val="000000"/>
          <w:sz w:val="20"/>
          <w:lang w:val="en-US" w:eastAsia="en-US" w:bidi="ar-SA"/>
        </w:rPr>
        <w:t xml:space="preserve"> at para.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In my view, the evidence in the case is clear that the plaintiff's vehicle, travelling southbound on a through highway, had either entered or was approaching the intersection of Willingdon Ave. and Pender St. so closely that it constituted an immediate hazard. Elia proceeded into the intersection because she simply did not see the plaintiff's vehicle. She ought to have. It was plainly there to be seen had she been keeping a proper lookout. The fact that Elia did not see the immediate hazard does not entitle her to ignore it and require that the dominant vehicle yield to her. Elia did not have the right of way - Michelle did. Michelle had no warning of or chance to avoid the collision. The defendant clearly violated section 175(1)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She is therefore not entitled to the protection of subsection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xml:space="preserve">  Section 125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provides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xml:space="preserve"> Unless otherwise directed by a peace officer or a person authorized by a peace officer to direct traffic, every driver of a vehicle and every pedestrian must obey the instructions of an applicable traffic control device.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The defendant knew that crossing through the intersection was prohibited between the hours of 3 pm and 6 pm. She insists that she attempted to cross shortly before 3 pm. She says that she closed her till at approximately 2:45 pm, then balanced her records, left work, walked the block or so to her car, got in and drove the block or so to the Willingdon Ave. intersection, waited a few seconds and then proceeded through the gap in traffic thinking that southbound traffic was clear.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Both the plaintiff and the defendant said that the accident occurred at approximately 3 pm. Defendant's counsel submits that the defendant said she glanced at her watch and saw that it was just before 3 pm and that there was no evidence to dispute that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Plaintiff's counsel submitted that the collision more likely occurred at around 3:15 p.m. He points to the following facts:</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shift at work finishes at 3 pm, not before. Employees of banks don't typically leave work early;</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evidence during her discovery was that she waited at the intersection for 2 minutes, not 2 seconds as she testified at trial;</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accident occurred on a Friday afternoon at rush hour. There were many vehicles around. There was a bus stop at that intersection. There were many people who must have witnessed the accident;</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vehicle was leaking fluid onto the street. The plaintiff could not get out of her vehicle without the help of a witness; and</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911 emergency received a call regarding the accident at 15:14:30 pm.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Plaintiff counsel argues that, in this day and age, with most people having mobile telephones, with the number of people at that intersection who must have witnessed the collision and given that the collision was violent, spun the plaintiff's vehicle around, fluid was leaking and the plaintiff could not open her door, the compelling inference is that someone called the police to report the accident shortly after it happened, not 15 minutes later. I 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I find that the defendant attempted to cross the intersection after 3 pm when she was prohibited by a traffic control device, namely a sign, from doing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xml:space="preserve">  I find that the defendant is 100% liable for the collision and the injuries that Michelle suffered as a result. There was no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DID THE COLLISION CAUSE MICHELLE'S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xml:space="preserve">  A plaintiff must prove on a balance of probabilities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or materially contributed to an injury.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need not be the sole cause of the injury so long as it is part of the cause beyond the </w:t>
      </w:r>
      <w:r>
        <w:rPr>
          <w:rFonts w:ascii="arial" w:eastAsia="arial" w:hAnsi="arial" w:cs="arial"/>
          <w:i/>
          <w:color w:val="000000"/>
          <w:sz w:val="20"/>
          <w:lang w:val="en-US" w:eastAsia="en-US" w:bidi="ar-SA"/>
        </w:rPr>
        <w:t>de minimus</w:t>
      </w:r>
      <w:r>
        <w:rPr>
          <w:rFonts w:ascii="arial" w:eastAsia="arial" w:hAnsi="arial" w:cs="arial"/>
          <w:color w:val="000000"/>
          <w:sz w:val="20"/>
          <w:lang w:val="en-US" w:eastAsia="en-US" w:bidi="ar-SA"/>
        </w:rPr>
        <w:t xml:space="preserve"> range. There is no requirement that causation be proven with scientific precision: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3"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paras. 13-17; </w:t>
      </w:r>
      <w:r>
        <w:rPr>
          <w:rFonts w:ascii="arial" w:eastAsia="arial" w:hAnsi="arial" w:cs="arial"/>
          <w:i/>
          <w:color w:val="000000"/>
          <w:sz w:val="20"/>
          <w:lang w:val="en-US" w:eastAsia="en-US" w:bidi="ar-SA"/>
        </w:rPr>
        <w:t>Ng v. Sarkaria</w:t>
      </w:r>
      <w:r>
        <w:rPr>
          <w:rFonts w:ascii="arial" w:eastAsia="arial" w:hAnsi="arial" w:cs="arial"/>
          <w:color w:val="000000"/>
          <w:sz w:val="20"/>
          <w:lang w:val="en-US" w:eastAsia="en-US" w:bidi="ar-SA"/>
        </w:rPr>
        <w:t xml:space="preserve">, </w:t>
      </w:r>
      <w:hyperlink r:id="rId769" w:history="1">
        <w:r>
          <w:rPr>
            <w:rFonts w:ascii="arial" w:eastAsia="arial" w:hAnsi="arial" w:cs="arial"/>
            <w:i/>
            <w:color w:val="0077CC"/>
            <w:sz w:val="20"/>
            <w:u w:val="single"/>
            <w:shd w:val="clear" w:color="auto" w:fill="FFFFFF"/>
            <w:lang w:val="en-US" w:eastAsia="en-US" w:bidi="ar-SA"/>
          </w:rPr>
          <w:t>2011 BCSC 1643</w:t>
        </w:r>
      </w:hyperlink>
      <w:r>
        <w:rPr>
          <w:rFonts w:ascii="arial" w:eastAsia="arial" w:hAnsi="arial" w:cs="arial"/>
          <w:color w:val="000000"/>
          <w:sz w:val="20"/>
          <w:lang w:val="en-US" w:eastAsia="en-US" w:bidi="ar-SA"/>
        </w:rPr>
        <w:t xml:space="preserve"> at para. 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xml:space="preserve">  The test for causation is whether, but 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plaintiff would have suffered the injury. The "but for" test recognized that compensation for negligent conduct should only be made where a substantial connection between the injury and the defendant's conduct is proven: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77" w:history="1">
        <w:r>
          <w:rPr>
            <w:rFonts w:ascii="arial" w:eastAsia="arial" w:hAnsi="arial" w:cs="arial"/>
            <w:i/>
            <w:color w:val="0077CC"/>
            <w:sz w:val="20"/>
            <w:u w:val="single"/>
            <w:shd w:val="clear" w:color="auto" w:fill="FFFFFF"/>
            <w:lang w:val="en-US" w:eastAsia="en-US" w:bidi="ar-SA"/>
          </w:rPr>
          <w:t>[2007] 1 S.C.R. 333</w:t>
        </w:r>
      </w:hyperlink>
      <w:r>
        <w:rPr>
          <w:rFonts w:ascii="arial" w:eastAsia="arial" w:hAnsi="arial" w:cs="arial"/>
          <w:color w:val="000000"/>
          <w:sz w:val="20"/>
          <w:lang w:val="en-US" w:eastAsia="en-US" w:bidi="ar-SA"/>
        </w:rPr>
        <w:t xml:space="preserve">, at paras. 21-23; </w:t>
      </w:r>
      <w:r>
        <w:rPr>
          <w:rFonts w:ascii="arial" w:eastAsia="arial" w:hAnsi="arial" w:cs="arial"/>
          <w:i/>
          <w:color w:val="000000"/>
          <w:sz w:val="20"/>
          <w:lang w:val="en-US" w:eastAsia="en-US" w:bidi="ar-SA"/>
        </w:rPr>
        <w:t>Clements v. Clements</w:t>
      </w:r>
      <w:r>
        <w:rPr>
          <w:rFonts w:ascii="arial" w:eastAsia="arial" w:hAnsi="arial" w:cs="arial"/>
          <w:color w:val="000000"/>
          <w:sz w:val="20"/>
          <w:lang w:val="en-US" w:eastAsia="en-US" w:bidi="ar-SA"/>
        </w:rPr>
        <w:t xml:space="preserve">, </w:t>
      </w:r>
      <w:hyperlink r:id="rId11" w:history="1">
        <w:r>
          <w:rPr>
            <w:rFonts w:ascii="arial" w:eastAsia="arial" w:hAnsi="arial" w:cs="arial"/>
            <w:i/>
            <w:color w:val="0077CC"/>
            <w:sz w:val="20"/>
            <w:u w:val="single"/>
            <w:shd w:val="clear" w:color="auto" w:fill="FFFFFF"/>
            <w:lang w:val="en-US" w:eastAsia="en-US" w:bidi="ar-SA"/>
          </w:rPr>
          <w:t>2012 SCC 32</w:t>
        </w:r>
      </w:hyperlink>
      <w:r>
        <w:rPr>
          <w:rFonts w:ascii="arial" w:eastAsia="arial" w:hAnsi="arial" w:cs="arial"/>
          <w:color w:val="000000"/>
          <w:sz w:val="20"/>
          <w:lang w:val="en-US" w:eastAsia="en-US" w:bidi="ar-SA"/>
        </w:rPr>
        <w:t xml:space="preserve"> at para.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There is no question that the injuries Michelle suffered to her forehead, shoulder, neck and back were caused by the collision. All of those injuries were minor and completely resolved within a few weeks. None have reoccurred.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The main issue in this case is whether Michelle's left knee problems were caused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The defendant argues that the plaintiff has not established on the balance of probabilities that her knee was injured during the accident. She points to the following evidence:</w:t>
      </w:r>
      <w:r>
        <w:rPr>
          <w:rFonts w:ascii="arial" w:eastAsia="arial" w:hAnsi="arial" w:cs="arial"/>
          <w:sz w:val="20"/>
          <w:lang w:val="en-US" w:eastAsia="en-US" w:bidi="ar-SA"/>
        </w:rPr>
        <w:cr/>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does not recall an impact to her knee</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she did not complain of any pain in her knee until a few weeks after the accident</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Dr. Kokan testified that a moderate impact or axial loading to the knee would be noticeable right after the accident.</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MRI was normal and the arthroscopy of the left knee was essentially normal</w:t>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despite the plaintiff complaining of "constant pain and swelling" in her left knee, no swelling was found by Dr. Kokan during his various examinations of her knee.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The defendant points to other plausible explanations for the plaintiff's knee pain:</w:t>
      </w:r>
      <w:r>
        <w:rPr>
          <w:rFonts w:ascii="arial" w:eastAsia="arial" w:hAnsi="arial" w:cs="arial"/>
          <w:sz w:val="20"/>
          <w:lang w:val="en-US" w:eastAsia="en-US" w:bidi="ar-SA"/>
        </w:rPr>
        <w:cr/>
      </w:r>
    </w:p>
    <w:p>
      <w:pPr>
        <w:numPr>
          <w:numId w:val="1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irritation of the plica, which is common in athletes</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repetitive running activities</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patellofemoral pain can be caused by a period of increased activity after a prolonged period of lack of exercise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Patellofemoral syndrome is a term used by orthopaedic surgeons to describe knee pain for which there is no anatomical explanation. There are many theories as to why patients experience such pain but no medically definitive answers.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Despite the foregoing, in my view Michelle has proven on the balance of probabilities that the injury to her left knee occurred during the collision of March 13, 2009. Although her left knee had been injured playing soccer 6 years earlier, that injury was minor and had fully resolved very soon after it occurred. Both Dr. Kokan and Dr. Kendall agreed that her current knee condition could have been caused by a blunt trauma. Although Michelle did not first begin to complain of knee pain until several weeks after the accident, that time frame is consistent with her having settled back into her normal daily routine after the shock and distress of the accident and her other injuries and the knee pain becoming more noticeable. There is no other explanation for why she would have such pain a relatively short time after the accident. On the whole of the evidence before me, I find that there was nothing wrong with Michelle's left knee prior to the collision. The only reasonable conclusion is that an impact occurred during the collision that injured her knee which did not manifest itself for a few weeks.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Once the plaintiff proves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or materially contributed to her injury, she is entitled to be placed, so far as money can do so, in the same position she would have been in had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not occurred. The defendant is not obliged to compensate the plaintiff for any debilitating effects of a pre-existing condition which the plaintiff would have experienced regardless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paras. 32-35; </w:t>
      </w:r>
      <w:r>
        <w:rPr>
          <w:rFonts w:ascii="arial" w:eastAsia="arial" w:hAnsi="arial" w:cs="arial"/>
          <w:i/>
          <w:color w:val="000000"/>
          <w:sz w:val="20"/>
          <w:lang w:val="en-US" w:eastAsia="en-US" w:bidi="ar-SA"/>
        </w:rPr>
        <w:t>Ng</w:t>
      </w:r>
      <w:r>
        <w:rPr>
          <w:rFonts w:ascii="arial" w:eastAsia="arial" w:hAnsi="arial" w:cs="arial"/>
          <w:color w:val="000000"/>
          <w:sz w:val="20"/>
          <w:lang w:val="en-US" w:eastAsia="en-US" w:bidi="ar-SA"/>
        </w:rPr>
        <w:t xml:space="preserve"> at para. 10.</w:t>
      </w:r>
      <w:r>
        <w:rPr>
          <w:rFonts w:ascii="arial" w:eastAsia="arial" w:hAnsi="arial" w:cs="arial"/>
          <w:sz w:val="20"/>
          <w:lang w:val="en-US" w:eastAsia="en-US" w:bidi="ar-SA"/>
        </w:rPr>
        <w:cr/>
      </w:r>
    </w:p>
    <w:p>
      <w:pPr>
        <w:numPr>
          <w:numId w:val="1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All of the injuries Michelle suffered to her forehead, shoulder, neck and back were minor and completely resolved within a few weeks. None have reoccurred, although she does have a small, residual but indiscreet scar on her forehead.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However there is no question that, since the collision, Michelle has experienced and is continuing to experience intense and ongoing pain in her left knee. She is unable to climb or descend stairs or even walk or stand for prolonged periods of time without significant pain and having to sit and rest her knee. She is unable to participate in sporting activities which she has grown up doing and which are her passion.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Both Dr. Kokan and Dr. Kendall are of the opinion that Michelle has no structural abnormality on the lateral side of her knee where her pain is and she is not at risk of developing osteoarthritis as a result of her knee injury. Both are of the view that Michelle's knee pain will resolve in time. Dr. Kendall's opinion was that there is nothing preventing her from performing all normal daily living activities and expects her to be able to resume most sporting activities. It will take time for her to be able to resume more vigorous sporting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Michelle's father confirmed that her life now is not that much different than it was before the accident. She continues to do chores at home and seems to be able to do them without difficulty. She continues to have an active social life and live life as any normal 21 year old might be expected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Prior to the accident, Michelle was fit and active. She was an accomplished high school athlete both as a soccer player and in track and field. Although she made a conscious decision in Grade 12 to leave track and field so she could concentrate on soccer, mid way through her first year at SFU she decided to return to track and field and attempt to qualify for that university's track and field team. She began a new workout and fitness regime with the goal of returning to high level track and field competition. She was disciplined in her maintenance of that regime and was approximately six weeks into it when the accident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Plaintiff's counsel argues that, although Michelle was only an average student and wasn't particularly enamoured with the academic side of university, being on the track team and experiencing the comradery that being on the team would have offered would have kept her in university. He says there is little doubt that Michelle would have made the SFU track team but for the accident. He argues that she lost all of the enjoyment and experiences that years on the track team would have brought her way, and that she lost the friendships, alumni get-togethers and affiliations that she otherwise would have had for the rest of her life. He puts the likelihood of her making the track team and completing a university degree at 80-90%.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Dr. Kokan believes that, with rest and icing, Michelle's knee pain will be resolved within two to three years. Dr. Kendall's opinion is that, with proper guidance and a proper rehabilitative program, Michelle can be expected to resolve her knee problem within 12 to 18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Counsel for the plaintiff submits that the appropriate award for non-pecuniary damages is in the range of $75,000 to $100,000. He argues that, but for the accident and the resulting injury to her knee, Michelle would likely have finished university, would likely have been on the SFU track and field team, may possibly have been awarded a scholarship, the experiences from those years would have continued on with friendships, alumni get-togethers and other affiliations which would have continued for the rest of her life. He submits that the likelihood of the foregoing would have been 80-90%.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He further submits that there was a 10-20% chance that, after SFU, Michelle would have gone on to a "full ride scholarship" at other universities, including American universities and/or the Canadian national team and possibly even the Olympics.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xml:space="preserve">  Plaintiff's counsel argues that the quantum of damages does not depend upon the seriousness of the injury, but rather upon its ability to ameliorate the condition of the victim considering her particular situation. An award will vary in each case to meet the specific circumstances of the individual case: </w:t>
      </w:r>
      <w:r>
        <w:rPr>
          <w:rFonts w:ascii="arial" w:eastAsia="arial" w:hAnsi="arial" w:cs="arial"/>
          <w:i/>
          <w:color w:val="000000"/>
          <w:sz w:val="20"/>
          <w:lang w:val="en-US" w:eastAsia="en-US" w:bidi="ar-SA"/>
        </w:rPr>
        <w:t>Lindal v. Lindal</w:t>
      </w:r>
      <w:r>
        <w:rPr>
          <w:rFonts w:ascii="arial" w:eastAsia="arial" w:hAnsi="arial" w:cs="arial"/>
          <w:color w:val="000000"/>
          <w:sz w:val="20"/>
          <w:lang w:val="en-US" w:eastAsia="en-US" w:bidi="ar-SA"/>
        </w:rPr>
        <w:t xml:space="preserve"> </w:t>
      </w:r>
      <w:hyperlink r:id="rId130" w:history="1">
        <w:r>
          <w:rPr>
            <w:rFonts w:ascii="arial" w:eastAsia="arial" w:hAnsi="arial" w:cs="arial"/>
            <w:i/>
            <w:color w:val="0077CC"/>
            <w:sz w:val="20"/>
            <w:u w:val="single"/>
            <w:shd w:val="clear" w:color="auto" w:fill="FFFFFF"/>
            <w:lang w:val="en-US" w:eastAsia="en-US" w:bidi="ar-SA"/>
          </w:rPr>
          <w:t>[1981] 2 S.C.R. 629</w:t>
        </w:r>
      </w:hyperlink>
      <w:r>
        <w:rPr>
          <w:rFonts w:ascii="arial" w:eastAsia="arial" w:hAnsi="arial" w:cs="arial"/>
          <w:color w:val="000000"/>
          <w:sz w:val="20"/>
          <w:lang w:val="en-US" w:eastAsia="en-US" w:bidi="ar-SA"/>
        </w:rPr>
        <w:t xml:space="preserve"> at p. 637.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xml:space="preserve">  Counsel for the defendant submits that a more appropriate range is $25,000 to $30,000, considering what the court awarded in other similar cases: </w:t>
      </w:r>
      <w:r>
        <w:rPr>
          <w:rFonts w:ascii="arial" w:eastAsia="arial" w:hAnsi="arial" w:cs="arial"/>
          <w:i/>
          <w:color w:val="000000"/>
          <w:sz w:val="20"/>
          <w:lang w:val="en-US" w:eastAsia="en-US" w:bidi="ar-SA"/>
        </w:rPr>
        <w:t>Price v. Kostryba</w:t>
      </w:r>
      <w:r>
        <w:rPr>
          <w:rFonts w:ascii="arial" w:eastAsia="arial" w:hAnsi="arial" w:cs="arial"/>
          <w:color w:val="000000"/>
          <w:sz w:val="20"/>
          <w:lang w:val="en-US" w:eastAsia="en-US" w:bidi="ar-SA"/>
        </w:rPr>
        <w:t xml:space="preserve">, </w:t>
      </w:r>
      <w:hyperlink r:id="rId66" w:history="1">
        <w:r>
          <w:rPr>
            <w:rFonts w:ascii="arial" w:eastAsia="arial" w:hAnsi="arial" w:cs="arial"/>
            <w:i/>
            <w:color w:val="0077CC"/>
            <w:sz w:val="20"/>
            <w:u w:val="single"/>
            <w:shd w:val="clear" w:color="auto" w:fill="FFFFFF"/>
            <w:lang w:val="en-US" w:eastAsia="en-US" w:bidi="ar-SA"/>
          </w:rPr>
          <w:t>70 B.C.L.R. 397</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Fillion (Guardian ad litem of) v. Balko</w:t>
      </w:r>
      <w:r>
        <w:rPr>
          <w:rFonts w:ascii="arial" w:eastAsia="arial" w:hAnsi="arial" w:cs="arial"/>
          <w:color w:val="000000"/>
          <w:sz w:val="20"/>
          <w:lang w:val="en-US" w:eastAsia="en-US" w:bidi="ar-SA"/>
        </w:rPr>
        <w:t xml:space="preserve">, </w:t>
      </w:r>
      <w:hyperlink r:id="rId770" w:history="1">
        <w:r>
          <w:rPr>
            <w:rFonts w:ascii="arial" w:eastAsia="arial" w:hAnsi="arial" w:cs="arial"/>
            <w:i/>
            <w:color w:val="0077CC"/>
            <w:sz w:val="20"/>
            <w:u w:val="single"/>
            <w:shd w:val="clear" w:color="auto" w:fill="FFFFFF"/>
            <w:lang w:val="en-US" w:eastAsia="en-US" w:bidi="ar-SA"/>
          </w:rPr>
          <w:t>2003 BCSC 419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Shore v. Bierens</w:t>
      </w:r>
      <w:r>
        <w:rPr>
          <w:rFonts w:ascii="arial" w:eastAsia="arial" w:hAnsi="arial" w:cs="arial"/>
          <w:color w:val="000000"/>
          <w:sz w:val="20"/>
          <w:lang w:val="en-US" w:eastAsia="en-US" w:bidi="ar-SA"/>
        </w:rPr>
        <w:t xml:space="preserve">, </w:t>
      </w:r>
      <w:hyperlink r:id="rId771" w:history="1">
        <w:r>
          <w:rPr>
            <w:rFonts w:ascii="arial" w:eastAsia="arial" w:hAnsi="arial" w:cs="arial"/>
            <w:i/>
            <w:color w:val="0077CC"/>
            <w:sz w:val="20"/>
            <w:u w:val="single"/>
            <w:shd w:val="clear" w:color="auto" w:fill="FFFFFF"/>
            <w:lang w:val="en-US" w:eastAsia="en-US" w:bidi="ar-SA"/>
          </w:rPr>
          <w:t>2005 BCSC 259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Larsen v. Wilson</w:t>
      </w:r>
      <w:r>
        <w:rPr>
          <w:rFonts w:ascii="arial" w:eastAsia="arial" w:hAnsi="arial" w:cs="arial"/>
          <w:color w:val="000000"/>
          <w:sz w:val="20"/>
          <w:lang w:val="en-US" w:eastAsia="en-US" w:bidi="ar-SA"/>
        </w:rPr>
        <w:t xml:space="preserve">, </w:t>
      </w:r>
      <w:hyperlink r:id="rId772" w:history="1">
        <w:r>
          <w:rPr>
            <w:rFonts w:ascii="arial" w:eastAsia="arial" w:hAnsi="arial" w:cs="arial"/>
            <w:i/>
            <w:color w:val="0077CC"/>
            <w:sz w:val="20"/>
            <w:u w:val="single"/>
            <w:shd w:val="clear" w:color="auto" w:fill="FFFFFF"/>
            <w:lang w:val="en-US" w:eastAsia="en-US" w:bidi="ar-SA"/>
          </w:rPr>
          <w:t>2007 BCSC 943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Battagliola v. Wal-Mart Canada Corp</w:t>
      </w:r>
      <w:r>
        <w:rPr>
          <w:rFonts w:ascii="arial" w:eastAsia="arial" w:hAnsi="arial" w:cs="arial"/>
          <w:color w:val="000000"/>
          <w:sz w:val="20"/>
          <w:lang w:val="en-US" w:eastAsia="en-US" w:bidi="ar-SA"/>
        </w:rPr>
        <w:t xml:space="preserve">, </w:t>
      </w:r>
      <w:hyperlink r:id="rId773" w:history="1">
        <w:r>
          <w:rPr>
            <w:rFonts w:ascii="arial" w:eastAsia="arial" w:hAnsi="arial" w:cs="arial"/>
            <w:i/>
            <w:color w:val="0077CC"/>
            <w:sz w:val="20"/>
            <w:u w:val="single"/>
            <w:shd w:val="clear" w:color="auto" w:fill="FFFFFF"/>
            <w:lang w:val="en-US" w:eastAsia="en-US" w:bidi="ar-SA"/>
          </w:rPr>
          <w:t>2011 BCSC 784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Hartman v. Dias</w:t>
      </w:r>
      <w:r>
        <w:rPr>
          <w:rFonts w:ascii="arial" w:eastAsia="arial" w:hAnsi="arial" w:cs="arial"/>
          <w:color w:val="000000"/>
          <w:sz w:val="20"/>
          <w:lang w:val="en-US" w:eastAsia="en-US" w:bidi="ar-SA"/>
        </w:rPr>
        <w:t xml:space="preserve">, </w:t>
      </w:r>
      <w:hyperlink r:id="rId774" w:history="1">
        <w:r>
          <w:rPr>
            <w:rFonts w:ascii="arial" w:eastAsia="arial" w:hAnsi="arial" w:cs="arial"/>
            <w:i/>
            <w:color w:val="0077CC"/>
            <w:sz w:val="20"/>
            <w:u w:val="single"/>
            <w:shd w:val="clear" w:color="auto" w:fill="FFFFFF"/>
            <w:lang w:val="en-US" w:eastAsia="en-US" w:bidi="ar-SA"/>
          </w:rPr>
          <w:t>2006 BCSC 47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Rindero v. Nicholson</w:t>
      </w:r>
      <w:r>
        <w:rPr>
          <w:rFonts w:ascii="arial" w:eastAsia="arial" w:hAnsi="arial" w:cs="arial"/>
          <w:color w:val="000000"/>
          <w:sz w:val="20"/>
          <w:lang w:val="en-US" w:eastAsia="en-US" w:bidi="ar-SA"/>
        </w:rPr>
        <w:t xml:space="preserve">, </w:t>
      </w:r>
      <w:hyperlink r:id="rId775" w:history="1">
        <w:r>
          <w:rPr>
            <w:rFonts w:ascii="arial" w:eastAsia="arial" w:hAnsi="arial" w:cs="arial"/>
            <w:i/>
            <w:color w:val="0077CC"/>
            <w:sz w:val="20"/>
            <w:u w:val="single"/>
            <w:shd w:val="clear" w:color="auto" w:fill="FFFFFF"/>
            <w:lang w:val="en-US" w:eastAsia="en-US" w:bidi="ar-SA"/>
          </w:rPr>
          <w:t>2009 BCSC 1018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Foley v. Imperial Oil Ltd.</w:t>
      </w:r>
      <w:r>
        <w:rPr>
          <w:rFonts w:ascii="arial" w:eastAsia="arial" w:hAnsi="arial" w:cs="arial"/>
          <w:color w:val="000000"/>
          <w:sz w:val="20"/>
          <w:lang w:val="en-US" w:eastAsia="en-US" w:bidi="ar-SA"/>
        </w:rPr>
        <w:t xml:space="preserve"> </w:t>
      </w:r>
      <w:hyperlink r:id="rId776" w:history="1">
        <w:r>
          <w:rPr>
            <w:rFonts w:ascii="arial" w:eastAsia="arial" w:hAnsi="arial" w:cs="arial"/>
            <w:i/>
            <w:color w:val="0077CC"/>
            <w:sz w:val="20"/>
            <w:u w:val="single"/>
            <w:shd w:val="clear" w:color="auto" w:fill="FFFFFF"/>
            <w:lang w:val="en-US" w:eastAsia="en-US" w:bidi="ar-SA"/>
          </w:rPr>
          <w:t>2010 BCSC 797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Dodsworth v. Krenus</w:t>
      </w:r>
      <w:r>
        <w:rPr>
          <w:rFonts w:ascii="arial" w:eastAsia="arial" w:hAnsi="arial" w:cs="arial"/>
          <w:color w:val="000000"/>
          <w:sz w:val="20"/>
          <w:lang w:val="en-US" w:eastAsia="en-US" w:bidi="ar-SA"/>
        </w:rPr>
        <w:t xml:space="preserve">, </w:t>
      </w:r>
      <w:hyperlink r:id="rId777" w:history="1">
        <w:r>
          <w:rPr>
            <w:rFonts w:ascii="arial" w:eastAsia="arial" w:hAnsi="arial" w:cs="arial"/>
            <w:i/>
            <w:color w:val="0077CC"/>
            <w:sz w:val="20"/>
            <w:u w:val="single"/>
            <w:shd w:val="clear" w:color="auto" w:fill="FFFFFF"/>
            <w:lang w:val="en-US" w:eastAsia="en-US" w:bidi="ar-SA"/>
          </w:rPr>
          <w:t>2010 BCSC 267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14"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at para. 46, the court set out a list of common factors that influence an award of non-pecunciary damages, including: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age of the plaintiff;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nature of the injury;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severity and duration of pain;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disability;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emotional suffering; 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loss or impairment of life;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impairment of family, marital and social relationships;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impairment of physical and mental abilities;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loss of lifestyle; 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plaintiff's stoicism, a factor that should not penalize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The plaintiff is 21 years of age. She continues to have trouble walking and standing without pain. She is in pain every day. Despite the pain, she is living a normal and enjoyable life. The prognosis for a full recovery is good.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After reviewing the foregoing cases and taking my findings of fact in this case into account, I find that that an award of $40,000 for non-pecuniary damages is appropriate.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Mitigation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xml:space="preserve">  There is a duty on the part of all injured plaintiffs to take reasonable steps to minimize the loss: </w:t>
      </w:r>
      <w:r>
        <w:rPr>
          <w:rFonts w:ascii="arial" w:eastAsia="arial" w:hAnsi="arial" w:cs="arial"/>
          <w:i/>
          <w:color w:val="000000"/>
          <w:sz w:val="20"/>
          <w:lang w:val="en-US" w:eastAsia="en-US" w:bidi="ar-SA"/>
        </w:rPr>
        <w:t>Latuszek v. Bel-Air Taxi (1992) Limited</w:t>
      </w:r>
      <w:r>
        <w:rPr>
          <w:rFonts w:ascii="arial" w:eastAsia="arial" w:hAnsi="arial" w:cs="arial"/>
          <w:color w:val="000000"/>
          <w:sz w:val="20"/>
          <w:lang w:val="en-US" w:eastAsia="en-US" w:bidi="ar-SA"/>
        </w:rPr>
        <w:t xml:space="preserve">, </w:t>
      </w:r>
      <w:hyperlink r:id="rId778" w:history="1">
        <w:r>
          <w:rPr>
            <w:rFonts w:ascii="arial" w:eastAsia="arial" w:hAnsi="arial" w:cs="arial"/>
            <w:i/>
            <w:color w:val="0077CC"/>
            <w:sz w:val="20"/>
            <w:u w:val="single"/>
            <w:shd w:val="clear" w:color="auto" w:fill="FFFFFF"/>
            <w:lang w:val="en-US" w:eastAsia="en-US" w:bidi="ar-SA"/>
          </w:rPr>
          <w:t>2009 BCSC 798</w:t>
        </w:r>
      </w:hyperlink>
      <w:r>
        <w:rPr>
          <w:rFonts w:ascii="arial" w:eastAsia="arial" w:hAnsi="arial" w:cs="arial"/>
          <w:color w:val="000000"/>
          <w:sz w:val="20"/>
          <w:lang w:val="en-US" w:eastAsia="en-US" w:bidi="ar-SA"/>
        </w:rPr>
        <w:t xml:space="preserve"> at para. 85.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Counsel for the defendant argues that the plaintiff failed to mitigate her damages by not continuing with physiotherapy as was recommended by her family physician, by not trying other non-invasive treatment options and by not following the recommendations of Dr. Kokan following her arthroscopic surgery and resuming rehabilitation under the guidance of a personal trainer. She argues that, instead, the plaintiff simply went to the gym four - five times on her own and then ceased those attendances when the pain in her knee got worse.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Michelle may well have "fallen through the cracks" in terms of the guidance (or lack thereof) that she has been given for her injuries. However, I cannot fault her for that lack of guidance. She was told by her physiotherapist that the treatments she was receiving were making her condition worse, so she stopped and consulted her family doctor who referred her to Dr. Kokan. Exploratory surgery was conducted which did not reveal anything significant, other than a large plica which was removed. She was advised to ice and rest her knee which she has been doing ever since. I find that, in the circumstances, the defendant has not shown that Michelle failed to take reasonable steps to mitigate her knee and other injuries that she suffered during the collision of March 13, 2009.</w:t>
      </w:r>
      <w:r>
        <w:rPr>
          <w:rFonts w:ascii="arial" w:eastAsia="arial" w:hAnsi="arial" w:cs="arial"/>
          <w:sz w:val="20"/>
          <w:lang w:val="en-US" w:eastAsia="en-US" w:bidi="ar-SA"/>
        </w:rPr>
        <w:cr/>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Past wage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The parties agree that Michelle's past wage loss is $939.15.</w:t>
      </w:r>
      <w:r>
        <w:rPr>
          <w:rFonts w:ascii="arial" w:eastAsia="arial" w:hAnsi="arial" w:cs="arial"/>
          <w:sz w:val="20"/>
          <w:lang w:val="en-US" w:eastAsia="en-US" w:bidi="ar-SA"/>
        </w:rPr>
        <w:cr/>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I must determine whether Michelle's future earning capacity has been impaired by her knee injury and, if so, the level of compensation she should be awarded in respect of that loss of earning capacity. Plaintiff's counsel submits that there was a real and substantial possibility that Michelle would have continued her schooling at SFU, would have become a member of that institution's track and field team and would have obtained her university degree. Using various salary tables published by Statistics Canada including tables that compare women of all occupations in Vancouver with those with university certificates or degrees and tables that compare women of all occupations in Canada with a university certificate or degree with legal assistant's average earnings across Canada, then taking into account the positive and negative contingencies applicable to Michelle and then capitalizing Michelle's loss using a 2.5% discount rate, he argues that the present value equivalent of Michelle's lost earning capacity is $261,664. He submits that an appropriate award in this case for loss of earning capacity is $200,000.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The defendant argues that neither medical expert was of the opinion that Michelle had lost earning capacity. The plaintiff did not present any functional or work capacity reports providing an assessment of her abilities or restrictions. The defendant argues that Michelle's activities have been self-limiting and contrary to the recommendations and advice she received from her orthopaedic surgeon.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The defendant submits that it is significant that, although she mentioned her past soccer activities, at no time did the plaintiff mention any track activities to the ICBC adjuster despite having just begun a new training regime. She also did not mention any track activities or training to her family physician or to either Drs. Kokan or Kendall. She sought no advice from any of these doctors in respect of whether or how she could return to these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The defendant argues that the plaintiff's failure to take any initiative to resolve her knee problem speaks volumes for her true motivation and intention - namely that she had no intention of completing her university degree, obtaining scholarships or pursing athletics in university or as a career. Anyone with even a modicum of serious intention to do so would have done much more than the plaintiff has done towards her rehabilitation. It is telling, says defendant's counsel, that none of her high school athletic coaches kept in touch with Michelle after she graduated from high school. One would think that a girl with sufficient athletic talent and ambition would be a person that these high school coaches would have wanted to follow with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Smith v. Knudsen</w:t>
      </w:r>
      <w:r>
        <w:rPr>
          <w:rFonts w:ascii="arial" w:eastAsia="arial" w:hAnsi="arial" w:cs="arial"/>
          <w:color w:val="000000"/>
          <w:sz w:val="20"/>
          <w:lang w:val="en-US" w:eastAsia="en-US" w:bidi="ar-SA"/>
        </w:rPr>
        <w:t xml:space="preserve">, </w:t>
      </w:r>
      <w:hyperlink r:id="rId30" w:history="1">
        <w:r>
          <w:rPr>
            <w:rFonts w:ascii="arial" w:eastAsia="arial" w:hAnsi="arial" w:cs="arial"/>
            <w:i/>
            <w:color w:val="0077CC"/>
            <w:sz w:val="20"/>
            <w:u w:val="single"/>
            <w:shd w:val="clear" w:color="auto" w:fill="FFFFFF"/>
            <w:lang w:val="en-US" w:eastAsia="en-US" w:bidi="ar-SA"/>
          </w:rPr>
          <w:t>2004 BCCA 613</w:t>
        </w:r>
      </w:hyperlink>
      <w:r>
        <w:rPr>
          <w:rFonts w:ascii="arial" w:eastAsia="arial" w:hAnsi="arial" w:cs="arial"/>
          <w:color w:val="000000"/>
          <w:sz w:val="20"/>
          <w:lang w:val="en-US" w:eastAsia="en-US" w:bidi="ar-SA"/>
        </w:rPr>
        <w:t xml:space="preserve"> at para. 24, Madam Justice Rowles referred to the decision of the Supreme Court of Canada in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in which Major J. stated, in part (at para 27):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Hypothetical events (such as how the plaintiff's life would have proceeded without the tortious injury) or future events need not be proven on a balance of probabilities. Instead, they are simply given weight according to their relative likelihood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Chang v. Feng</w:t>
      </w:r>
      <w:r>
        <w:rPr>
          <w:rFonts w:ascii="arial" w:eastAsia="arial" w:hAnsi="arial" w:cs="arial"/>
          <w:color w:val="000000"/>
          <w:sz w:val="20"/>
          <w:lang w:val="en-US" w:eastAsia="en-US" w:bidi="ar-SA"/>
        </w:rPr>
        <w:t xml:space="preserve">, </w:t>
      </w:r>
      <w:hyperlink r:id="rId139" w:history="1">
        <w:r>
          <w:rPr>
            <w:rFonts w:ascii="arial" w:eastAsia="arial" w:hAnsi="arial" w:cs="arial"/>
            <w:i/>
            <w:color w:val="0077CC"/>
            <w:sz w:val="20"/>
            <w:u w:val="single"/>
            <w:shd w:val="clear" w:color="auto" w:fill="FFFFFF"/>
            <w:lang w:val="en-US" w:eastAsia="en-US" w:bidi="ar-SA"/>
          </w:rPr>
          <w:t>2008 BCSC 49</w:t>
        </w:r>
      </w:hyperlink>
      <w:r>
        <w:rPr>
          <w:rFonts w:ascii="arial" w:eastAsia="arial" w:hAnsi="arial" w:cs="arial"/>
          <w:color w:val="000000"/>
          <w:sz w:val="20"/>
          <w:lang w:val="en-US" w:eastAsia="en-US" w:bidi="ar-SA"/>
        </w:rPr>
        <w:t xml:space="preserve"> at para. 71, Mr. Justice Bauman (as he then was) referred to the decision in </w:t>
      </w:r>
      <w:r>
        <w:rPr>
          <w:rFonts w:ascii="arial" w:eastAsia="arial" w:hAnsi="arial" w:cs="arial"/>
          <w:i/>
          <w:color w:val="000000"/>
          <w:sz w:val="20"/>
          <w:lang w:val="en-US" w:eastAsia="en-US" w:bidi="ar-SA"/>
        </w:rPr>
        <w:t>Pallos v. Insurance Corporation of British Columbia</w:t>
      </w:r>
      <w:r>
        <w:rPr>
          <w:rFonts w:ascii="arial" w:eastAsia="arial" w:hAnsi="arial" w:cs="arial"/>
          <w:color w:val="000000"/>
          <w:sz w:val="20"/>
          <w:lang w:val="en-US" w:eastAsia="en-US" w:bidi="ar-SA"/>
        </w:rPr>
        <w:t xml:space="preserve"> </w:t>
      </w:r>
      <w:hyperlink r:id="rId110" w:history="1">
        <w:r>
          <w:rPr>
            <w:rFonts w:ascii="arial" w:eastAsia="arial" w:hAnsi="arial" w:cs="arial"/>
            <w:i/>
            <w:color w:val="0077CC"/>
            <w:sz w:val="20"/>
            <w:u w:val="single"/>
            <w:shd w:val="clear" w:color="auto" w:fill="FFFFFF"/>
            <w:lang w:val="en-US" w:eastAsia="en-US" w:bidi="ar-SA"/>
          </w:rPr>
          <w:t>(1995), 100 B.C.L.R. (2d) 260</w:t>
        </w:r>
      </w:hyperlink>
      <w:r>
        <w:rPr>
          <w:rFonts w:ascii="arial" w:eastAsia="arial" w:hAnsi="arial" w:cs="arial"/>
          <w:color w:val="000000"/>
          <w:sz w:val="20"/>
          <w:lang w:val="en-US" w:eastAsia="en-US" w:bidi="ar-SA"/>
        </w:rPr>
        <w:t xml:space="preserve"> (C.A.) in which Finch J.A. stated that the "capital asset" approach and the "real possibility" approach were not mutually exclusive. Mr. Justice Bauman went on to note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[73] Whether, indeed, the law in British Columbia permits recovery under this head in the "absence of any evidence of a real and substantial possibility of lost earnings or profits", is complicated by the British Columbia Court of Appeal's decisions in </w:t>
      </w:r>
      <w:r>
        <w:rPr>
          <w:rFonts w:ascii="arial" w:eastAsia="arial" w:hAnsi="arial" w:cs="arial"/>
          <w:i/>
          <w:color w:val="000000"/>
          <w:sz w:val="20"/>
          <w:lang w:val="en-US" w:eastAsia="en-US" w:bidi="ar-SA"/>
        </w:rPr>
        <w:t>Parypa v. Wickware</w:t>
      </w:r>
      <w:r>
        <w:rPr>
          <w:rFonts w:ascii="arial" w:eastAsia="arial" w:hAnsi="arial" w:cs="arial"/>
          <w:color w:val="000000"/>
          <w:sz w:val="20"/>
          <w:lang w:val="en-US" w:eastAsia="en-US" w:bidi="ar-SA"/>
        </w:rPr>
        <w:t xml:space="preserve">, </w:t>
      </w:r>
      <w:hyperlink r:id="rId183" w:history="1">
        <w:r>
          <w:rPr>
            <w:rFonts w:ascii="arial" w:eastAsia="arial" w:hAnsi="arial" w:cs="arial"/>
            <w:i/>
            <w:color w:val="0077CC"/>
            <w:sz w:val="20"/>
            <w:u w:val="single"/>
            <w:shd w:val="clear" w:color="auto" w:fill="FFFFFF"/>
            <w:lang w:val="en-US" w:eastAsia="en-US" w:bidi="ar-SA"/>
          </w:rPr>
          <w:t>1999 BCCA 88</w:t>
        </w:r>
      </w:hyperlink>
      <w:r>
        <w:rPr>
          <w:rFonts w:ascii="arial" w:eastAsia="arial" w:hAnsi="arial" w:cs="arial"/>
          <w:color w:val="000000"/>
          <w:sz w:val="20"/>
          <w:lang w:val="en-US" w:eastAsia="en-US" w:bidi="ar-SA"/>
        </w:rPr>
        <w:t xml:space="preserve"> (CanLII), </w:t>
      </w:r>
      <w:hyperlink r:id="rId183" w:history="1">
        <w:r>
          <w:rPr>
            <w:rFonts w:ascii="arial" w:eastAsia="arial" w:hAnsi="arial" w:cs="arial"/>
            <w:i/>
            <w:color w:val="0077CC"/>
            <w:sz w:val="20"/>
            <w:u w:val="single"/>
            <w:shd w:val="clear" w:color="auto" w:fill="FFFFFF"/>
            <w:lang w:val="en-US" w:eastAsia="en-US" w:bidi="ar-SA"/>
          </w:rPr>
          <w:t>1999 BCCA 88</w:t>
        </w:r>
      </w:hyperlink>
      <w:r>
        <w:rPr>
          <w:rFonts w:ascii="arial" w:eastAsia="arial" w:hAnsi="arial" w:cs="arial"/>
          <w:color w:val="000000"/>
          <w:sz w:val="20"/>
          <w:lang w:val="en-US" w:eastAsia="en-US" w:bidi="ar-SA"/>
        </w:rPr>
        <w:t xml:space="preserve"> and in </w:t>
      </w:r>
      <w:r>
        <w:rPr>
          <w:rFonts w:ascii="arial" w:eastAsia="arial" w:hAnsi="arial" w:cs="arial"/>
          <w:i/>
          <w:color w:val="000000"/>
          <w:sz w:val="20"/>
          <w:lang w:val="en-US" w:eastAsia="en-US" w:bidi="ar-SA"/>
        </w:rPr>
        <w:t>Steward v. Berezan</w:t>
      </w:r>
      <w:r>
        <w:rPr>
          <w:rFonts w:ascii="arial" w:eastAsia="arial" w:hAnsi="arial" w:cs="arial"/>
          <w:color w:val="000000"/>
          <w:sz w:val="20"/>
          <w:lang w:val="en-US" w:eastAsia="en-US" w:bidi="ar-SA"/>
        </w:rPr>
        <w:t xml:space="preserve">, </w:t>
      </w:r>
      <w:hyperlink r:id="rId138" w:history="1">
        <w:r>
          <w:rPr>
            <w:rFonts w:ascii="arial" w:eastAsia="arial" w:hAnsi="arial" w:cs="arial"/>
            <w:i/>
            <w:color w:val="0077CC"/>
            <w:sz w:val="20"/>
            <w:u w:val="single"/>
            <w:shd w:val="clear" w:color="auto" w:fill="FFFFFF"/>
            <w:lang w:val="en-US" w:eastAsia="en-US" w:bidi="ar-SA"/>
          </w:rPr>
          <w:t>2007 BCCA 150</w:t>
        </w:r>
      </w:hyperlink>
      <w:r>
        <w:rPr>
          <w:rFonts w:ascii="arial" w:eastAsia="arial" w:hAnsi="arial" w:cs="arial"/>
          <w:color w:val="000000"/>
          <w:sz w:val="20"/>
          <w:lang w:val="en-US" w:eastAsia="en-US" w:bidi="ar-SA"/>
        </w:rPr>
        <w:t xml:space="preserve"> (CanLII), </w:t>
      </w:r>
      <w:hyperlink r:id="rId138" w:history="1">
        <w:r>
          <w:rPr>
            <w:rFonts w:ascii="arial" w:eastAsia="arial" w:hAnsi="arial" w:cs="arial"/>
            <w:i/>
            <w:color w:val="0077CC"/>
            <w:sz w:val="20"/>
            <w:u w:val="single"/>
            <w:shd w:val="clear" w:color="auto" w:fill="FFFFFF"/>
            <w:lang w:val="en-US" w:eastAsia="en-US" w:bidi="ar-SA"/>
          </w:rPr>
          <w:t>2007 BCCA 150</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[74] In </w:t>
      </w:r>
      <w:r>
        <w:rPr>
          <w:rFonts w:ascii="arial" w:eastAsia="arial" w:hAnsi="arial" w:cs="arial"/>
          <w:i/>
          <w:color w:val="000000"/>
          <w:sz w:val="20"/>
          <w:lang w:val="en-US" w:eastAsia="en-US" w:bidi="ar-SA"/>
        </w:rPr>
        <w:t>Steward</w:t>
      </w:r>
      <w:r>
        <w:rPr>
          <w:rFonts w:ascii="arial" w:eastAsia="arial" w:hAnsi="arial" w:cs="arial"/>
          <w:color w:val="000000"/>
          <w:sz w:val="20"/>
          <w:lang w:val="en-US" w:eastAsia="en-US" w:bidi="ar-SA"/>
        </w:rPr>
        <w:t>, the court was reviewing a trial judge's award for impairment of the plaintiff's earning capacity "in other occupations that may now be closed to him".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[75] Justice Donald, for the court, noted the trial judge's use of the phraseology from </w:t>
      </w:r>
      <w:r>
        <w:rPr>
          <w:rFonts w:ascii="arial" w:eastAsia="arial" w:hAnsi="arial" w:cs="arial"/>
          <w:i/>
          <w:color w:val="000000"/>
          <w:sz w:val="20"/>
          <w:lang w:val="en-US" w:eastAsia="en-US" w:bidi="ar-SA"/>
        </w:rPr>
        <w:t>Palmer v. Goodall</w:t>
      </w:r>
      <w:r>
        <w:rPr>
          <w:rFonts w:ascii="arial" w:eastAsia="arial" w:hAnsi="arial" w:cs="arial"/>
          <w:color w:val="000000"/>
          <w:sz w:val="20"/>
          <w:lang w:val="en-US" w:eastAsia="en-US" w:bidi="ar-SA"/>
        </w:rPr>
        <w:t xml:space="preserve"> </w:t>
      </w:r>
      <w:hyperlink r:id="rId513" w:history="1">
        <w:r>
          <w:rPr>
            <w:rFonts w:ascii="arial" w:eastAsia="arial" w:hAnsi="arial" w:cs="arial"/>
            <w:i/>
            <w:color w:val="0077CC"/>
            <w:sz w:val="20"/>
            <w:u w:val="single"/>
            <w:shd w:val="clear" w:color="auto" w:fill="FFFFFF"/>
            <w:lang w:val="en-US" w:eastAsia="en-US" w:bidi="ar-SA"/>
          </w:rPr>
          <w:t>1991 CanLII 384</w:t>
        </w:r>
      </w:hyperlink>
      <w:r>
        <w:rPr>
          <w:rFonts w:ascii="arial" w:eastAsia="arial" w:hAnsi="arial" w:cs="arial"/>
          <w:color w:val="000000"/>
          <w:sz w:val="20"/>
          <w:lang w:val="en-US" w:eastAsia="en-US" w:bidi="ar-SA"/>
        </w:rPr>
        <w:t xml:space="preserve"> (BCCA), </w:t>
      </w:r>
      <w:hyperlink r:id="rId513" w:history="1">
        <w:r>
          <w:rPr>
            <w:rFonts w:ascii="arial" w:eastAsia="arial" w:hAnsi="arial" w:cs="arial"/>
            <w:i/>
            <w:color w:val="0077CC"/>
            <w:sz w:val="20"/>
            <w:u w:val="single"/>
            <w:shd w:val="clear" w:color="auto" w:fill="FFFFFF"/>
            <w:lang w:val="en-US" w:eastAsia="en-US" w:bidi="ar-SA"/>
          </w:rPr>
          <w:t>(1991), 53 B.C.L.R. (2d) 44</w:t>
        </w:r>
      </w:hyperlink>
      <w:r>
        <w:rPr>
          <w:rFonts w:ascii="arial" w:eastAsia="arial" w:hAnsi="arial" w:cs="arial"/>
          <w:color w:val="000000"/>
          <w:sz w:val="20"/>
          <w:lang w:val="en-US" w:eastAsia="en-US" w:bidi="ar-SA"/>
        </w:rPr>
        <w:t xml:space="preserve"> (C.A.) (at para. 17 and 18):</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u w:val="single"/>
          <w:lang w:val="en-US" w:eastAsia="en-US" w:bidi="ar-SA"/>
        </w:rPr>
        <w:t>[17]</w:t>
      </w:r>
      <w:r>
        <w:rPr>
          <w:rFonts w:ascii="arial" w:eastAsia="arial" w:hAnsi="arial" w:cs="arial"/>
          <w:color w:val="000000"/>
          <w:sz w:val="20"/>
          <w:lang w:val="en-US" w:eastAsia="en-US" w:bidi="ar-SA"/>
        </w:rPr>
        <w:t xml:space="preserve"> But the language in question there was used in the context of appellate review and, with respect, it cannot be transposed to an original analysis at the trial level. The claimant bears the onus to prove at trial a substantial possibility of a future event leading to an income loss, and the court must then award compensation on an estimation of the chance that the event will occur: </w:t>
      </w:r>
      <w:r>
        <w:rPr>
          <w:rFonts w:ascii="arial" w:eastAsia="arial" w:hAnsi="arial" w:cs="arial"/>
          <w:i/>
          <w:color w:val="000000"/>
          <w:sz w:val="20"/>
          <w:lang w:val="en-US" w:eastAsia="en-US" w:bidi="ar-SA"/>
        </w:rPr>
        <w:t>Parypa</w:t>
      </w:r>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para. 65</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[18] When the record is examined according to that approach, I cannot see the basis for a substantial possibility giving rise to compensation for diminished earning capacity. There being no other realistic alternative occupation that would be impaired by the plaintiff's accident injuries, the claim for future loss must fail.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[76] This appears to be an express direction to first enquire into whether there is a substantial possibility of future income loss before one is to embark on assessing the loss under either approach to this head of loss, in particular, under the capital asset approach as well. (I note that Justice Russell arrived at a similar conclusion in </w:t>
      </w:r>
      <w:r>
        <w:rPr>
          <w:rFonts w:ascii="arial" w:eastAsia="arial" w:hAnsi="arial" w:cs="arial"/>
          <w:i/>
          <w:color w:val="000000"/>
          <w:sz w:val="20"/>
          <w:lang w:val="en-US" w:eastAsia="en-US" w:bidi="ar-SA"/>
        </w:rPr>
        <w:t>Naidu v. Mann</w:t>
      </w:r>
      <w:r>
        <w:rPr>
          <w:rFonts w:ascii="arial" w:eastAsia="arial" w:hAnsi="arial" w:cs="arial"/>
          <w:color w:val="000000"/>
          <w:sz w:val="20"/>
          <w:lang w:val="en-US" w:eastAsia="en-US" w:bidi="ar-SA"/>
        </w:rPr>
        <w:t xml:space="preserve">, </w:t>
      </w:r>
      <w:hyperlink r:id="rId779" w:history="1">
        <w:r>
          <w:rPr>
            <w:rFonts w:ascii="arial" w:eastAsia="arial" w:hAnsi="arial" w:cs="arial"/>
            <w:i/>
            <w:color w:val="0077CC"/>
            <w:sz w:val="20"/>
            <w:u w:val="single"/>
            <w:shd w:val="clear" w:color="auto" w:fill="FFFFFF"/>
            <w:lang w:val="en-US" w:eastAsia="en-US" w:bidi="ar-SA"/>
          </w:rPr>
          <w:t>2007 BCSC 1313</w:t>
        </w:r>
      </w:hyperlink>
      <w:r>
        <w:rPr>
          <w:rFonts w:ascii="arial" w:eastAsia="arial" w:hAnsi="arial" w:cs="arial"/>
          <w:color w:val="000000"/>
          <w:sz w:val="20"/>
          <w:lang w:val="en-US" w:eastAsia="en-US" w:bidi="ar-SA"/>
        </w:rPr>
        <w:t xml:space="preserve"> (CanLII), </w:t>
      </w:r>
      <w:hyperlink r:id="rId779" w:history="1">
        <w:r>
          <w:rPr>
            <w:rFonts w:ascii="arial" w:eastAsia="arial" w:hAnsi="arial" w:cs="arial"/>
            <w:i/>
            <w:color w:val="0077CC"/>
            <w:sz w:val="20"/>
            <w:u w:val="single"/>
            <w:shd w:val="clear" w:color="auto" w:fill="FFFFFF"/>
            <w:lang w:val="en-US" w:eastAsia="en-US" w:bidi="ar-SA"/>
          </w:rPr>
          <w:t>2007 BCSC 1313</w:t>
        </w:r>
      </w:hyperlink>
      <w:r>
        <w:rPr>
          <w:rFonts w:ascii="arial" w:eastAsia="arial" w:hAnsi="arial" w:cs="arial"/>
          <w:color w:val="000000"/>
          <w:sz w:val="20"/>
          <w:lang w:val="en-US" w:eastAsia="en-US" w:bidi="ar-SA"/>
        </w:rPr>
        <w:t xml:space="preserve"> and see also </w:t>
      </w:r>
      <w:r>
        <w:rPr>
          <w:rFonts w:ascii="arial" w:eastAsia="arial" w:hAnsi="arial" w:cs="arial"/>
          <w:i/>
          <w:color w:val="000000"/>
          <w:sz w:val="20"/>
          <w:lang w:val="en-US" w:eastAsia="en-US" w:bidi="ar-SA"/>
        </w:rPr>
        <w:t>Bedwell v. McGill</w:t>
      </w:r>
      <w:r>
        <w:rPr>
          <w:rFonts w:ascii="arial" w:eastAsia="arial" w:hAnsi="arial" w:cs="arial"/>
          <w:color w:val="000000"/>
          <w:sz w:val="20"/>
          <w:lang w:val="en-US" w:eastAsia="en-US" w:bidi="ar-SA"/>
        </w:rPr>
        <w:t xml:space="preserve">, </w:t>
      </w:r>
      <w:hyperlink r:id="rId780" w:history="1">
        <w:r>
          <w:rPr>
            <w:rFonts w:ascii="arial" w:eastAsia="arial" w:hAnsi="arial" w:cs="arial"/>
            <w:i/>
            <w:color w:val="0077CC"/>
            <w:sz w:val="20"/>
            <w:u w:val="single"/>
            <w:shd w:val="clear" w:color="auto" w:fill="FFFFFF"/>
            <w:lang w:val="en-US" w:eastAsia="en-US" w:bidi="ar-SA"/>
          </w:rPr>
          <w:t>2008 BCCA 6</w:t>
        </w:r>
      </w:hyperlink>
      <w:r>
        <w:rPr>
          <w:rFonts w:ascii="arial" w:eastAsia="arial" w:hAnsi="arial" w:cs="arial"/>
          <w:color w:val="000000"/>
          <w:sz w:val="20"/>
          <w:lang w:val="en-US" w:eastAsia="en-US" w:bidi="ar-SA"/>
        </w:rPr>
        <w:t xml:space="preserve"> (CanLII), </w:t>
      </w:r>
      <w:hyperlink r:id="rId780" w:history="1">
        <w:r>
          <w:rPr>
            <w:rFonts w:ascii="arial" w:eastAsia="arial" w:hAnsi="arial" w:cs="arial"/>
            <w:i/>
            <w:color w:val="0077CC"/>
            <w:sz w:val="20"/>
            <w:u w:val="single"/>
            <w:shd w:val="clear" w:color="auto" w:fill="FFFFFF"/>
            <w:lang w:val="en-US" w:eastAsia="en-US" w:bidi="ar-SA"/>
          </w:rPr>
          <w:t>2008 BCCA 6</w:t>
        </w:r>
      </w:hyperlink>
      <w:r>
        <w:rPr>
          <w:rFonts w:ascii="arial" w:eastAsia="arial" w:hAnsi="arial" w:cs="arial"/>
          <w:color w:val="000000"/>
          <w:sz w:val="20"/>
          <w:lang w:val="en-US" w:eastAsia="en-US" w:bidi="ar-SA"/>
        </w:rPr>
        <w:t>, para. 53.)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34"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at para. 11, Madam Justice Garson noted that in </w:t>
      </w:r>
      <w:r>
        <w:rPr>
          <w:rFonts w:ascii="arial" w:eastAsia="arial" w:hAnsi="arial" w:cs="arial"/>
          <w:i/>
          <w:color w:val="000000"/>
          <w:sz w:val="20"/>
          <w:lang w:val="en-US" w:eastAsia="en-US" w:bidi="ar-SA"/>
        </w:rPr>
        <w:t>Kwei v. Boisclair</w:t>
      </w:r>
      <w:r>
        <w:rPr>
          <w:rFonts w:ascii="arial" w:eastAsia="arial" w:hAnsi="arial" w:cs="arial"/>
          <w:color w:val="000000"/>
          <w:sz w:val="20"/>
          <w:lang w:val="en-US" w:eastAsia="en-US" w:bidi="ar-SA"/>
        </w:rPr>
        <w:t xml:space="preserve"> </w:t>
      </w:r>
      <w:hyperlink r:id="rId781" w:history="1">
        <w:r>
          <w:rPr>
            <w:rFonts w:ascii="arial" w:eastAsia="arial" w:hAnsi="arial" w:cs="arial"/>
            <w:i/>
            <w:color w:val="0077CC"/>
            <w:sz w:val="20"/>
            <w:u w:val="single"/>
            <w:shd w:val="clear" w:color="auto" w:fill="FFFFFF"/>
            <w:lang w:val="en-US" w:eastAsia="en-US" w:bidi="ar-SA"/>
          </w:rPr>
          <w:t>(1991), 60 B.C.L.R. (2d) 393</w:t>
        </w:r>
      </w:hyperlink>
      <w:r>
        <w:rPr>
          <w:rFonts w:ascii="arial" w:eastAsia="arial" w:hAnsi="arial" w:cs="arial"/>
          <w:color w:val="000000"/>
          <w:sz w:val="20"/>
          <w:lang w:val="en-US" w:eastAsia="en-US" w:bidi="ar-SA"/>
        </w:rPr>
        <w:t xml:space="preserve"> (C.A.), Taggart J.A. held that where the loss cannot be measured in a pecuniary way, "the correct approach was to consider the factors described by Finch J., as he then was, in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41"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Finch J. said at para. 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means by which the value of the lost, or impaired, asset is to be assessed varies of course from case to case. Some of the considerations to take into account in making that assessment include whether:</w:t>
      </w:r>
    </w:p>
    <w:p>
      <w:pPr>
        <w:numPr>
          <w:numId w:val="2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been rendered less capable overall from earning income from all types of employment;</w:t>
      </w:r>
    </w:p>
    <w:p>
      <w:pPr>
        <w:numPr>
          <w:numId w:val="2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marketable or attractive as an employee to potential employers;</w:t>
      </w:r>
    </w:p>
    <w:p>
      <w:pPr>
        <w:numPr>
          <w:numId w:val="2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lost the ability to take advantage of all job opportunities which might otherwise have been open to him, had he not been injured; and</w:t>
      </w:r>
    </w:p>
    <w:p>
      <w:pPr>
        <w:numPr>
          <w:numId w:val="2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valuable to himself as a person capable of earning income in a competitive labour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Madam Justice Garson then stated, at paras 30 and 32: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[30] Having reviewed all of these cases, I conclude that none of them are inconsistent with the basic principles articulated in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3" w:history="1">
        <w:r>
          <w:rPr>
            <w:rFonts w:ascii="arial" w:eastAsia="arial" w:hAnsi="arial" w:cs="arial"/>
            <w:i/>
            <w:color w:val="0077CC"/>
            <w:sz w:val="20"/>
            <w:u w:val="single"/>
            <w:shd w:val="clear" w:color="auto" w:fill="FFFFFF"/>
            <w:lang w:val="en-US" w:eastAsia="en-US" w:bidi="ar-SA"/>
          </w:rPr>
          <w:t>1996 CanLII 183</w:t>
        </w:r>
      </w:hyperlink>
      <w:r>
        <w:rPr>
          <w:rFonts w:ascii="arial" w:eastAsia="arial" w:hAnsi="arial" w:cs="arial"/>
          <w:color w:val="000000"/>
          <w:sz w:val="20"/>
          <w:lang w:val="en-US" w:eastAsia="en-US" w:bidi="ar-SA"/>
        </w:rPr>
        <w:t xml:space="preserve"> (SCC), </w:t>
      </w:r>
      <w:hyperlink r:id="rId13"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Andrews v. Grand &amp; Toy Alberta Ltd.</w:t>
      </w:r>
      <w:r>
        <w:rPr>
          <w:rFonts w:ascii="arial" w:eastAsia="arial" w:hAnsi="arial" w:cs="arial"/>
          <w:color w:val="000000"/>
          <w:sz w:val="20"/>
          <w:lang w:val="en-US" w:eastAsia="en-US" w:bidi="ar-SA"/>
        </w:rPr>
        <w:t xml:space="preserve">, </w:t>
      </w:r>
      <w:hyperlink r:id="rId181" w:history="1">
        <w:r>
          <w:rPr>
            <w:rFonts w:ascii="arial" w:eastAsia="arial" w:hAnsi="arial" w:cs="arial"/>
            <w:i/>
            <w:color w:val="0077CC"/>
            <w:sz w:val="20"/>
            <w:u w:val="single"/>
            <w:shd w:val="clear" w:color="auto" w:fill="FFFFFF"/>
            <w:lang w:val="en-US" w:eastAsia="en-US" w:bidi="ar-SA"/>
          </w:rPr>
          <w:t>1978 CanLII 1</w:t>
        </w:r>
      </w:hyperlink>
      <w:r>
        <w:rPr>
          <w:rFonts w:ascii="arial" w:eastAsia="arial" w:hAnsi="arial" w:cs="arial"/>
          <w:color w:val="000000"/>
          <w:sz w:val="20"/>
          <w:lang w:val="en-US" w:eastAsia="en-US" w:bidi="ar-SA"/>
        </w:rPr>
        <w:t xml:space="preserve"> (SCC), </w:t>
      </w:r>
      <w:hyperlink r:id="rId181"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These principles are:</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future or hypothetical possibility will be taken into consideration as long as it is a real and substantial possibility and not mere speculation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27], and</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not loss of earnings but, rather, loss of earning capacity for which compensation must be made [</w:t>
      </w:r>
      <w:r>
        <w:rPr>
          <w:rFonts w:ascii="arial" w:eastAsia="arial" w:hAnsi="arial" w:cs="arial"/>
          <w:i/>
          <w:color w:val="000000"/>
          <w:sz w:val="20"/>
          <w:lang w:val="en-US" w:eastAsia="en-US" w:bidi="ar-SA"/>
        </w:rPr>
        <w:t>Andrews</w:t>
      </w:r>
      <w:r>
        <w:rPr>
          <w:rFonts w:ascii="arial" w:eastAsia="arial" w:hAnsi="arial" w:cs="arial"/>
          <w:color w:val="000000"/>
          <w:sz w:val="20"/>
          <w:lang w:val="en-US" w:eastAsia="en-US" w:bidi="ar-SA"/>
        </w:rPr>
        <w:t xml:space="preserve"> at 251].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[32] A plaintiff must </w:t>
      </w:r>
      <w:r>
        <w:rPr>
          <w:rFonts w:ascii="arial" w:eastAsia="arial" w:hAnsi="arial" w:cs="arial"/>
          <w:color w:val="000000"/>
          <w:sz w:val="20"/>
          <w:u w:val="single"/>
          <w:lang w:val="en-US" w:eastAsia="en-US" w:bidi="ar-SA"/>
        </w:rPr>
        <w:t>always</w:t>
      </w:r>
      <w:r>
        <w:rPr>
          <w:rFonts w:ascii="arial" w:eastAsia="arial" w:hAnsi="arial" w:cs="arial"/>
          <w:color w:val="000000"/>
          <w:sz w:val="20"/>
          <w:lang w:val="en-US" w:eastAsia="en-US" w:bidi="ar-SA"/>
        </w:rPr>
        <w:t xml:space="preserve"> prove ... that there is a real and substantial possibility of a future event leading to an income loss. If the plaintiff discharges that burden of proof, then depending upon the facts of the case, the plaintiff may prove the quantification of that loss of earning capacity, either on an earnings approach, as in </w:t>
      </w:r>
      <w:r>
        <w:rPr>
          <w:rFonts w:ascii="arial" w:eastAsia="arial" w:hAnsi="arial" w:cs="arial"/>
          <w:i/>
          <w:color w:val="000000"/>
          <w:sz w:val="20"/>
          <w:lang w:val="en-US" w:eastAsia="en-US" w:bidi="ar-SA"/>
        </w:rPr>
        <w:t>Steenblok,</w:t>
      </w:r>
      <w:r>
        <w:rPr>
          <w:rFonts w:ascii="arial" w:eastAsia="arial" w:hAnsi="arial" w:cs="arial"/>
          <w:color w:val="000000"/>
          <w:sz w:val="20"/>
          <w:lang w:val="en-US" w:eastAsia="en-US" w:bidi="ar-SA"/>
        </w:rPr>
        <w:t xml:space="preserve"> </w:t>
      </w:r>
      <w:hyperlink r:id="rId107" w:history="1">
        <w:r>
          <w:rPr>
            <w:rFonts w:ascii="arial" w:eastAsia="arial" w:hAnsi="arial" w:cs="arial"/>
            <w:i/>
            <w:color w:val="0077CC"/>
            <w:sz w:val="20"/>
            <w:u w:val="single"/>
            <w:shd w:val="clear" w:color="auto" w:fill="FFFFFF"/>
            <w:lang w:val="en-US" w:eastAsia="en-US" w:bidi="ar-SA"/>
          </w:rPr>
          <w:t>[1990] B.C.J. No. 1158</w:t>
        </w:r>
      </w:hyperlink>
      <w:r>
        <w:rPr>
          <w:rFonts w:ascii="arial" w:eastAsia="arial" w:hAnsi="arial" w:cs="arial"/>
          <w:color w:val="000000"/>
          <w:sz w:val="20"/>
          <w:lang w:val="en-US" w:eastAsia="en-US" w:bidi="ar-SA"/>
        </w:rPr>
        <w:t xml:space="preserve">, or a capital asset approach, as in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The former approach will be more useful when the loss is more easily measurable, as it was in </w:t>
      </w:r>
      <w:r>
        <w:rPr>
          <w:rFonts w:ascii="arial" w:eastAsia="arial" w:hAnsi="arial" w:cs="arial"/>
          <w:i/>
          <w:color w:val="000000"/>
          <w:sz w:val="20"/>
          <w:lang w:val="en-US" w:eastAsia="en-US" w:bidi="ar-SA"/>
        </w:rPr>
        <w:t>Steenblok</w:t>
      </w:r>
      <w:r>
        <w:rPr>
          <w:rFonts w:ascii="arial" w:eastAsia="arial" w:hAnsi="arial" w:cs="arial"/>
          <w:color w:val="000000"/>
          <w:sz w:val="20"/>
          <w:lang w:val="en-US" w:eastAsia="en-US" w:bidi="ar-SA"/>
        </w:rPr>
        <w:t xml:space="preserve">. The latter approach will be more useful when the loss is not as easily measurable, as in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Romanchych</w:t>
      </w:r>
      <w:r>
        <w:rPr>
          <w:rFonts w:ascii="arial" w:eastAsia="arial" w:hAnsi="arial" w:cs="arial"/>
          <w:color w:val="000000"/>
          <w:sz w:val="20"/>
          <w:lang w:val="en-US" w:eastAsia="en-US" w:bidi="ar-SA"/>
        </w:rPr>
        <w:t xml:space="preserve">, </w:t>
      </w:r>
      <w:hyperlink r:id="rId140" w:history="1">
        <w:r>
          <w:rPr>
            <w:rFonts w:ascii="arial" w:eastAsia="arial" w:hAnsi="arial" w:cs="arial"/>
            <w:i/>
            <w:color w:val="0077CC"/>
            <w:sz w:val="20"/>
            <w:u w:val="single"/>
            <w:shd w:val="clear" w:color="auto" w:fill="FFFFFF"/>
            <w:lang w:val="en-US" w:eastAsia="en-US" w:bidi="ar-SA"/>
          </w:rPr>
          <w:t>[2010] B.C.J. No. 168</w:t>
        </w:r>
      </w:hyperlink>
      <w:r>
        <w:rPr>
          <w:rFonts w:ascii="arial" w:eastAsia="arial" w:hAnsi="arial" w:cs="arial"/>
          <w:color w:val="000000"/>
          <w:sz w:val="20"/>
          <w:lang w:val="en-US" w:eastAsia="en-US" w:bidi="ar-SA"/>
        </w:rPr>
        <w:t xml:space="preserve">. A plaintiff may indeed be able to prove that there is a substantial possibility of a future loss of income despite having returned to his or her usual employment. That was the case in both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Parypa.</w:t>
      </w:r>
      <w:r>
        <w:rPr>
          <w:rFonts w:ascii="arial" w:eastAsia="arial" w:hAnsi="arial" w:cs="arial"/>
          <w:color w:val="000000"/>
          <w:sz w:val="20"/>
          <w:lang w:val="en-US" w:eastAsia="en-US" w:bidi="ar-SA"/>
        </w:rPr>
        <w:t xml:space="preserve"> But, as Donald J.A. said in </w:t>
      </w:r>
      <w:r>
        <w:rPr>
          <w:rFonts w:ascii="arial" w:eastAsia="arial" w:hAnsi="arial" w:cs="arial"/>
          <w:i/>
          <w:color w:val="000000"/>
          <w:sz w:val="20"/>
          <w:lang w:val="en-US" w:eastAsia="en-US" w:bidi="ar-SA"/>
        </w:rPr>
        <w:t>Steward</w:t>
      </w:r>
      <w:r>
        <w:rPr>
          <w:rFonts w:ascii="arial" w:eastAsia="arial" w:hAnsi="arial" w:cs="arial"/>
          <w:color w:val="000000"/>
          <w:sz w:val="20"/>
          <w:lang w:val="en-US" w:eastAsia="en-US" w:bidi="ar-SA"/>
        </w:rPr>
        <w:t>, an inability to perform an occupation that is not a realistic alternative occupation is not proof of a future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Turning to the facts of this case, Michelle is a young 21 year old who is presently employed as a legal assistant. She enjoys her job and hopes to eventually become a paralegal. Her intentions are to eventually marry and have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xml:space="preserve">  I find that Michelle was a good high school athlete but not a standout with any substantial possibility of an athletic scholarship. I have concluded that none of the factors enumerated in </w:t>
      </w:r>
      <w:r>
        <w:rPr>
          <w:rFonts w:ascii="arial" w:eastAsia="arial" w:hAnsi="arial" w:cs="arial"/>
          <w:i/>
          <w:color w:val="000000"/>
          <w:sz w:val="20"/>
          <w:lang w:val="en-US" w:eastAsia="en-US" w:bidi="ar-SA"/>
        </w:rPr>
        <w:t>Brown v. Golairy</w:t>
      </w:r>
      <w:r>
        <w:rPr>
          <w:rFonts w:ascii="arial" w:eastAsia="arial" w:hAnsi="arial" w:cs="arial"/>
          <w:color w:val="000000"/>
          <w:sz w:val="20"/>
          <w:lang w:val="en-US" w:eastAsia="en-US" w:bidi="ar-SA"/>
        </w:rPr>
        <w:t xml:space="preserve"> apply. Michelle has not been rendered less capable overall from earning income from all types of employment. She is not any less marketable or attractive as an employee to potential employers. She has not lost the ability to take advantage of job opportunities that might otherwise have been open to her, nor is she less valuable to herself as a person capable of earning income in a competitive market. I am not satisfied that Michelle's career path has been affected by the injury to her knee. She has not discharged the burden of proof on her that there was a causal connection between the accident of March 13, 2009 and her decision not to pursue a university degree. On the whole of the evidence before me, I do not find that there was a substantial possibility that, but for the accident, Michelle would have continued pursuing and would have obtained a university degree. At best, it is mere speculation.</w:t>
      </w:r>
      <w:r>
        <w:rPr>
          <w:rFonts w:ascii="arial" w:eastAsia="arial" w:hAnsi="arial" w:cs="arial"/>
          <w:sz w:val="20"/>
          <w:lang w:val="en-US" w:eastAsia="en-US" w:bidi="ar-SA"/>
        </w:rPr>
        <w:cr/>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Special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The parties are agreed that the plaintiff is entitled to special expenses of $120.00 in respect of physiotherapy fees.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In conclusion, I award the following damages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23"/>
        <w:gridCol w:w="3450"/>
        <w:gridCol w:w="1987"/>
        <w:gridCol w:w="386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337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Non-pecuniary damages</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$40,000.00</w:t>
            </w:r>
          </w:p>
        </w:tc>
        <w:tc>
          <w:tcPr>
            <w:tcW w:w="3789"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3"/>
        <w:gridCol w:w="3137"/>
        <w:gridCol w:w="2301"/>
        <w:gridCol w:w="386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w:t>
            </w:r>
          </w:p>
        </w:tc>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Past wage loss</w:t>
            </w:r>
          </w:p>
        </w:tc>
        <w:tc>
          <w:tcPr>
            <w:tcW w:w="225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$939.15</w:t>
            </w:r>
          </w:p>
        </w:tc>
        <w:tc>
          <w:tcPr>
            <w:tcW w:w="3789"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future $0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23"/>
        <w:gridCol w:w="3346"/>
        <w:gridCol w:w="2091"/>
        <w:gridCol w:w="386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w:t>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expenses</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$120.00</w:t>
            </w:r>
          </w:p>
        </w:tc>
        <w:tc>
          <w:tcPr>
            <w:tcW w:w="3789"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614"/>
        <w:gridCol w:w="3346"/>
        <w:gridCol w:w="386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327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$41,059.15</w:t>
            </w:r>
          </w:p>
        </w:tc>
        <w:tc>
          <w:tcPr>
            <w:tcW w:w="3789"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The plaintiff is entitled to her costs at Scale B. The parties are at liberty to speak to costs if they cannot 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 WEATHERILL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63" style="position:absolute;z-index:25187942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82"/>
          <w:headerReference w:type="default" r:id="rId783"/>
          <w:footerReference w:type="even" r:id="rId784"/>
          <w:footerReference w:type="default" r:id="rId785"/>
          <w:headerReference w:type="first" r:id="rId786"/>
          <w:footerReference w:type="first" r:id="rId78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88" w:history="1">
        <w:r>
          <w:rPr>
            <w:rFonts w:ascii="arial" w:eastAsia="arial" w:hAnsi="arial" w:cs="arial"/>
            <w:b/>
            <w:bCs/>
            <w:i/>
            <w:color w:val="0077CC"/>
            <w:kern w:val="32"/>
            <w:sz w:val="28"/>
            <w:szCs w:val="32"/>
            <w:u w:val="single"/>
            <w:shd w:val="clear" w:color="auto" w:fill="FFFFFF"/>
            <w:lang w:val="en-US" w:eastAsia="en-US" w:bidi="ar-SA"/>
          </w:rPr>
          <w:t>Peterson v. Cabot, [2000] B.C.J. No. 2088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Nanaimo,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R.M.J. Hutchinson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December 7 - 10, 1999 and January 17 - 19,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11,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Nanaimo Registry No. S144353</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[2000] B.C.J. No. 2088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2000 BCSC 1453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Ronald Paul Peterson, plaintiff, and Wayne David Cabot,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64" style="position:absolute;z-index:2516879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02" w:name="Keywords_28"/>
      <w:bookmarkEnd w:id="202"/>
      <w:r>
        <w:rPr>
          <w:rFonts w:ascii="arial" w:eastAsia="arial" w:hAnsi="arial" w:cs="arial"/>
          <w:b/>
          <w:color w:val="000000"/>
          <w:sz w:val="20"/>
          <w:lang w:val="en-US" w:eastAsia="en-US" w:bidi="ar-SA"/>
        </w:rPr>
        <w:t xml:space="preserve">Torts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 standard of care of driver — Travelling too close to vehicles ahead (tailgating) — Keeping a proper lookout — Defences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What constitutes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Damage awards — Injury and death — Body injuries — Back — Neck injuries — General damage awards — Pain and suffering, loss of amenities and other nonpecuniary damages — Loss of profits — Loss of earning capacity — Limits of compensatory damages — Predisposition to damage (thin skull rule) — Personal injury, victim's physical condition.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03" w:name="Case Summary_28"/>
            <w:bookmarkEnd w:id="20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Peterson against the defendant Cabot for damages sustained in a motor vehicle accident. On May 22, 1996 Peterson slowed down for highway traffic that stopped ahead of him. Cabot's truck rapidly approached behind him. Peterson was unable to avoid the collision. Cabot claimed that Peterson was contributorily negligent. He first saw Peterson six car lengths ahead of him. He did not see any brake or hazard lights on Peterson's car. Cabot was charged with following too closely. Peterson was involved in two motor vehicle accidents in 1989 that caused pain and injury to his neck and back. He delivered newspapers with his wife and operated a craft business. The newspaper work was physically demanding. Earnings from this business between 1991 and 1998 fluctuated between a low of $500 and high of $19,000. In 1995 Peterson was diagnosed with Hepatitis C. He took sick leave in March 1996 because his medication exacerbated his symptoms. He hoped to return to work in June 1996 when his treatment was completed. After the accident Peterson complained about pain down his neck and back and a sore left arm. In August 1996 he was troubled by increased fatigue. He developed hypothyroidism. Peterson was given new medication to treat this condition and the Hepatitis. Peterson returned to the newspaper work in the fall of 1996. He was in much pain and could only work with the assistance of painkillers. Peterson fell in September 1997 and injured his coccyx. His residual problems were neck pain and occipital headaches.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04" w:name="Holdings of Court_23"/>
            <w:bookmarkEnd w:id="204"/>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Peterson was awarded damages of $68,000. Cabot was liable for the accident. He followed too closely and drove without due care and attention. The accident contributed to some of Peterson's injuries. Peterson did not prove that he would have returned to work in June 1996 if not for the accident. His injuries from the accident were in the moderate range. Their effect was more severe because of his pre-existing condition. Nonpecuniary damages were assessed at $40,000. It was difficult to assess past loss of income because Peterson did not generally have steady income. Damages for past loss of income were set at $15,000. Peterson's capacity to earn future income was reduced in the short term by the accident. Damages under this category were fixed at $12,000.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05" w:name="Legislation Cited_17"/>
      <w:bookmarkEnd w:id="20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65" style="position:absolute;z-index:2517391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Motor Vehicle Act, s. 164.</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06" w:name="Counsel_28"/>
      <w:bookmarkEnd w:id="20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66" style="position:absolute;z-index:2517903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W.R. Mullen, for the plaintiff. J.A. Graham,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07" w:name="Judgment_28"/>
      <w:bookmarkEnd w:id="207"/>
      <w:r>
        <w:pict>
          <v:line id="_x0000_s1167" style="position:absolute;z-index:25184051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5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08" w:name="R.M.J. HUTCHINSON J."/>
            <w:bookmarkEnd w:id="208"/>
            <w:r>
              <w:rPr>
                <w:rFonts w:ascii="arial" w:eastAsia="arial" w:hAnsi="arial" w:cs="arial"/>
                <w:b/>
                <w:color w:val="000000"/>
                <w:sz w:val="30"/>
                <w:lang w:val="en-US" w:eastAsia="en-US" w:bidi="ar-SA"/>
              </w:rPr>
              <w:t>R.M.J. HUTCHINSON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is a resident of Parker, near Denver, Colorado, U.S.A. He is now 43 years old. In May 1996 he and his wife came to Vancouver Island to visit relatives in Nanaimo. The plaintiff is a keen fisherman so on 22 May 1996 he decided to drive to Campbell River to do some fishing. He was alone in his 1995 Honda Civic hatchback. On his return he was travelling south on the Island Highway approaching Mud Bay when he was involved in a motor vehicle accident at about 4:15 p.m. He seeks damages from the defendant for injuries he received in that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defendant concedes, through counsel, that he was negligent, but alleges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the area of the accident the highway was a two lane paved road divided by a centre line. The road surface was wet, as it had rained. The speed limit was 80 kilometres per hour and just before the scene of the accident the road curved right for southbound traffic. The plaintiff was travelling between 80 and 90 kilometres per hour as he rounded the curve, and he saw a line of vehicles stopped ahead of him in the northbound lane. He could see no reason for this, so he slowed down. As he approached the lead northbound vehicle he glanced in his rear view mirror and saw the defendant's truck approaching him fast as if it had no intention of stopping. He turned his wheels to the right and tried to get off the travelled portion of the highway, but wished to avoid going into a ditch to the right of the shoulder. He believes he was still moving slowly at the point of impact but said his foot was on the brake. After the accident the plaintiff saw some quail on the roadway, and a witness, Albert Taylor, who had been driving northbound, confirmed that the northbound traffic had stopped to let the quail cross the road from east to west. Taylor could see the possibility of a collision involving the oncoming truck so he started to look for an escape should it cross the centre 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defendant said that he was driving his 1981 Ford 3/4 ton truck south with his foreman to attend a meeting. He said he was in no rush. This evidence conflicts with that of the plaintiff who said the defendant was angry and after the accident said he was going to be late for an important meeting. I find this discrepancy in the evidence has no bearing on the conclusion I reach, which is not based on excessive speed on the part of the defendant. The defendant said he saw the plaintiff vehicle ahead of him in his lane: he said it was going slowly or was stopped, and he first noticed it five to six car lengths ahead of him. He said he did not see any brake lights or hazard lights on the Honda. He braked, and slipped a little on the road surface, so he then pumped the brakes. He could not cross the centre line as it was occupied by a line of traffic. His front right fender struck the left rear of the Honda and both vehicles ended up in the ditch or partially in the ditch: the Honda came to rest facing north. The plaintiff said that at the time of the collision his vehicle was mostly to the right of the fog line but this testimony is inconsistent with that of the defendant and the witness Turner who said he was still in the southbound lane at the moment of impact. I accept the evidence of the defendant and Turner on that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defendant was charged with the violation of following a vehicle too close contrary to s. 164 of the Motor Vehicle Act. He did not dispute the charge.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defendant called as a witness Robin Brown, a professional engineer, who examined photographs of the vehicles and the scene of the accident taken by the police after the accident. Brown estimated that the visibility of a vehicle travelling south round that curve was about 250 meters: he reached that conclusion from the photographs and the number of telephone poles visible on the side of the road. That estimate was not challenged and I accept it. He gave the coefficient of friction of a wet paved surface and estimated the stopping distance of a vehicle on such a surface from the moment of braking to a stop to be 53 metres if the vehicle was travelling at 90 kilometres per hour, and 41.2 metres if it was travelling 80 kilometres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Brown said that a vehicle travelling at 80 kilometres per hour covers 22.2 metres per second, and at 90 kilometres it covers 25 metres per second. He said that the reaction time for a surprised driver is 1.1 seconds, and for an alerted driver it is .07 seconds. Consequently a surprised driver at 90 kilometres per hour will travel 27.5 metres before reacting. For an alerted driver, one who sees a hazard light, a brake light or some other indication of danger the reaction time at 90 kilometres per hour is 17.5 metres and 15.5 metres at 80 kilometres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Brown used a Slam computer program to assess the speed change of the vehicles from his examination of the photographs: as he did not see the vehicles himself he had to make an allowance to be on the conservative side. He estimated the speed change from the damage sustained by the pickup truck to be 14 to 15 kilometres per hour. The evidence of the witnesses indicates that the truck continued after striking the Honda and went into the ditch, so not all the energy in the truck was absorbed by the crash. Brown estimated the speed change from the damage sustained by the Honda was about 30 to 32 kilometres per hour. Whichever figure is used it is probable that the truck was travelling at at least 15 kilometres per hour or more at the time of impact, so had reduced its speed by 75 kilometres per hour or less before striking the plaintiff's vehicle. If the truck was travelling at 90 kilometres per hour, Brown said it would need 53 metres to stop after perception and reaction and a surprised driver's perception and reaction would carry him 27.5 metres (at 1.1 seconds) coming to a total of 80.5 metres. Since the truck did not stop at the moment of impact it had probably started braking considerably less than 53 metres from the point of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 came around the same corner no more that 10 seconds before the defendant. He was alerted to a possible hazard by the line of stopped traffic in the northbound lane. He slowed down to see if there was a hazard. He had no difficulty in bringing his car to a stop, or almost to a stop, then try to take evasive action before the collision. None of the northbound vehicles had put on hazard lights; it was not necessary for the plaintiff to do so as he could not see why the oncoming vehicles had stopped. The plaintiff said he applied his brakes, but the defendant said he saw no lights: that does not mean they were not operating; alternative explanations are that the defendant was not paying attention or he saw the plaintiff's vehicle when he was no longer applying his brakes. The plaintiff was behaving in a prudent, cautious way, was in his own lane and having come around the same curve knew that the stopped line of northbound traffic would alert any other southbound driver coming around the same curve some 250 metres away: he could also conclude from his own experience that any vehicle travelling south would have ample time to see his vehicle, see the stopped north bound vehicles and bring his vehicle to a stop without causing any risk of an accident. Neither the plaintiff nor Taylor suggested the truck was being driven at a high rate of speed. If, as Brown said, a surprised driver at 90 kilometres per hour on that road in those conditions only requires 80.5 metres to stop, then the defendant had three times that distance in which to stop his vehicle. I find that the plaintiff slowing down almost to a stop in the way he did and in the place he did, neither caused nor contributed to the cause of the accident. If the defendant did not see the plaintiff slowing or stop until he was five to six car lengths away he was clearly not paying proper attention to traffic on the road and was too close when he perceived the danger and took evasion action. I find the defendant was wholly at fault for the accident for following too closely and for driving without due care and attention.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QUANTUM OF DAMAGES</w:t>
      </w:r>
      <w:r>
        <w:rPr>
          <w:rFonts w:ascii="arial" w:eastAsia="arial" w:hAnsi="arial" w:cs="arial"/>
          <w:sz w:val="20"/>
          <w:lang w:val="en-US" w:eastAsia="en-US" w:bidi="ar-SA"/>
        </w:rPr>
        <w:cr/>
      </w:r>
    </w:p>
    <w:p>
      <w:pPr>
        <w:numPr>
          <w:numId w:val="1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 was born in 1957, and has been married for 15 years. He went to college, and in 1989 was involved in two motor vehicles accidents that caused pain and injury to his neck and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1989 the plaintiff was working as a fishing supply salesman and then was unemployed in early 1990. In March 1990 he obtained work at a hearing centre. The medical records show that the symptoms from the 1989 accident continued into mid 1990, and limited the use of his arms because of trapezius spasm, and prevented physical activity because of socroiliitus. According to the plaintiff these problems had resolved by the time of the accident of 22 May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1991 the plaintiff and his wife started to work delivering and distributing newspapers for the two main Denver newspapers, the Rocky Mountain News and the Denver Post. The plaintiff and his wife worked together and filed joint income tax returns. They also started up a craft business called S &amp; R Crafts, which made very little profit, but paid for the purchase of their vehicles and allowed them to write off some other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1995 the plaintiff suffered from headaches, fatigue, aching joints, lassitude and weakness. He was diagnosed as having Hepatitis C which was confirmed by a biopsy of his liver. He found it increasingly difficult to work, and then in March 1996 he started to take alpha interferon therapy under the direction of Dr. Farrar, a specialist in internal medicine and a gastro-enterologist, in an attempt to cure the Hepatitis C. The use of this drug exacerbated the symptoms, and he took the maximum of 90-day sick leave effective 13 March 1996: his wife continued to do the work of distributing the newspapers, and they hired someone to assist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May 1996 the plaintiff and his wife decided to visit relatives on Vancouver Island as the plaintiff was feeling a little better. He had been using a cane for support when walking but he said this was seldom used by mid-May 1996. The doctors treating the plaintiff could not predict whether he would be fit to return to work before the Interferon treatments were completed in October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accident occurred on 22 May 1996. After the accident the plaintiff was taken to St Joseph's Hospital in Comox. He was complaining of pain down his neck and back and a sore left arm. His back was x-rayed and showed no abnormality except for some minor wedging at the C5 which the radiologist said was likely old. The plaintiff was discharged that night; the next day he saw a doctor in Nanaimo to whom he complained of pain in his head, neck, lower back and left wrist. He obtained a neck brace. His vehicle was written off in the accident so he flew back to Denver with his wife where he consulted Dr. Pham, a neurologist, who since that time has continued to treat the plaintiff for his injuries from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 continued with the course of Interferon. He was due to return to work on 28 June 1996, but he was not well enough to do so because of the effects of the accident and Hepatitis C, he resigned his position with the newspaper which made him eligible to be hired again when he recovered: that decision also preserved some medical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August 1996 the plaintiff was troubled by increased fatigue; the internal specialist who had been managing his treatment for Hepatitis C, Dr. Farrar, found he had developed hypothroidism: this was probably caused by the Interferon so that treatment was discontinued and he was prescribed Levothyroxine, a thyroid replacement drug. Later tests showed that the Hepatitis C had not been cleared by the Interferon but because of the side effects on his thyroid gland, Dr. Farrar and the plaintiff's regular physician, Dr. Jamison, decided not to resume the Interferon therapy. Dr. Farrar's plan was then to monitor his liver function tests and await other types of therapy which may become available in the future. In Dr. Farrar's opinion at trial (given by videotape and accompanying transcript) was that the plaintiff currently has mild chronic Hepatitis C which places him in no immediate danger.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Dr. Steinbrecher, an internal specialist and Professor of Gastroenterology at the University of British Columbia, testified on behalf of the defendant. He never saw the plaintiff but reviewed Dr. Farrar's reports and the clinical notes made by the various physicians who had treated the plaintiff. Dr. Steinbrecher is of the opinion that, given the extent of the plaintiff's disability before May 1996, there was a 50% chance that he would have developed sufficient symptoms from Hepatitis C to interfere with his ability to function in his occupation as newspaper distributor within five to ten years. Because of his slow recovery, and "symptom magnification response" (observed and documented by an occupational therapist, Rachel Siler, who made a functional capacity assessment of the plaintiff in April 1997), Dr. Steinbrecher was of the opinion that the plaintiff was at high risk of disability from symptoms of Hepatitis C. He believed the plaintiff's disease was still at an early stage and unless serious complications developed in the interim, it would take more than 20 years from 1996 for it to progress to advanced liver disease. Dr. Steinbrecher did not believe the thyroid replacement therapy was needed any longer: he said the plaintiff should start a combination therapy of Interferon and Ribovarin and if he did so he would have a 60% chance of being cured of Hepatitis C: that would arrest the disease and perhaps result in improved liver function. Dr. Steinbrecher recognized that resuming Interferon therapy could again cause dysfunction in the thyroid, which could become permanent. At the trial the plaintiff said he had started Interferon therapy again in November 1999 and will continue with it for six months unless he develops side effects.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plaintiff did not introduce any evidence to contradict or question Dr. Steinbrecher's opinions, so I accept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December 1996 the plaintiff slipped on ice while driving and bumped his head, but received no medical treatment from that injury, though it aggravated his headaches. In September 1997 the plaintiff fell and damaged his coccyx, which was x-rayed in April 1998 and was found to have been displaced. He spoke to Dr. Pham about this at the time of this injury, and was examined by Dr. Pham on 1 October 1997 when he told Dr. Pham he still had a lot of pain in the area of his coccyx. Because of this injury the plaintiff and his wife delayed a scheduled visit to Malaysia, and the plaintiff was in great discomfort from that injury when flying there in November 1997. He returned to Denver in December 1997. Dr. Pham did not mention the injury to the plaintiff's coccyx in his report to the plaintiff's solicitor of 14 October 1998 so it is difficult to tell if the low back pain referred to in that report resulted from the displaced coccyx or other causes.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plaintiff developed migraine headaches in 1998. Counsel did not suggest these were related to the accident of 22 May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Because of his medical condition the plaintiff did not start to work again distributing newspapers until the fall of 1996. To begin with he put inserts into the papers, and drove while his wife did the lifting, throwing, and loading. In 1997 he started some throwing and gradually worked back into all the other phases of the work: he said he was in a lot of pain and took analgesics and other medications to mask the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newspaper distribution and delivery business involves lifting bundles of papers that weigh up to 45 or 50 pounds a bundle, putting in inserts, bagging them if necessary and then driving around the route putting them in boxes or throwing them onto porches. The work has to be done before 6:00 a.m. If there are customer complaints they have to be dealt with during the day. The plaintiff has worked as an independent contractor for the Rocky Mountain News and the Denver Post. Both newspapers have a circulation of about 380,000 on weekdays and 510,000 on Sundays, and the competition is fierce. The Sunday papers weigh between six and seven pounds each, and the work is physically strenuous, particularly in pushing the carts at the distribution centre and in lifting the bundles.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plaintiff was highly regarded by his colleagues and superiors, four of whom testified. They found him willing, quick to deal with complaints and easy to direct. He paid good attention to detail and was punctilious in handling accounts. Greg Filkin, the circulation manager for the Denver Post, has had the plaintiff and his wife work directly for him from March 1999 and would recommend the plaintiff for the position of Assistant District Manager if such a position were to become available, assuming the plaintiff could handle it. This is staff position carrying with it many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At the trial I had the occasion to view several hours of surveillance on videotape which gave the flavour of the work and how the newspapers are handled. Filkin said that at present most of the heavy physical work is done by the plaintiff's wife. That did not appear to be the case from the videotapes given in evidence; they showed the plaintiff moving the carts, lifting some bundles from benches, though he did not appear to be able to bend down to the floor. Filkin said that handling the bundles is heavy work and he could not do it every day. He noticed the plaintiff is slower than his colleagues, and has to take more trips because of his medical problems.</w:t>
      </w:r>
      <w:r>
        <w:rPr>
          <w:rFonts w:ascii="arial" w:eastAsia="arial" w:hAnsi="arial" w:cs="arial"/>
          <w:sz w:val="20"/>
          <w:lang w:val="en-US" w:eastAsia="en-US" w:bidi="ar-SA"/>
        </w:rPr>
        <w:cr/>
      </w:r>
    </w:p>
    <w:p>
      <w:pPr>
        <w:numPr>
          <w:numId w:val="2"/>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Given the medical history of the plaintiff, it is clear that the accident caused or contributed to some of the injuries presently complained of by the plaintiff. Because he suffered from a serious condition before the accident, it is necessary to assess his position at the time of the accident, and determine to what extent that position has been altered by the injuries he sustained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leading case on this issue is Athey v Leonati </w:t>
      </w:r>
      <w:hyperlink r:id="rId13"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Major J. for the court set out the principles a court must apply at paragraph 32: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 . The essential purpose and most basic principle of tort law is that the plaintiff must be placed in the position he or she would have been in absent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"original position"). However, the plaintiff is not to be placed in a position better than his or her original one. It is therefore necessary not only to determine the plaintiff's position after the tort but also to assess what the "original position" would have been. It is the difference between these positions, the "original position" and the "injured position", which is the plaintiff's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Major J. was dealing with independent events that intervened between the tort and the assessment of damages as well as the condition that existed prior to the tort but diagnosed after the tort (see Jobling v Associated Dairies Ltd. [1981] 2 All E.R. 752 (H.L.)). Major J. went on to consider the principles that should be applied in the case of a condition that existed immediately before the accident. At paragraphs 34 and 35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The "crumbling skull" doctrine is an awkward label for a fairly simple idea. It is named after the well-known "thin skull" rule, which makes the tortfeasor liable for the plaintiff's injuries even if the injuries are unexpectedly severe owing to a pre-existing condition. The tortfeasor must take his or her victim as the tortfeasor finds the victim, and is therefore liable even though the plaintiff's losses are more dramatic than they would be for the average person.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so-called "crumbling skull" rule simply recognizes that the pre-existing condition was inherent in the plaintiff's "original position". The defendant need not put the plaintiff in a position better than his or her original position. The defendant is liable for the injuries caused, even if they are extreme, but need not compensate the plaintiff for any debilitating effects of the pre-existing condition which the plaintiff would have experienced anyway. The defendant is liable for the additional damages but not the pre-existing damage: Cooper-Stephenson, supra, at pp. 779-780 and John Munkman, Damages for Personal Injuries and Death (9th ed. 1993), at pp. 39-40. Likewise, if there is a measurable risk that the pre-existing condition would have detrimentally affected the plaintiff in the future, regardless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then this can be taken into account in reducing the overall award: Graham v. Rourke, supra: Malec v. J.C. Hutton Proprietary Ltd. supra: Cooper-Stephenson, supra, at pp. 851-852. This is consistent with the general rule that the plaintiff must be returned to the position he would have been in, with all of its attendant risks and shortcomings, and not a better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this case the evidence shows that the plaintiff's Hepatitis C would have detrimentally affected him for a considerable time; the attempts to cure him in 1996 were frustrated by the side effects caused by the treatment. The treatment itself exaggerated the symptoms of Hepatitis C and caused him to take sick leave. He went back to the equivalent of light duties in October 1996. At that point he was suffering from some of the consequences of the accident as well as Hepatitis C and hypothyroidism. In his report of 30 November 1998 Dr. Farrar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regard to your question, Mr. Mullen, about whether Mr. Peterson would have been able to return to work on the job at The Denver Post while taking alpha interferon, I believe that he would have been able to return, and certainly the thyroid hypofunction has responded well to replacement therapy. From that standpoint, he should be able to perform normally even in the presence of these two chronic medical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two chronic medical problems referred to by Dr. Farrar were Hepatitis C and hypo-thyroidism. It is not clear from his report when the plaintiff could have returned to work had he not been involved in the accident. The Interferon treatment was continued until August 1996 when the hypo-thyroid condition was identified; it was then stopped and the plaintiff started thyroid replacement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his videotaped testimony Dr. Farrar said it is hard for a person to continue to work while on Interferon. That had been the plaintiff's experience and that was why he took sick leave in March 1996. Dr. Farrar said he was doing well on Interferon in June 1996, but neither in his report nor in his testimony did he say that had the accident not occurred he would have expected him to be capable of returning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his opinion of 13 November 1999 Dr. Steinbrecher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Other symptoms commonly reported by patients with hepatitis C include joint paints, (sic) difficulty concentrating, poor memory and depression. Mr. Peterson apparently suffered from at least some of these, and it is possible that they were at least partly due to hepatitis C. Clearly, these symptoms could also have had a negative impact on his job performance. Some patients with hepatitis C are able to function in demanding occupations, but others need to cut back to part-time work or quit work altogether. Given his unusually slow recovery and severe incapacity subsequent to the motor vehicle accident as well as the documentation of "Symptom Magnification Response" I would consider Mr. Peterson to be at high risk of disability from symptoms related to hepatitis 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These facts have relevance to the plaintiff's claim for non-pecuniary damages as well as for past loss of income. In both instances the burden of the proof is on the plaintiff to establish the facts on a balance of probabilities. I find the plaintiff has not proven to that standard that but for the accident he would have returned to work in June 1996. His original position, taking into consideration his personality, his past history and his low threshold of pain, as observed by Dr. Pham, is that he would have been disabled from returning to work until September 1996 at the earliest.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October 1996 the plaintiff began to assist his wife in a minor way in her delivery of the newspapers. At first this took the place of putting in the inserts and by 1997 he took over more responsibilities, such as driving and bagging.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1997 he was able to assist his wife more and more, and took over some of the main responsibilities of the newspaper distribution and delivery. He had a set back in September 1997 when he fell and injured his coccyx so he was disabled by an intervening event for at least three months. From 1998 on he has been functioning, albeit with difficulty and I attribute some of those difficulties to the accident of May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Apart from aggravating some of the symptoms he had from Hepatitis C., the accident of May 1996 also caused him pain unrelated to the symptoms from Hepatitis C; it has restricted his ability to engage in his hobbies of shooting and fishing thus diminishing his enjoyment of life. In a report of 14 October 1998 Dr. Pham said the plaintiff still had frequent headaches, neck pain and back pain: he had headaches before the accident from Hepatitis C, but he said the nature of the headaches was different: Dr. Pham described the headaches caused by the accident as occipital.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his testimony the plaintiff said the low back pain from the accident resolved quickly, so I conclude the back pain mentioned by Dr. Pham in his report of 14 October 1998 originated from the fall of September 1997 when he injured his coccyx. The residual problem in 1998 from the accident of May 1996 was the neck pain and occipital headaches; according to the plaintiff they continue to the present time. Since 1996 the plaintiff has had an abundance of treatment, and he takes many medications such as muscle relaxants, sleeping pills and analgesics to help him cope. He has undergone a great deal of passive treatment from chiropractors, massage therapists and an acupuncturist with no more than temporary relief. He has resisted the advice of Dr. Chan, a specialist in physical medicine, and his physiotherapist Ms. Tanaka, that his condition would be improved if he engaged in an active exercise program. Dr. Chan told him that on three occasions, on 31 October 1996, on 25 November 1996 and on 8 January 1997. Ms. Tanaka made the same suggestions. She also took him to the gym to show him beneficial exercises but he did not pursue them. Dr. Pham also recommended exercise. Ms. Siler, an occupational therapist, said in her report that the plaintiff magnified his responses to the symptoms, and Dr. Chan suggested he indulge in somaticization which Dr. Farrar defined as multiple complaints for which there is no organic cause. Dr. Pham, in his report of 3 October 1999, said that he had not recommended the treatments by the chiropractors and the massage therapists, but believed the plaintiff should be on an exercise program. Dr. Pham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Basically, the patient had a whiplash injury, with resultant neck strain leading to myofascial pain syndrome, involving the neck, causing muscle tension headache and occasional migraines. (Actually, his neck' ROM was slightly improved. When I remeasured his neck during the last visit, his impairment rating for ROM decreased from 20% in '96 to 14% in '99). To me, he seemed to have a low pain threshold and a lot of self-pity, and sometimes, I wonder the fact that he had underlying hepatitis C contributed to that psychological 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It was conceded at trial that the migraines were not related to the accident. I find the plaintiff still had some residual effects from the accident some four years after the accident that caused him discomfort and diminished his enjoyment of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 conclude that the plaintiff's injuries from the accident would have been in the moderate range but because of his pre-existing condition the effect on him was moderate/severe. I assess damages under this head at $40,000.00.</w:t>
      </w:r>
      <w:r>
        <w:rPr>
          <w:rFonts w:ascii="arial" w:eastAsia="arial" w:hAnsi="arial" w:cs="arial"/>
          <w:sz w:val="20"/>
          <w:lang w:val="en-US" w:eastAsia="en-US" w:bidi="ar-SA"/>
        </w:rPr>
        <w:cr/>
      </w:r>
    </w:p>
    <w:p>
      <w:pPr>
        <w:numPr>
          <w:numId w:val="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Past Loss of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plaintiff and his wife filed joint income tax returns. Most of the time they worked as a team and their net declared income after expenses was modest. In 1991 and 1992 part of their income came from unemployment payments. Their second business, S &amp; R. Crafts hardly ever made a profit and was not operating after 1995. Their business income from newspaper distribution (after expenses) was as follows (these figures are in U.S. funds):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50"/>
        <w:gridCol w:w="1987"/>
        <w:gridCol w:w="731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1991</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$ 9,135</w:t>
            </w:r>
          </w:p>
        </w:tc>
        <w:tc>
          <w:tcPr>
            <w:tcW w:w="716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1992</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463</w:t>
            </w:r>
          </w:p>
        </w:tc>
        <w:tc>
          <w:tcPr>
            <w:tcW w:w="716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1993</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8,866</w:t>
            </w:r>
          </w:p>
        </w:tc>
        <w:tc>
          <w:tcPr>
            <w:tcW w:w="716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1994</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11,756</w:t>
            </w:r>
          </w:p>
        </w:tc>
        <w:tc>
          <w:tcPr>
            <w:tcW w:w="716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1995</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17,710</w:t>
            </w:r>
          </w:p>
        </w:tc>
        <w:tc>
          <w:tcPr>
            <w:tcW w:w="716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1996</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17,236</w:t>
            </w:r>
          </w:p>
        </w:tc>
        <w:tc>
          <w:tcPr>
            <w:tcW w:w="716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1997</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18,742</w:t>
            </w:r>
          </w:p>
        </w:tc>
        <w:tc>
          <w:tcPr>
            <w:tcW w:w="716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1998</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10,290</w:t>
            </w:r>
          </w:p>
        </w:tc>
        <w:tc>
          <w:tcPr>
            <w:tcW w:w="7168"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1999 figures were not available, but in addition to working in the newspaper business they took on work delivering flowers as relief drivers. In the period from February to October 1999 they grossed $10,669 (U.S.) from that source.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Counsel for the plaintiff submitted the plaintiff was only suited to sedentary work, yet he has not sought out work of that nature. He has experience in sales from 1990, is personable and according to those who work with him, efficient. Yet he has gone back to a physically demanding occupation: the video surveillance showed he had very little apparent discomfort or restricted ability to perform his duties though he said this was because of the medications he took to mask the pain. Furthermore, the fact that his income is reported jointly with that of his wife makes it hard to assess how much of that income should be attributed to the plaintiff and how much to his wife. Their income in the year of the accident was only marginally less than the year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figure for their income in 1998 is inconsistent with those presented over the preceding three years and Gregory Taylor, a litigation consultant, offered the only explanation for the dip in income that year. 1997 was the year in which the plaintiff suffered an injury to his coccyx, which disabled him for a period; he was not taking Interferon that year; he was in Malaysia for one month and his wife was away for seven weeks in 1997. Nevertheless in 1997 their declared income from business sources and wages was higher than any year from 1991.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From 1991 until April 1996 the plaintiff and his wife worked as independent contractors for one or the other of the two major newspapers. They were distributors, which entailed picking up the bundles, putting in the inserts, bagging them and then driving around the route making deliveries. That involves relatively hard physical labour.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April 1995 the plaintiff was offered and accepted the staff position of assistant state manager of the Denver Post. That is a supervisory, salaried position and the plaintiff was paid $360 per week together with medical benefits, two weeks holiday pay and coverage for his wife. He continued in that position until 13 March 1996 when he went on sick leave at the time he started Interferon treatments. He was still not able to return to work by 28 June 1996 when his sick leave ran out so he resigned his position. Had he not done so, he would have been terminated.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When he was fit to return to work he started to help his wife who had a route as an independent contractor. He has not been offered a staff position again, and he states that the reason is that he cannot get medical clearance which an employer would require. The medical evidence does not address this issue directly and the plaintiff did not say that he has been refused such medical clearance. The plaintiff said it would not be given and he does not feel he could now handle that position. If he had been on staff as an assistant state manager he would have been eligible to apply for more senior positions such as state manager or zone manager which carry a greater income, better opportunities to earn bonuses and improved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plaintiff's employment since October 1996 has been irregular and he has picked up and discarded routes for both newspapers over that time. His wife is now working regularly 25 hours a week cleaning the warehouse, putting bundles of papers together and some other assorted work for Gregory Filkin, the circulation manager of the Denver Post. She helps the plaintiff until he goes off to deliver the papers and then she helps Filkin.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plaintiff retained Gregory Taylor, a certified public accountant and financial and litigation consultant to determine the value of the plaintiff's past loss of income on the assumption that he had continued to work at the position he held at the time of the accident, to 9 December 1999 when the trial commenced. The first set of figures assumed he had no promotion, and allowed for an annual increase of 5.5%. This came to $79,530 (U.S.) together with 30% worth of benefits having a value of $23,859 (U.S.). Mr. Taylor found that the plaintiff's proportion of income declared in the tax returns over that period amounted to $19,400 (U.S.) and benefits were received only for 1996 amounting to $2,916 (U.S.) totalling $22,316. He found the net loss of income and benefits to be $81,073 (U.S.) on those figures. Had he received a promotion after four years from his first employment in that position in April 1995 the net figure to the time of trial would be $85,300.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his calculations Taylor indicated that the plaintiff ". . . reported the following wages and pro-rated net income on his income tax return." Aside from the wages that are recorded for the years 1995 and 1996 there is nothing in the income tax returns for 1996, 1997 or 1998 to indicate what proportion of the income for those years was attributable to the plaintiff what proportion was attributable to his wife. I can conclude from the testimony of the doctors, the plaintiff and Mrs. Peterson that his income in 1997 was low; Taylor's figures indicate his proportion of the income was $3,300 (U.S.), and in 1998 it was $1,450 (U.S.). The latter figure is inconsistent with the evidence, which was to the effect that his condition stabilized in 1998, and he became more active in distributing newspapers. The synopsis for 1998 prepared by the plaintiff indicates that he worked all of that year on different routes for both the Rocky Mountain News and the Denver Post. It indicates that Mrs. Peterson did not start working for Filkin until 6 June 1998. Moreover, the calendar they kept indicates Mrs. Peterson did not return from Malaysia until 11 February 1998. For these reasons I cannot rely on the proportion of the 1997 or 1998 income that is presumed by Taylor to be attributable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figures projected by Taylor are based on the plaintiff's inability to work full time. Several factors need to be considered when assessing damages:</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large component of the plaintiff's incapacity is the effect of Hepatitis C and hypothyroidism, which would have detrimentally affected the plaintiff regardless of the accident.</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did not follow the advice of his caregivers and engage in an exercise program which would likely have accelerated his recovery.</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late 1998 and early 1999 when the video surveillance was conducted he appeared to be functioning adequately, and was able to perform the tasks required of him at work.</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Taylor projected the plaintiff's wages for 1999 at $3,300 (U.S.) for which I could find no reliable basis.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had previously worked for wages, and as an independent contractor had moved about; at one stage he took one to two months off. He does not have a history of steady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medical evidence indicates that the plaintiff has a low pain threshold, and so I find it was unlikely that he return to work until the Interferon therapy had been completed: then the thyroid complications became manifest, so even if he had not been involved in the accident, it is unlikely he would have returned to full-time work before September 1996. I find his inability to return to work in September was caused by the accident which delayed his re-entry into the work force. It probably delayed his ability to work as fast or for such long hours as he had done before. He still has some lingering physical problems that were caused by the accident and they continue to reduce his capacity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It is impossible to discern with any precision the exact amount of the plaintiff's past loss of income as there is historically no steady income stream except for the period of April 1995 to March 1996. On the figures available to me and taking into account the factors I have set out above, I award damages of $15,000 (U.S.) under this head.</w:t>
      </w:r>
      <w:r>
        <w:rPr>
          <w:rFonts w:ascii="arial" w:eastAsia="arial" w:hAnsi="arial" w:cs="arial"/>
          <w:sz w:val="20"/>
          <w:lang w:val="en-US" w:eastAsia="en-US" w:bidi="ar-SA"/>
        </w:rPr>
        <w:cr/>
      </w:r>
    </w:p>
    <w:p>
      <w:pPr>
        <w:numPr>
          <w:numId w:val="5"/>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Future Loss of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Many of the relevant factors have already been considered under the head of past loss of income. Taylor projected the plaintiff's future loss of income and benefits based on his expected work life. He propounded those figures on the assumption of one promotion, two promotions and three promotions. Those figures came to $517,600 (U.S.), $606,200 (U.S.) and $926,400 (U.S.) respectively. For many of the reasons canvassed under the preceding head of damages, I find these projections unreliable and lack an evidentiary foundation. For example it is impossible to predict with any accuracy the length of time the plaintiff can be expected to work when he suffers from Hepatitis C. Dr. Steinbrecher said in his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Given the extent of his disability prior to the motor vehicle accident in May 1996, the chance that Mr. Peterson would have developed ongoing symptoms from hepatitis C sufficient to interfere with his ability to function in his former occupation at some point in the next 5-10 years is substantial, probably in the range of 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Taylor did not have Dr. Steinbrecher's report, but he did have Dr. Farrar's report which did not deal with work life expectancy, though in dealing with life expectancy Dr. Farrar said he could not make a prediction. I accept the opinion of Dr. Steinbrecher, a witness with remarkably high credentials and a wide experience in this field.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assessment of damages suffered by the plaintiff is complicated by the opinions of Dr. Chan and Ms. Siler; Ms. Siler thought the plaintiff was not putting forth a genuine effort in some parts of the Function Capacity Evaluation. Dr. Chan, in his report of 24 November 1998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It should also be noted that a Function Capacity Evaluation was available. However, work restrictions cannot be based on Functional Capacity Evaluation since there have been quite a few inconsistencies on FCE. First and foremost, the patient failed all validity testing. Secondly, his performance is consistent with those obtained from individuals identified as having symptom magnification response. Thirdly, the patient also has a very disabled view of himself as seen in the West Tool Sort which is a self-report instrument designed to provide information about the patient's perception of his ability to perform work tasks. Lastly, the patient was only able to generate 5 pounds of lifting on the West Wall Frame. This is nonphysiologic because activities of daily living require at least 10 pounds of exertion. For these reasons, I do not feel that work restrictions should be based on FCE alone.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 am satisfied that there is a real and substantial possibility that the plaintiff has a reduced capacity to earn an income in the short term by reason of the accident of 22 May 1996. I assess damages under this head at $12,000 (U.S.).</w:t>
      </w:r>
      <w:r>
        <w:rPr>
          <w:rFonts w:ascii="arial" w:eastAsia="arial" w:hAnsi="arial" w:cs="arial"/>
          <w:sz w:val="20"/>
          <w:lang w:val="en-US" w:eastAsia="en-US" w:bidi="ar-SA"/>
        </w:rPr>
        <w:cr/>
      </w:r>
    </w:p>
    <w:p>
      <w:pPr>
        <w:numPr>
          <w:numId w:val="6"/>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plaintiff will require some medication in the future, and should become involved in a structured exercise program. Dr. Pham did not think the passive treatments of chiropractic, massage or acupuncture had any beneficial effect. I agree with defence counsel that no more than a nominal award should be made. I set that at $1,000 (U.S.). I find no reason to increase that figure for lawn care or household maintenance.</w:t>
      </w:r>
      <w:r>
        <w:rPr>
          <w:rFonts w:ascii="arial" w:eastAsia="arial" w:hAnsi="arial" w:cs="arial"/>
          <w:sz w:val="20"/>
          <w:lang w:val="en-US" w:eastAsia="en-US" w:bidi="ar-SA"/>
        </w:rPr>
        <w:cr/>
      </w:r>
    </w:p>
    <w:p>
      <w:pPr>
        <w:numPr>
          <w:numId w:val="7"/>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Defence counsel accepts the special damages claimed in Exhibit 11, Tab 1 except for the cost of a recliner chair, anticipated dental treatments and health insurance payments. Since I have not followed the approach taken by Taylor some of these issues may require further argument. If counsel wish to make further submissions on the disputed special damages I will hear them by telephone conference or in person if they wish: a date for that may be set with the trial coordinator.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Costs will follow the event on Scale III, unless counsel wish to make submissions on that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In summary the plaintiff will recover: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39"/>
        <w:gridCol w:w="240"/>
        <w:gridCol w:w="5108"/>
        <w:gridCol w:w="31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w:t>
            </w:r>
          </w:p>
        </w:tc>
        <w:tc>
          <w:tcPr>
            <w:tcW w:w="20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01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Non pecuniary damages in the sum</w:t>
            </w:r>
          </w:p>
        </w:tc>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$40,000.00 (Can)</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0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01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of</w:t>
            </w:r>
          </w:p>
        </w:tc>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w:t>
            </w:r>
          </w:p>
        </w:tc>
        <w:tc>
          <w:tcPr>
            <w:tcW w:w="20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01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Past loss of income</w:t>
            </w:r>
          </w:p>
        </w:tc>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$15,000.00 (U.S.)</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39"/>
        <w:gridCol w:w="240"/>
        <w:gridCol w:w="5108"/>
        <w:gridCol w:w="31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w:t>
            </w:r>
          </w:p>
        </w:tc>
        <w:tc>
          <w:tcPr>
            <w:tcW w:w="20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01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Loss of capacity to earn in the</w:t>
            </w:r>
          </w:p>
        </w:tc>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$12,000.00 (U.S.)</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0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01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future</w:t>
            </w:r>
          </w:p>
        </w:tc>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38"/>
        <w:gridCol w:w="240"/>
        <w:gridCol w:w="3336"/>
        <w:gridCol w:w="3961"/>
        <w:gridCol w:w="198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Future care</w:t>
            </w:r>
          </w:p>
        </w:tc>
        <w:tc>
          <w:tcPr>
            <w:tcW w:w="389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$1,000.00 (U.S.)</w:t>
            </w:r>
          </w:p>
        </w:tc>
        <w:tc>
          <w:tcPr>
            <w:tcW w:w="194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 to be assessed</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Costs on Scale III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awards in U.S. funds will be converted to Canadian funds at the rate of exchange prevailing on the date of publication of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R.M.J. HUTCHINSON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68" style="position:absolute;z-index:25188044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89"/>
          <w:headerReference w:type="default" r:id="rId790"/>
          <w:footerReference w:type="even" r:id="rId791"/>
          <w:footerReference w:type="default" r:id="rId792"/>
          <w:headerReference w:type="first" r:id="rId793"/>
          <w:footerReference w:type="first" r:id="rId79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95" w:history="1">
        <w:r>
          <w:rPr>
            <w:rFonts w:ascii="arial" w:eastAsia="arial" w:hAnsi="arial" w:cs="arial"/>
            <w:b/>
            <w:bCs/>
            <w:i/>
            <w:color w:val="0077CC"/>
            <w:kern w:val="32"/>
            <w:sz w:val="28"/>
            <w:szCs w:val="32"/>
            <w:u w:val="single"/>
            <w:shd w:val="clear" w:color="auto" w:fill="FFFFFF"/>
            <w:lang w:val="en-US" w:eastAsia="en-US" w:bidi="ar-SA"/>
          </w:rPr>
          <w:t>Pitcher v. Brown, [2015] B.C.J. No. 1737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Kelowna,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D.A. Betton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13-17, 20-24, 27-30,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May 1, 4, 5, and July 3,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12,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M70273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Kelowna</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[2015] B.C.J. No. 1737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BCSC 1415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Eija-Riitta Pitcher, Plaintiff, and Joseph Brown,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(156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69" style="position:absolute;z-index:2516889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09" w:name="Keywords_29"/>
      <w:bookmarkEnd w:id="209"/>
      <w:r>
        <w:rPr>
          <w:rFonts w:ascii="arial" w:eastAsia="arial" w:hAnsi="arial" w:cs="arial"/>
          <w:b/>
          <w:color w:val="000000"/>
          <w:sz w:val="20"/>
          <w:lang w:val="en-US" w:eastAsia="en-US" w:bidi="ar-SA"/>
        </w:rPr>
        <w:t>Damages — Physical and psychological injuries — Physical injuries — Body injuries — Soft tissue — Psychological injuries — Action by Pitcher for damages for personal injuries sustained in a motor vehicle collision allowed in part — The collision was a low-speed impact — Pitcher submitted that the collision caused several injuries including a neck injury and cervical dystonia — The defendant Brown admitted liability for the collision but denied that Pitcher was injured — Pitcher suffered soft tissue injuries to her neck and upper back in the collision — However, the cervical dystonia was a pre-existing condition — Pitcher failed to establish any accident-related loss of income — Pitcher was awarded special damages and $40,000 in non-pecuniary damages.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Considerations — Pre-existing medical conditions — Special damages — Non-pecuniary loss — Action by Pitcher for damages for personal injuries sustained in a motor vehicle collision allowed in part — The collision was a low-speed impact — Pitcher submitted that the collision caused several injuries including a neck injury and cervical dystonia — The defendant Brown admitted liability for the collision but denied that Pitcher was injured — Pitcher suffered soft tissue injuries to her neck and upper back in the collision — However, the cervical dystonia was a pre-existing condition — Pitcher failed to establish any accident-related loss of income — Pitcher was awarded special damages and $40,000 in non-pecuniary damages.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10" w:name="Case Summary_29"/>
            <w:bookmarkEnd w:id="21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Pitcher for damages for personal injuries sustained in a motor vehicle collision. The collision was a low-speed impact causing very minor damage to each vehicle. Pitcher, born in 1963, submitted that the collision caused several injuries including a neck injury, cervical dystonia and psychological disorders. She further submitted that her pre-accident health was good. She was seeking non-pecuniary damages, past loss of income and special damages. The defendant Brown admitted liability for the collision but denied that Pitcher was injured or suffered any damages. Brown submitted that the cervical dystonia and the related head or neck tremors were pre-existing.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11" w:name="Holdings of Court_24"/>
            <w:bookmarkEnd w:id="211"/>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Pitcher suffered soft tissue injuries to her neck and upper back in the collision. However, the cervical dystonia was a pre-existing condition and a great portion of Pitcher's psychological distress was a product of the tremors related to that condition. Furthermore, Pitcher failed to establish any loss of income that could be attributed to the injuries caused by the collision. Pitcher was awarded special damages and $40,000 in non-pecuniary damages.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12" w:name="Counsel_29"/>
      <w:bookmarkEnd w:id="21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70" style="position:absolute;z-index:2517401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A.K. Ueland, D.O. Shane.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J.A. Hemmerling, E.C.H. Ledding.</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13" w:name="Judgment_29"/>
      <w:bookmarkEnd w:id="213"/>
      <w:r>
        <w:pict>
          <v:line id="_x0000_s1171" style="position:absolute;z-index:251791360"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correction was released by the Court February 26, 2016; the change has been made to the text and the correction is appended to this document.]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BACKGROUND</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ISSUES AND POSITIONS OF THE PARTIES</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Credibility</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What was the state of the plaintiff's pre-accident health, and in particular, did she have neck or head tremors?</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Following the collision what symptoms (including the head tremors) were noted by the plaintiff and when?</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What was the precise nature of her pre-accident employment and to what extent if any, did the collision and resulting injuries affect her earnings following the accident?</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How significant were the forces on the plaintiff in the collision?</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To what extent and with what consequence is the plaintiff's conduct of the litigation relevant to her credibility and the assessment of her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CAUSATION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Psychological Disorders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Cervical Dystonia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Soft Tissue Injuries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CAPD (Central Auditory Processing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ASSESSMENT OF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Non-Pecuniary Loss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Pre-Trial Loss of Earnings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COSTS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14" w:name="D.A. BETTON J."/>
            <w:bookmarkEnd w:id="214"/>
            <w:r>
              <w:rPr>
                <w:rFonts w:ascii="arial" w:eastAsia="arial" w:hAnsi="arial" w:cs="arial"/>
                <w:b/>
                <w:color w:val="000000"/>
                <w:sz w:val="30"/>
                <w:lang w:val="en-US" w:eastAsia="en-US" w:bidi="ar-SA"/>
              </w:rPr>
              <w:t>D.A. BETTON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Eija-Riitta Pitcher, seeks an award for damages for injuries received in a motor vehicle collision that occurred on August 26, 2004. The defendant admits liability for the collision but denies that the plaintiff was injured or suffered any damages. While the issues here are common to many other injury claims, there are a number of confounding facts and circumstances that have emerged in the years preceding and since the collision that create challenges to the determination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was born on March 26, 1963 in Finland. She was educated there in forestry engineering, obtaining her qualifications in or about April 1993.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She gave birth to her daughter Tiia on May 10, 1988.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Finland the plaintiff worked for a company called Laminating Papers, apparently a subsidiary of Storaenso. During that employment an individual named Olf Molin was a supervisor with the company, but was not the plaintiff's direct supervisor.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1994 the plaintiff moved to British Columbia with Tiia with the intention of pursuing work in the forestry industry. She found it challenging to find such work in what she perceived to be a male dominated industry.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She opted to further her education at UBC's Forestry department and took courses toward a Master's degree in the 1996/1997 scholastic year. She did not ultimately obtain her Masters. She completed third and fourth year level courses. The majority of her grade percentage was 70%.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She then completed a real estate sales program and was licensed as a realtor in British Columbia. She worked in that capacity for approximately six months but found it not suited to her background and personality. She preferred research and science.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There was limited other evidence introduced about the plaintiff's employment during the late 1990s, her earnings, or her personal or recreational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 and Brian Pitcher met in 1993. Mr. Pitcher acted as a sponsor for the plaintiff and Tiia coming to Canada. They were married on January 12, 1994.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Brian Pitcher has a history of medical issues that have essentially disabled him from regular employment since 1992. He has been receiving Canada Pension Plan disability benefits since the mid-1990s. In addition he was injured in a motor vehicle collision and received compensation for those injuries sometime shortly before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2000 the family moved from the lower mainland to Kelowna and purchased a home using monies acquired from Brian Pitcher's injury claim for the down payment. The move to Kelowna was in part a lifestyle decision and also because the plaintiff was doing some research regarding pine beetle infestation in the B.C. interior forests.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There was very limited evidence given regarding the plaintiff's employment in 2000 and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Beginning in 2002, the plaintiff's income was generated from doing research for Olf Molin, who remained in Finland. There are numerous issues regarding the evidence of that employment which I will address during the course of the analysis section of this decision, but the evidence does suggest the plaintiff carried on that work from 2002 until 2005 on a contract basis as a sole proprietor.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Since 2005 the plaintiff has not been employed on any sustained basis. She and Mr. Pitcher did investigate the purchase of a boat with the hope of operating a charter business but that did not materialize. She did some very limited work for elections agencies on a periodic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 summary of the plaintiff's income according to her tax returns in evidence shows income in the years 2002 through 2009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23"/>
        <w:gridCol w:w="1568"/>
        <w:gridCol w:w="836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1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2002</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$24,484</w:t>
            </w:r>
          </w:p>
        </w:tc>
        <w:tc>
          <w:tcPr>
            <w:tcW w:w="819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1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2003</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$26,806</w:t>
            </w:r>
          </w:p>
        </w:tc>
        <w:tc>
          <w:tcPr>
            <w:tcW w:w="819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1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2004</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$26,638</w:t>
            </w:r>
          </w:p>
        </w:tc>
        <w:tc>
          <w:tcPr>
            <w:tcW w:w="819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1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2005</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$3,070</w:t>
            </w:r>
          </w:p>
        </w:tc>
        <w:tc>
          <w:tcPr>
            <w:tcW w:w="819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1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2006</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$1.00</w:t>
            </w:r>
          </w:p>
        </w:tc>
        <w:tc>
          <w:tcPr>
            <w:tcW w:w="819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1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2007</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$895.11</w:t>
            </w:r>
          </w:p>
        </w:tc>
        <w:tc>
          <w:tcPr>
            <w:tcW w:w="819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1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2008</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$7,060.55</w:t>
            </w:r>
          </w:p>
        </w:tc>
        <w:tc>
          <w:tcPr>
            <w:tcW w:w="819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1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2009</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$6,691</w:t>
            </w:r>
          </w:p>
        </w:tc>
        <w:tc>
          <w:tcPr>
            <w:tcW w:w="8192"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income tax information in evidence is in the form of summaries, and only limited and controversial supporting records were introduced into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There is very limited evidence as to the nature of the plaintiff's research and what her work actually consisted of. It is unclear whether that work product was analytical or statistical; whether it was complex or simple. The explanation for this, at least in part, is that the plaintiff's computer containing her research failed in 2005 resulting in a loss of her accumulated research.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Prior to the collision. the plaintiff played golf. She was also involved in her daughter's schooling, assisting her with learning English and her extracurricular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plaintiff suffered a knee injury in 2003 that left her somewhat restricted and using a knee brace.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There are no records of any mental health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the three years preceding the collision, the plaintiff's family physician was Dr. du Plessis.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On April 8, 2004 she attended upon Dr. Rowell-Wong who was attending as a locum for Dr. du Plessis. Dr. Rowell-Wong was called as a witness for the defence and explained her clinical notes made during that visit. Those notes record a complaint by the plaintiff that a "resting head tremor" that had been present for some five years had become more pronounced according to her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collision occurred on Highway 97 in Kelowna near the intersection with Highway 33. The plaintiff was driving her BMW with her daughter Tiia as a passenger. The defendant, Joseph Brown, was operating a Mazda MX3 motor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road surface was wet due to some light rain.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 will address the discrepancies in the descriptions of the collision from the witnesses in my analysis but it is clear that the collision was a slow-speed impact causing very minor damage to each vehicle. No emergency services or police were called or attended at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On the date of the collision, the plaintiff saw Dr. Shams, a locum for Dr. du Plessis. Dr. Shams recorded complaints of pain and tenderness in the plaintiff's neck and upper back and prescribed anti-inflammatory medication and a muscle relaxant. Dr. du Plessis first saw the plaintiff in January of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Between the date of the collision and February 2005 the plaintiff attended upon Dr. Morris in Vancouver as she was unhappy with Dr. Shams' treatment. Dr. Morris first saw the plaintiff on August 27, 2004 and recorded pain in the upper back and neck with poor range of motion. He saw her twice in September and then five times in January and February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January and February of 2005 the plaintiff saw both Dr. du Plessis and Dr. Morris a number of times before leaving Dr. Morris' care. She did that because she was not satisfied with his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first recorded complaint or observation of a tremor with neck flexion was made in January 2005 by Dr. du Plessis and was attributed to muscle spasm.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Dr. Morris had noted soft tissue type symptoms and referred the plaintiff to physiotherapy in September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Murray Holmes provided physiotherapy treatment between September 2004 and September 2006. He noted soft tissue type symptoms. When he last treated the plaintiff the most noticeable objective sign or symptom was a head tremor. He could not recall precisely when that was first noted but it was not observed in the plaintiff's initial visits with him. Mr. Holmes' records regarding the plaintiff were lost in the process of a move of his practice since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plaintiff attended upon the Insurance Corporation of British Columbia ("ICBC") to initiate a claim for injuries arising from the collision. She signed an insurance claim application on November 28, 2004. In that document, in the space provided for "injury resulting from accident" the plaintiff recorded "back pain between shoulder blades, neck strain".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On December 9, 2004, ICBC claims representative Andrew Kendrick forwarded correspondence to the plaintiff advising that "ICBC will not consider any payments with respect to your claim against our insured for injuries arising from the above-noted accident (your "tort" claim)." In response, the plaintiff called Mr. Kendrick and left a message on his voicemail which was recorded and which included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...YOU DON'T HAVE A WITNESS TO SUPPORT THE OTHER PARTIES CLAIM. IF YOU DO SO HE WILL BE QUESTIONED WITH WITNESS IN THE COURT OF LAW. YOU GIVE ME NO OTHER OPTION BUT TO SUE YOU. BECAUSE WHEN I READ MY INSURANCE PAPERS, IT NO "HELL" ANYWHERE DOES IT SAY IF IT'S A LOW VELOCITY ACCIDENT, THEREFORE WE REFUSE TO PAY YOU ANYTHING INCLUDING YOUR PHYSIO THAT YOU HAD TO GO THROUGH AT THE ACCIDENT, INCLUDING MY DAUGHTER. SO YOU HAVE A NICE CHRISTMAS AND REMEMBER THIS, I WILL GO ALL THE WAY. YOU JUST MADE ME ANGRY AND I'M WANTING TO GET EVEN.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Beginning in 2005 the plaintiff was referred to various specialists by her legal counsel. Ultimately assessments were completed by:</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 id="_x0000_i1172" type="#_x0000_t75" style="width:363.75pt;height:282.75pt">
            <v:imagedata r:id="rId796" o:title=""/>
          </v:shape>
        </w:pict>
      </w:r>
      <w:r>
        <w:rPr>
          <w:rFonts w:ascii="arial" w:eastAsia="arial" w:hAnsi="arial" w:cs="arial"/>
          <w:sz w:val="20"/>
          <w:lang w:val="en-US" w:eastAsia="en-US" w:bidi="ar-SA"/>
        </w:rPr>
        <w:t xml:space="preser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She was also seen by specialists for the defence including: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136"/>
        <w:gridCol w:w="1987"/>
        <w:gridCol w:w="428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Dr. Roy O'Shaughnessy</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Psychologist</w:t>
            </w:r>
          </w:p>
        </w:tc>
        <w:tc>
          <w:tcPr>
            <w:tcW w:w="419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January 3, 2007</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Dr. Bernard Tessler</w:t>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Neurologist</w:t>
            </w:r>
          </w:p>
        </w:tc>
        <w:tc>
          <w:tcPr>
            <w:tcW w:w="419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August 24, 2009</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defence also relies on a report dated March 30, 2011, of Dr. Cacase, Professor of Communication Sciences and Disorders at Wayne State University. He did not examine the plaintiff but reviewed the reports of Dr. Bellis and others and provides a critical review of the conclusions regarding central auditory processing disorder ("CAPD").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This action has a long history. It has been acrimonious at times, particularly during periods when the plaintiff has been unrepresented. There have been several trial dates set only to be adjourned for a variety of reasons related to the plaintiff's health and her efforts to have counsel assist her at trial. Applications have included an application for dismissal for want of prosecution.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defendant has over the years conducted at least three examinations for discovery and has sought disclosure of documents and information regarding the plaintiff's employment and income sources pre- and post-collision. Some of that evidence emerged only days before the commencement of the trial. The circumstances of and the reasons that occurred will be addressed in the "Analysis" portion of this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or about February of 2012, the plaintiff was diagnosed with cancer. That disease has significantly impaired the plaintiff's health and ability to work. Most recently, the Court was informed of the unfortunate prognosis that the disease is terminal and that the plaintiff has received a "three month warning".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 and Positions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general statement of the issues is fairly simple. Liability for the collision has been admitted. What remains is to determine what injuries were caused by the collision and what damages, if any, would appropriately compensate the plaintiff for those injuries. The plaintiff's credibility is a key consideration and permeates every other issue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plaintiff says that the collision caused four injuries or conditions as follows:</w:t>
      </w:r>
      <w:r>
        <w:rPr>
          <w:rFonts w:ascii="arial" w:eastAsia="arial" w:hAnsi="arial" w:cs="arial"/>
          <w:sz w:val="20"/>
          <w:lang w:val="en-US" w:eastAsia="en-US" w:bidi="ar-SA"/>
        </w:rPr>
        <w:cr/>
      </w:r>
    </w:p>
    <w:p>
      <w:pPr>
        <w:numPr>
          <w:numId w:val="1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neck injury;</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cervical dystonia;</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psychological disorders including major depression anxiety and mood disorder;</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central auditory processing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As a result of her cancer which is unrelated to the collision, no claim is advanced for costs of future care or prospective loss of earnings or loss of capacity to earn income. The plaintiff does seek damages for non-pecuniary or general damages, past loss of income and special damages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124"/>
        <w:gridCol w:w="2718"/>
        <w:gridCol w:w="261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01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Non-pecuniary damages:</w:t>
            </w:r>
          </w:p>
        </w:tc>
        <w:tc>
          <w:tcPr>
            <w:tcW w:w="266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$60,000 - $200,000</w:t>
            </w:r>
          </w:p>
        </w:tc>
        <w:tc>
          <w:tcPr>
            <w:tcW w:w="256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01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Pre-Trial Loss of Earnings / Capacity:</w:t>
            </w:r>
          </w:p>
        </w:tc>
        <w:tc>
          <w:tcPr>
            <w:tcW w:w="266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$200,000 - $282,000</w:t>
            </w:r>
          </w:p>
        </w:tc>
        <w:tc>
          <w:tcPr>
            <w:tcW w:w="256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01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Special Damages:</w:t>
            </w:r>
          </w:p>
        </w:tc>
        <w:tc>
          <w:tcPr>
            <w:tcW w:w="266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$14,019.85</w:t>
            </w:r>
          </w:p>
        </w:tc>
        <w:tc>
          <w:tcPr>
            <w:tcW w:w="2560"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plaintiff acknowledges that "There is no dispute that the plaintiff's reporting to doctors over the years, and indeed right up to trial, has been fraught with inconsistencies" and that "There is also no dispute that the plaintiff had inconsistencies in her testimony on the stand" but says it is a question of reliability not credibility and that any perceived shortcomings in her reliability are resolved when assessed in the context of the evidence as a whole.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plaintiff then goes on to suggest generally that the plaintiff's pre-accident health was good and that none of the issues about which she complains following the collision existed before the collision. The plaintiff also says that she had achieved significant academic success and had secure contract employment doing forestry related research that would have continued until such time as her cancer diagnosis precluded further employment. The plaintiff says the collision forces were significant enough to cause her injuries. The plaintiff says that the injuries she received in the accident resulted in chronic pain and complicated and/or were complicated by her anxiety and mood disorders. The plaintiff alleges that the challenges in diagnosing the CAPD and the time it took to obtain that diagnosis created uncertainty and stress for her. The plaintiff acknowledges not trusting ICBC or those connected with defending her claim but says her injuries and losses are real.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defence argues that the plaintiff has not proved any injuries were caused by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defence relies heavily on its challenge of the plaintiff's credibility in support of its position. It says that the plaintiff "[misled] her treating physicians, expert physicians, defence counsel and has attempted to mislead the Court into accepting that her head shaking movements... arose post-Accident" and wilfully concealed information regarding Mr. Molin from the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defence says that the most significant issue about which the plaintiff has complained, and on which the medical evidence contributes to her difficulties is the head or neck tremor or cervical dystonia and that the clear evidence is that that was a pre-existing condition. The defence says the forces involved in the collision were minor and did not cause any injury. The defence says that any issues with respect to soft tissue injuries have never resulted in any real impairment or required any significant medical attention. Defence argues that any psychological issues, anxiety or mood disorders are a product of that pre-existing condition or other events that have occurred in the plaintiff's life and not related to the motor vehicle collision. Those include issues with her daughter Tiia, the loss of her research and an inability to conceive a child with Brian Pitcher. The defence says that if in fact the plaintiff had CAPD in 2010 when diagnosed by Dr. Bellis, there is no evidence to suggest that it continues to exist or that the symptoms have had any practical effect upon the plaintiff. The defence says that the plaintiff responded to ICBC's denial of her claim by alleging injuries and losses that are not real or were not caused by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From all of the evidence and submissions I have identified a number of underlying issues that are critical to the resolution of the plaintiff's claims that are entangled with the credibility issues. They include the following:</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was the state of the plaintiff's pre-accident health, and in particular, did she have neck or head tremors;</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Following the collision what symptoms (including the head tremors) were noted by the plaintiff and when;</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was the precise nature of her pre-accident employment and to what extent if any, did the collision and resulting injuries affect her earnings following the accident;</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How significant were the forces on the plaintiff in the collision; and</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what extent and with what consequence is the plaintiff's conduct of the litigation relevant to her credibility and the assessment of her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Assessments of credibility are always challenging. This is effectively described by the Supreme Court of Canada in the criminal law context in </w:t>
      </w:r>
      <w:r>
        <w:rPr>
          <w:rFonts w:ascii="arial" w:eastAsia="arial" w:hAnsi="arial" w:cs="arial"/>
          <w:i/>
          <w:color w:val="000000"/>
          <w:sz w:val="20"/>
          <w:lang w:val="en-US" w:eastAsia="en-US" w:bidi="ar-SA"/>
        </w:rPr>
        <w:t>R. v. R.E.M</w:t>
      </w:r>
      <w:r>
        <w:rPr>
          <w:rFonts w:ascii="arial" w:eastAsia="arial" w:hAnsi="arial" w:cs="arial"/>
          <w:color w:val="000000"/>
          <w:sz w:val="20"/>
          <w:lang w:val="en-US" w:eastAsia="en-US" w:bidi="ar-SA"/>
        </w:rPr>
        <w:t xml:space="preserve">., </w:t>
      </w:r>
      <w:hyperlink r:id="rId797" w:history="1">
        <w:r>
          <w:rPr>
            <w:rFonts w:ascii="arial" w:eastAsia="arial" w:hAnsi="arial" w:cs="arial"/>
            <w:i/>
            <w:color w:val="0077CC"/>
            <w:sz w:val="20"/>
            <w:u w:val="single"/>
            <w:shd w:val="clear" w:color="auto" w:fill="FFFFFF"/>
            <w:lang w:val="en-US" w:eastAsia="en-US" w:bidi="ar-SA"/>
          </w:rPr>
          <w:t>2008 SCC 51</w:t>
        </w:r>
      </w:hyperlink>
      <w:r>
        <w:rPr>
          <w:rFonts w:ascii="arial" w:eastAsia="arial" w:hAnsi="arial" w:cs="arial"/>
          <w:color w:val="000000"/>
          <w:sz w:val="20"/>
          <w:lang w:val="en-US" w:eastAsia="en-US" w:bidi="ar-SA"/>
        </w:rPr>
        <w:t xml:space="preserve"> at para. 49: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[49] While it is useful for a judge to attempt to articulate the reasons for believing a witness and disbelieving another in general or on a particular point, the fact remains that the exercise may not be purely intellectual and may involve factors that are difficult to verbalize. Furthermore, embellishing why a particular witness's evidence is rejected may involve the judge saying unflattering things about the witness; judges may wish to spare the accused who takes the stand to deny the crime, for example, the indignity of not only rejecting his evidence and convicting him, but adding negative comments about his demeanor. In short, assessing credibility is a difficult and delicate matter that does not always lend itself to precise and complete verbalization.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The process of assessing credibility and the considerations relevant to it have been articulated in various degrees of detail. One of the most concise descriptions was recently referenced by the Court of Appeal in </w:t>
      </w:r>
      <w:r>
        <w:rPr>
          <w:rFonts w:ascii="arial" w:eastAsia="arial" w:hAnsi="arial" w:cs="arial"/>
          <w:i/>
          <w:color w:val="000000"/>
          <w:sz w:val="20"/>
          <w:lang w:val="en-US" w:eastAsia="en-US" w:bidi="ar-SA"/>
        </w:rPr>
        <w:t>Warner v. Cousins</w:t>
      </w:r>
      <w:r>
        <w:rPr>
          <w:rFonts w:ascii="arial" w:eastAsia="arial" w:hAnsi="arial" w:cs="arial"/>
          <w:color w:val="000000"/>
          <w:sz w:val="20"/>
          <w:lang w:val="en-US" w:eastAsia="en-US" w:bidi="ar-SA"/>
        </w:rPr>
        <w:t xml:space="preserve">, </w:t>
      </w:r>
      <w:hyperlink r:id="rId798" w:history="1">
        <w:r>
          <w:rPr>
            <w:rFonts w:ascii="arial" w:eastAsia="arial" w:hAnsi="arial" w:cs="arial"/>
            <w:i/>
            <w:color w:val="0077CC"/>
            <w:sz w:val="20"/>
            <w:u w:val="single"/>
            <w:shd w:val="clear" w:color="auto" w:fill="FFFFFF"/>
            <w:lang w:val="en-US" w:eastAsia="en-US" w:bidi="ar-SA"/>
          </w:rPr>
          <w:t>2014 BCCA 29</w:t>
        </w:r>
      </w:hyperlink>
      <w:r>
        <w:rPr>
          <w:rFonts w:ascii="arial" w:eastAsia="arial" w:hAnsi="arial" w:cs="arial"/>
          <w:color w:val="000000"/>
          <w:sz w:val="20"/>
          <w:lang w:val="en-US" w:eastAsia="en-US" w:bidi="ar-SA"/>
        </w:rPr>
        <w:t>, at para. 23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[23] The classic approach to credibility found in this Province's jurisprudence, oft-quoted, was provided by Mr. Justice O'Halloran in </w:t>
      </w:r>
      <w:r>
        <w:rPr>
          <w:rFonts w:ascii="arial" w:eastAsia="arial" w:hAnsi="arial" w:cs="arial"/>
          <w:i/>
          <w:color w:val="000000"/>
          <w:sz w:val="20"/>
          <w:lang w:val="en-US" w:eastAsia="en-US" w:bidi="ar-SA"/>
        </w:rPr>
        <w:t>Faryna v. Chorny</w:t>
      </w:r>
      <w:r>
        <w:rPr>
          <w:rFonts w:ascii="arial" w:eastAsia="arial" w:hAnsi="arial" w:cs="arial"/>
          <w:color w:val="000000"/>
          <w:sz w:val="20"/>
          <w:lang w:val="en-US" w:eastAsia="en-US" w:bidi="ar-SA"/>
        </w:rPr>
        <w:t xml:space="preserve">, </w:t>
      </w:r>
      <w:hyperlink r:id="rId64" w:history="1">
        <w:r>
          <w:rPr>
            <w:rFonts w:ascii="arial" w:eastAsia="arial" w:hAnsi="arial" w:cs="arial"/>
            <w:i/>
            <w:color w:val="0077CC"/>
            <w:sz w:val="20"/>
            <w:u w:val="single"/>
            <w:shd w:val="clear" w:color="auto" w:fill="FFFFFF"/>
            <w:lang w:val="en-US" w:eastAsia="en-US" w:bidi="ar-SA"/>
          </w:rPr>
          <w:t>[1952] 2 D.L.R. 354</w:t>
        </w:r>
      </w:hyperlink>
      <w:r>
        <w:rPr>
          <w:rFonts w:ascii="arial" w:eastAsia="arial" w:hAnsi="arial" w:cs="arial"/>
          <w:color w:val="000000"/>
          <w:sz w:val="20"/>
          <w:lang w:val="en-US" w:eastAsia="en-US" w:bidi="ar-SA"/>
        </w:rPr>
        <w:t xml:space="preserve">, </w:t>
      </w:r>
      <w:hyperlink r:id="rId64" w:history="1">
        <w:r>
          <w:rPr>
            <w:rFonts w:ascii="arial" w:eastAsia="arial" w:hAnsi="arial" w:cs="arial"/>
            <w:i/>
            <w:color w:val="0077CC"/>
            <w:sz w:val="20"/>
            <w:u w:val="single"/>
            <w:shd w:val="clear" w:color="auto" w:fill="FFFFFF"/>
            <w:lang w:val="en-US" w:eastAsia="en-US" w:bidi="ar-SA"/>
          </w:rPr>
          <w:t>(1952) 4 W.W.R. (N.S.) 171</w:t>
        </w:r>
      </w:hyperlink>
      <w:r>
        <w:rPr>
          <w:rFonts w:ascii="arial" w:eastAsia="arial" w:hAnsi="arial" w:cs="arial"/>
          <w:color w:val="000000"/>
          <w:sz w:val="20"/>
          <w:lang w:val="en-US" w:eastAsia="en-US" w:bidi="ar-SA"/>
        </w:rPr>
        <w:t xml:space="preserve"> (B.C.C.A.) at 357.</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In short, the real test of the truth of the story of a witness in such a case must be its harmony with the preponderance of the probabilities which a practical and informed person would readily recognize as reasonable in that place and in those conditions.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trial Judge ought to go further and say that evidence of the witness he believes is in accordance with the preponderance of probabilities in the case and, if his view is to command confidence, also state his reasons for that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Other more lengthy articulations are also helpful. The Court in </w:t>
      </w:r>
      <w:r>
        <w:rPr>
          <w:rFonts w:ascii="arial" w:eastAsia="arial" w:hAnsi="arial" w:cs="arial"/>
          <w:i/>
          <w:color w:val="000000"/>
          <w:sz w:val="20"/>
          <w:lang w:val="en-US" w:eastAsia="en-US" w:bidi="ar-SA"/>
        </w:rPr>
        <w:t>Bradshaw v. Stenner</w:t>
      </w:r>
      <w:r>
        <w:rPr>
          <w:rFonts w:ascii="arial" w:eastAsia="arial" w:hAnsi="arial" w:cs="arial"/>
          <w:color w:val="000000"/>
          <w:sz w:val="20"/>
          <w:lang w:val="en-US" w:eastAsia="en-US" w:bidi="ar-SA"/>
        </w:rPr>
        <w:t xml:space="preserve">, </w:t>
      </w:r>
      <w:hyperlink r:id="rId59" w:history="1">
        <w:r>
          <w:rPr>
            <w:rFonts w:ascii="arial" w:eastAsia="arial" w:hAnsi="arial" w:cs="arial"/>
            <w:i/>
            <w:color w:val="0077CC"/>
            <w:sz w:val="20"/>
            <w:u w:val="single"/>
            <w:shd w:val="clear" w:color="auto" w:fill="FFFFFF"/>
            <w:lang w:val="en-US" w:eastAsia="en-US" w:bidi="ar-SA"/>
          </w:rPr>
          <w:t>2010 BCSC 1398</w:t>
        </w:r>
      </w:hyperlink>
      <w:r>
        <w:rPr>
          <w:rFonts w:ascii="arial" w:eastAsia="arial" w:hAnsi="arial" w:cs="arial"/>
          <w:color w:val="000000"/>
          <w:sz w:val="20"/>
          <w:lang w:val="en-US" w:eastAsia="en-US" w:bidi="ar-SA"/>
        </w:rPr>
        <w:t xml:space="preserve"> said this at paras. 186 and 187: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[186] Credibility involves an assessment of the trustworthiness of a witness' testimony based upon the veracity or sincerity of a witness and the accuracy of the evidence that the witness provides (</w:t>
      </w:r>
      <w:r>
        <w:rPr>
          <w:rFonts w:ascii="arial" w:eastAsia="arial" w:hAnsi="arial" w:cs="arial"/>
          <w:i/>
          <w:color w:val="000000"/>
          <w:sz w:val="20"/>
          <w:lang w:val="en-US" w:eastAsia="en-US" w:bidi="ar-SA"/>
        </w:rPr>
        <w:t>Raymond v. Bosanquet (Township)</w:t>
      </w:r>
      <w:r>
        <w:rPr>
          <w:rFonts w:ascii="arial" w:eastAsia="arial" w:hAnsi="arial" w:cs="arial"/>
          <w:color w:val="000000"/>
          <w:sz w:val="20"/>
          <w:lang w:val="en-US" w:eastAsia="en-US" w:bidi="ar-SA"/>
        </w:rPr>
        <w:t xml:space="preserve"> </w:t>
      </w:r>
      <w:hyperlink r:id="rId61" w:history="1">
        <w:r>
          <w:rPr>
            <w:rFonts w:ascii="arial" w:eastAsia="arial" w:hAnsi="arial" w:cs="arial"/>
            <w:i/>
            <w:color w:val="0077CC"/>
            <w:sz w:val="20"/>
            <w:u w:val="single"/>
            <w:shd w:val="clear" w:color="auto" w:fill="FFFFFF"/>
            <w:lang w:val="en-US" w:eastAsia="en-US" w:bidi="ar-SA"/>
          </w:rPr>
          <w:t>(1919), 59 S.C.R. 452</w:t>
        </w:r>
      </w:hyperlink>
      <w:r>
        <w:rPr>
          <w:rFonts w:ascii="arial" w:eastAsia="arial" w:hAnsi="arial" w:cs="arial"/>
          <w:color w:val="000000"/>
          <w:sz w:val="20"/>
          <w:lang w:val="en-US" w:eastAsia="en-US" w:bidi="ar-SA"/>
        </w:rPr>
        <w:t xml:space="preserve">, </w:t>
      </w:r>
      <w:hyperlink r:id="rId62" w:history="1">
        <w:r>
          <w:rPr>
            <w:rFonts w:ascii="arial" w:eastAsia="arial" w:hAnsi="arial" w:cs="arial"/>
            <w:i/>
            <w:color w:val="0077CC"/>
            <w:sz w:val="20"/>
            <w:u w:val="single"/>
            <w:shd w:val="clear" w:color="auto" w:fill="FFFFFF"/>
            <w:lang w:val="en-US" w:eastAsia="en-US" w:bidi="ar-SA"/>
          </w:rPr>
          <w:t>50 D.L.R. 560</w:t>
        </w:r>
      </w:hyperlink>
      <w:r>
        <w:rPr>
          <w:rFonts w:ascii="arial" w:eastAsia="arial" w:hAnsi="arial" w:cs="arial"/>
          <w:color w:val="000000"/>
          <w:sz w:val="20"/>
          <w:lang w:val="en-US" w:eastAsia="en-US" w:bidi="ar-SA"/>
        </w:rPr>
        <w:t xml:space="preserve"> (S.C.C.)). The art of assessment involves examination of various factors such as the ability and opportunity to observe events, the firmness of his memory, the ability to resist the influence of interest to modify his recollection, whether the witness' evidence harmonizes with independent evidence that has been accepted, whether the witness changes his testimony during direct and cross-examination, whether the witness' testimony seems unreasonable, impossible, or unlikely, whether a witness has a motive to lie, and the demeanour of a witness generally (</w:t>
      </w:r>
      <w:r>
        <w:rPr>
          <w:rFonts w:ascii="arial" w:eastAsia="arial" w:hAnsi="arial" w:cs="arial"/>
          <w:i/>
          <w:color w:val="000000"/>
          <w:sz w:val="20"/>
          <w:lang w:val="en-US" w:eastAsia="en-US" w:bidi="ar-SA"/>
        </w:rPr>
        <w:t>Wallace v. Davis</w:t>
      </w:r>
      <w:r>
        <w:rPr>
          <w:rFonts w:ascii="arial" w:eastAsia="arial" w:hAnsi="arial" w:cs="arial"/>
          <w:color w:val="000000"/>
          <w:sz w:val="20"/>
          <w:lang w:val="en-US" w:eastAsia="en-US" w:bidi="ar-SA"/>
        </w:rPr>
        <w:t xml:space="preserve">, </w:t>
      </w:r>
      <w:hyperlink r:id="rId63" w:history="1">
        <w:r>
          <w:rPr>
            <w:rFonts w:ascii="arial" w:eastAsia="arial" w:hAnsi="arial" w:cs="arial"/>
            <w:i/>
            <w:color w:val="0077CC"/>
            <w:sz w:val="20"/>
            <w:u w:val="single"/>
            <w:shd w:val="clear" w:color="auto" w:fill="FFFFFF"/>
            <w:lang w:val="en-US" w:eastAsia="en-US" w:bidi="ar-SA"/>
          </w:rPr>
          <w:t>[1926] 31 O.W.N. 202</w:t>
        </w:r>
      </w:hyperlink>
      <w:r>
        <w:rPr>
          <w:rFonts w:ascii="arial" w:eastAsia="arial" w:hAnsi="arial" w:cs="arial"/>
          <w:color w:val="000000"/>
          <w:sz w:val="20"/>
          <w:lang w:val="en-US" w:eastAsia="en-US" w:bidi="ar-SA"/>
        </w:rPr>
        <w:t xml:space="preserve"> (Ont. H.C.); </w:t>
      </w:r>
      <w:r>
        <w:rPr>
          <w:rFonts w:ascii="arial" w:eastAsia="arial" w:hAnsi="arial" w:cs="arial"/>
          <w:i/>
          <w:color w:val="000000"/>
          <w:sz w:val="20"/>
          <w:lang w:val="en-US" w:eastAsia="en-US" w:bidi="ar-SA"/>
        </w:rPr>
        <w:t>Farnya v. Chorny</w:t>
      </w:r>
      <w:r>
        <w:rPr>
          <w:rFonts w:ascii="arial" w:eastAsia="arial" w:hAnsi="arial" w:cs="arial"/>
          <w:color w:val="000000"/>
          <w:sz w:val="20"/>
          <w:lang w:val="en-US" w:eastAsia="en-US" w:bidi="ar-SA"/>
        </w:rPr>
        <w:t xml:space="preserve">, </w:t>
      </w:r>
      <w:hyperlink r:id="rId64" w:history="1">
        <w:r>
          <w:rPr>
            <w:rFonts w:ascii="arial" w:eastAsia="arial" w:hAnsi="arial" w:cs="arial"/>
            <w:i/>
            <w:color w:val="0077CC"/>
            <w:sz w:val="20"/>
            <w:u w:val="single"/>
            <w:shd w:val="clear" w:color="auto" w:fill="FFFFFF"/>
            <w:lang w:val="en-US" w:eastAsia="en-US" w:bidi="ar-SA"/>
          </w:rPr>
          <w:t>[1952] 2 D.L.R. 354</w:t>
        </w:r>
      </w:hyperlink>
      <w:r>
        <w:rPr>
          <w:rFonts w:ascii="arial" w:eastAsia="arial" w:hAnsi="arial" w:cs="arial"/>
          <w:color w:val="000000"/>
          <w:sz w:val="20"/>
          <w:lang w:val="en-US" w:eastAsia="en-US" w:bidi="ar-SA"/>
        </w:rPr>
        <w:t xml:space="preserve"> (B.C. C.A.) [</w:t>
      </w:r>
      <w:r>
        <w:rPr>
          <w:rFonts w:ascii="arial" w:eastAsia="arial" w:hAnsi="arial" w:cs="arial"/>
          <w:i/>
          <w:color w:val="000000"/>
          <w:sz w:val="20"/>
          <w:lang w:val="en-US" w:eastAsia="en-US" w:bidi="ar-SA"/>
        </w:rPr>
        <w:t>Farnya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 v. S.(R.D.),</w:t>
      </w:r>
      <w:r>
        <w:rPr>
          <w:rFonts w:ascii="arial" w:eastAsia="arial" w:hAnsi="arial" w:cs="arial"/>
          <w:color w:val="000000"/>
          <w:sz w:val="20"/>
          <w:lang w:val="en-US" w:eastAsia="en-US" w:bidi="ar-SA"/>
        </w:rPr>
        <w:t xml:space="preserve"> </w:t>
      </w:r>
      <w:hyperlink r:id="rId65" w:history="1">
        <w:r>
          <w:rPr>
            <w:rFonts w:ascii="arial" w:eastAsia="arial" w:hAnsi="arial" w:cs="arial"/>
            <w:i/>
            <w:color w:val="0077CC"/>
            <w:sz w:val="20"/>
            <w:u w:val="single"/>
            <w:shd w:val="clear" w:color="auto" w:fill="FFFFFF"/>
            <w:lang w:val="en-US" w:eastAsia="en-US" w:bidi="ar-SA"/>
          </w:rPr>
          <w:t>[1997] 3 S.C.R. 484</w:t>
        </w:r>
      </w:hyperlink>
      <w:r>
        <w:rPr>
          <w:rFonts w:ascii="arial" w:eastAsia="arial" w:hAnsi="arial" w:cs="arial"/>
          <w:color w:val="000000"/>
          <w:sz w:val="20"/>
          <w:lang w:val="en-US" w:eastAsia="en-US" w:bidi="ar-SA"/>
        </w:rPr>
        <w:t xml:space="preserve"> at para.128 (S.C.C.)). Ultimately, the validity of the evidence depends on whether the evidence is consistent with the probabilities affecting the case as a whole and shown to be in existence at the time (</w:t>
      </w:r>
      <w:r>
        <w:rPr>
          <w:rFonts w:ascii="arial" w:eastAsia="arial" w:hAnsi="arial" w:cs="arial"/>
          <w:i/>
          <w:color w:val="000000"/>
          <w:sz w:val="20"/>
          <w:lang w:val="en-US" w:eastAsia="en-US" w:bidi="ar-SA"/>
        </w:rPr>
        <w:t>Farnya</w:t>
      </w:r>
      <w:r>
        <w:rPr>
          <w:rFonts w:ascii="arial" w:eastAsia="arial" w:hAnsi="arial" w:cs="arial"/>
          <w:color w:val="000000"/>
          <w:sz w:val="20"/>
          <w:lang w:val="en-US" w:eastAsia="en-US" w:bidi="ar-SA"/>
        </w:rPr>
        <w:t xml:space="preserve"> at para. 356).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[187] It has been suggested that a methodology to adopt is to first consider the testimony of a witness on a 'stand alone' basis, followed by an analysis of whether the witness' story is inherently believable. Then, if the witness testimony has survived relatively intact, the testimony should be evaluated based upon the consistency with other witnesses and with documentary evidence. The testimony of non-party, disinterested witnesses may provide a reliable yardstick for comparison. Finally, the court should determine which version of events is the most consistent with the "preponderance of probabilities which a practical and informed person would readily recognize as reasonable in that place and in those conditions" (</w:t>
      </w:r>
      <w:r>
        <w:rPr>
          <w:rFonts w:ascii="arial" w:eastAsia="arial" w:hAnsi="arial" w:cs="arial"/>
          <w:i/>
          <w:color w:val="000000"/>
          <w:sz w:val="20"/>
          <w:lang w:val="en-US" w:eastAsia="en-US" w:bidi="ar-SA"/>
        </w:rPr>
        <w:t>Overseas Investments (1986) Ltd. v. Cornwall Developments Ltd.</w:t>
      </w:r>
      <w:r>
        <w:rPr>
          <w:rFonts w:ascii="arial" w:eastAsia="arial" w:hAnsi="arial" w:cs="arial"/>
          <w:color w:val="000000"/>
          <w:sz w:val="20"/>
          <w:lang w:val="en-US" w:eastAsia="en-US" w:bidi="ar-SA"/>
        </w:rPr>
        <w:t xml:space="preserve"> (1993), </w:t>
      </w:r>
      <w:hyperlink r:id="rId799" w:history="1">
        <w:r>
          <w:rPr>
            <w:rFonts w:ascii="arial" w:eastAsia="arial" w:hAnsi="arial" w:cs="arial"/>
            <w:i/>
            <w:color w:val="0077CC"/>
            <w:sz w:val="20"/>
            <w:u w:val="single"/>
            <w:shd w:val="clear" w:color="auto" w:fill="FFFFFF"/>
            <w:lang w:val="en-US" w:eastAsia="en-US" w:bidi="ar-SA"/>
          </w:rPr>
          <w:t>12 Alta. L.R. (3d) 298</w:t>
        </w:r>
      </w:hyperlink>
      <w:r>
        <w:rPr>
          <w:rFonts w:ascii="arial" w:eastAsia="arial" w:hAnsi="arial" w:cs="arial"/>
          <w:color w:val="000000"/>
          <w:sz w:val="20"/>
          <w:lang w:val="en-US" w:eastAsia="en-US" w:bidi="ar-SA"/>
        </w:rPr>
        <w:t xml:space="preserve"> at para. 13 (Alta. Q.B.)). I have found this approach useful.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British Columbia (Public Guardian and Trustee v. Zhang</w:t>
      </w:r>
      <w:r>
        <w:rPr>
          <w:rFonts w:ascii="arial" w:eastAsia="arial" w:hAnsi="arial" w:cs="arial"/>
          <w:color w:val="000000"/>
          <w:sz w:val="20"/>
          <w:lang w:val="en-US" w:eastAsia="en-US" w:bidi="ar-SA"/>
        </w:rPr>
        <w:t xml:space="preserve">, </w:t>
      </w:r>
      <w:hyperlink r:id="rId800" w:history="1">
        <w:r>
          <w:rPr>
            <w:rFonts w:ascii="arial" w:eastAsia="arial" w:hAnsi="arial" w:cs="arial"/>
            <w:i/>
            <w:color w:val="0077CC"/>
            <w:sz w:val="20"/>
            <w:u w:val="single"/>
            <w:shd w:val="clear" w:color="auto" w:fill="FFFFFF"/>
            <w:lang w:val="en-US" w:eastAsia="en-US" w:bidi="ar-SA"/>
          </w:rPr>
          <w:t>2011 BCSC 1205</w:t>
        </w:r>
      </w:hyperlink>
      <w:r>
        <w:rPr>
          <w:rFonts w:ascii="arial" w:eastAsia="arial" w:hAnsi="arial" w:cs="arial"/>
          <w:color w:val="000000"/>
          <w:sz w:val="20"/>
          <w:lang w:val="en-US" w:eastAsia="en-US" w:bidi="ar-SA"/>
        </w:rPr>
        <w:t xml:space="preserve"> contains these comments at paras. 31 to 37: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[31] The importance of findings of credibility cannot be understated. As noted by Rothstein J., speaking for the Court, in </w:t>
      </w:r>
      <w:r>
        <w:rPr>
          <w:rFonts w:ascii="arial" w:eastAsia="arial" w:hAnsi="arial" w:cs="arial"/>
          <w:i/>
          <w:color w:val="000000"/>
          <w:sz w:val="20"/>
          <w:lang w:val="en-US" w:eastAsia="en-US" w:bidi="ar-SA"/>
        </w:rPr>
        <w:t>F.H. v. McDougall</w:t>
      </w:r>
      <w:r>
        <w:rPr>
          <w:rFonts w:ascii="arial" w:eastAsia="arial" w:hAnsi="arial" w:cs="arial"/>
          <w:color w:val="000000"/>
          <w:sz w:val="20"/>
          <w:lang w:val="en-US" w:eastAsia="en-US" w:bidi="ar-SA"/>
        </w:rPr>
        <w:t xml:space="preserve">, </w:t>
      </w:r>
      <w:hyperlink r:id="rId801" w:history="1">
        <w:r>
          <w:rPr>
            <w:rFonts w:ascii="arial" w:eastAsia="arial" w:hAnsi="arial" w:cs="arial"/>
            <w:i/>
            <w:color w:val="0077CC"/>
            <w:sz w:val="20"/>
            <w:u w:val="single"/>
            <w:shd w:val="clear" w:color="auto" w:fill="FFFFFF"/>
            <w:lang w:val="en-US" w:eastAsia="en-US" w:bidi="ar-SA"/>
          </w:rPr>
          <w:t>2008 SCC 53</w:t>
        </w:r>
      </w:hyperlink>
      <w:r>
        <w:rPr>
          <w:rFonts w:ascii="arial" w:eastAsia="arial" w:hAnsi="arial" w:cs="arial"/>
          <w:color w:val="000000"/>
          <w:sz w:val="20"/>
          <w:lang w:val="en-US" w:eastAsia="en-US" w:bidi="ar-SA"/>
        </w:rPr>
        <w:t xml:space="preserve"> at para. 86:</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...provided the judge has not ignored the evidence, finding the evidence of one party credible may well be conclusive of the results because that evidence is inconsistent with that of the other party. In such cases, believing one party will mean explicitly or implicitly that the other party was not believed on the important issue in the case.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[32] </w:t>
      </w:r>
      <w:r>
        <w:rPr>
          <w:rFonts w:ascii="arial" w:eastAsia="arial" w:hAnsi="arial" w:cs="arial"/>
          <w:i/>
          <w:color w:val="000000"/>
          <w:sz w:val="20"/>
          <w:lang w:val="en-US" w:eastAsia="en-US" w:bidi="ar-SA"/>
        </w:rPr>
        <w:t>Faryna v. Chorny,</w:t>
      </w:r>
      <w:r>
        <w:rPr>
          <w:rFonts w:ascii="arial" w:eastAsia="arial" w:hAnsi="arial" w:cs="arial"/>
          <w:color w:val="000000"/>
          <w:sz w:val="20"/>
          <w:lang w:val="en-US" w:eastAsia="en-US" w:bidi="ar-SA"/>
        </w:rPr>
        <w:t xml:space="preserve"> </w:t>
      </w:r>
      <w:hyperlink r:id="rId64" w:history="1">
        <w:r>
          <w:rPr>
            <w:rFonts w:ascii="arial" w:eastAsia="arial" w:hAnsi="arial" w:cs="arial"/>
            <w:i/>
            <w:color w:val="0077CC"/>
            <w:sz w:val="20"/>
            <w:u w:val="single"/>
            <w:shd w:val="clear" w:color="auto" w:fill="FFFFFF"/>
            <w:lang w:val="en-US" w:eastAsia="en-US" w:bidi="ar-SA"/>
          </w:rPr>
          <w:t>[1952] 2 D.L.R. 354</w:t>
        </w:r>
      </w:hyperlink>
      <w:r>
        <w:rPr>
          <w:rFonts w:ascii="arial" w:eastAsia="arial" w:hAnsi="arial" w:cs="arial"/>
          <w:color w:val="000000"/>
          <w:sz w:val="20"/>
          <w:lang w:val="en-US" w:eastAsia="en-US" w:bidi="ar-SA"/>
        </w:rPr>
        <w:t xml:space="preserve"> is frequently cited on the subject of credibility assessment. Mr. Justice O'Halloran observed at 357 that: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credibility of interested witnesses, particularly in cases of conflict of evidence, cannot be gauged solely by the test of whether the personal demeanour of the particular witness carried conviction of the truth. The test must reasonably subject his story to an examination of its consistency with the probabilities that surround the currently existing conditions. In short, the real test of the truth of the story of a witness in such a case must be its harmony with the preponderance of the probabilities which a practical and informed person would readily recognize as reasonable in that place and in those conditions.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[33] McIntyre J., in </w:t>
      </w:r>
      <w:r>
        <w:rPr>
          <w:rFonts w:ascii="arial" w:eastAsia="arial" w:hAnsi="arial" w:cs="arial"/>
          <w:i/>
          <w:color w:val="000000"/>
          <w:sz w:val="20"/>
          <w:lang w:val="en-US" w:eastAsia="en-US" w:bidi="ar-SA"/>
        </w:rPr>
        <w:t>R. v. Béland</w:t>
      </w:r>
      <w:r>
        <w:rPr>
          <w:rFonts w:ascii="arial" w:eastAsia="arial" w:hAnsi="arial" w:cs="arial"/>
          <w:color w:val="000000"/>
          <w:sz w:val="20"/>
          <w:lang w:val="en-US" w:eastAsia="en-US" w:bidi="ar-SA"/>
        </w:rPr>
        <w:t xml:space="preserve">, </w:t>
      </w:r>
      <w:hyperlink r:id="rId802" w:history="1">
        <w:r>
          <w:rPr>
            <w:rFonts w:ascii="arial" w:eastAsia="arial" w:hAnsi="arial" w:cs="arial"/>
            <w:i/>
            <w:color w:val="0077CC"/>
            <w:sz w:val="20"/>
            <w:u w:val="single"/>
            <w:shd w:val="clear" w:color="auto" w:fill="FFFFFF"/>
            <w:lang w:val="en-US" w:eastAsia="en-US" w:bidi="ar-SA"/>
          </w:rPr>
          <w:t>[1987] 2 S.C.R. 398</w:t>
        </w:r>
      </w:hyperlink>
      <w:r>
        <w:rPr>
          <w:rFonts w:ascii="arial" w:eastAsia="arial" w:hAnsi="arial" w:cs="arial"/>
          <w:color w:val="000000"/>
          <w:sz w:val="20"/>
          <w:lang w:val="en-US" w:eastAsia="en-US" w:bidi="ar-SA"/>
        </w:rPr>
        <w:t xml:space="preserve"> at 418-419 said that: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the resolution of disputes in litigation, issues of credibility will be decided by human triers of fact, using their experience of human affairs and basing judgment upon their assessment of the witness and on consideration of how an individual's evidence fits into the general picture revealed on a consideration of the whole of the case.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[34] How then does a trier of fact assess what evidence is in "harmony with a preponderance of the probabilities"? As Ryan J.A. recently stated in her concurring reasons in </w:t>
      </w:r>
      <w:r>
        <w:rPr>
          <w:rFonts w:ascii="arial" w:eastAsia="arial" w:hAnsi="arial" w:cs="arial"/>
          <w:i/>
          <w:color w:val="000000"/>
          <w:sz w:val="20"/>
          <w:lang w:val="en-US" w:eastAsia="en-US" w:bidi="ar-SA"/>
        </w:rPr>
        <w:t>R. v. Sue</w:t>
      </w:r>
      <w:r>
        <w:rPr>
          <w:rFonts w:ascii="arial" w:eastAsia="arial" w:hAnsi="arial" w:cs="arial"/>
          <w:color w:val="000000"/>
          <w:sz w:val="20"/>
          <w:lang w:val="en-US" w:eastAsia="en-US" w:bidi="ar-SA"/>
        </w:rPr>
        <w:t xml:space="preserve">, </w:t>
      </w:r>
      <w:hyperlink r:id="rId803" w:history="1">
        <w:r>
          <w:rPr>
            <w:rFonts w:ascii="arial" w:eastAsia="arial" w:hAnsi="arial" w:cs="arial"/>
            <w:i/>
            <w:color w:val="0077CC"/>
            <w:sz w:val="20"/>
            <w:u w:val="single"/>
            <w:shd w:val="clear" w:color="auto" w:fill="FFFFFF"/>
            <w:lang w:val="en-US" w:eastAsia="en-US" w:bidi="ar-SA"/>
          </w:rPr>
          <w:t>2011 BCCA 91</w:t>
        </w:r>
      </w:hyperlink>
      <w:r>
        <w:rPr>
          <w:rFonts w:ascii="arial" w:eastAsia="arial" w:hAnsi="arial" w:cs="arial"/>
          <w:color w:val="000000"/>
          <w:sz w:val="20"/>
          <w:lang w:val="en-US" w:eastAsia="en-US" w:bidi="ar-SA"/>
        </w:rPr>
        <w:t xml:space="preserve"> at para. 47:</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Doubtless, a skilled liar or a good actor can easily feign sincerity. But it is also the case that most people of average intelligence can tailor a story to fit the circumstances if they put their minds to it. Thus, a trier of fact will test a story for both its logic and, with the appropriate cautions, the manner in which it was told.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[35] In testing the witness' evidence, a court may consider the following factors, summarized by Thomson J. in </w:t>
      </w:r>
      <w:r>
        <w:rPr>
          <w:rFonts w:ascii="arial" w:eastAsia="arial" w:hAnsi="arial" w:cs="arial"/>
          <w:i/>
          <w:color w:val="000000"/>
          <w:sz w:val="20"/>
          <w:lang w:val="en-US" w:eastAsia="en-US" w:bidi="ar-SA"/>
        </w:rPr>
        <w:t>Unique Tool &amp; Gauge Inc. v. Impact Tool &amp; Mould Inc.</w:t>
      </w:r>
      <w:r>
        <w:rPr>
          <w:rFonts w:ascii="arial" w:eastAsia="arial" w:hAnsi="arial" w:cs="arial"/>
          <w:color w:val="000000"/>
          <w:sz w:val="20"/>
          <w:lang w:val="en-US" w:eastAsia="en-US" w:bidi="ar-SA"/>
        </w:rPr>
        <w:t xml:space="preserve">, </w:t>
      </w:r>
      <w:hyperlink r:id="rId804" w:history="1">
        <w:r>
          <w:rPr>
            <w:rFonts w:ascii="arial" w:eastAsia="arial" w:hAnsi="arial" w:cs="arial"/>
            <w:i/>
            <w:color w:val="0077CC"/>
            <w:sz w:val="20"/>
            <w:u w:val="single"/>
            <w:shd w:val="clear" w:color="auto" w:fill="FFFFFF"/>
            <w:lang w:val="en-US" w:eastAsia="en-US" w:bidi="ar-SA"/>
          </w:rPr>
          <w:t>[2002] O.J. No. 681</w:t>
        </w:r>
      </w:hyperlink>
      <w:r>
        <w:rPr>
          <w:rFonts w:ascii="arial" w:eastAsia="arial" w:hAnsi="arial" w:cs="arial"/>
          <w:color w:val="000000"/>
          <w:sz w:val="20"/>
          <w:lang w:val="en-US" w:eastAsia="en-US" w:bidi="ar-SA"/>
        </w:rPr>
        <w:t xml:space="preserve"> (Ont. S.C.J.) at para. 121:</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witness'] ability and opportunity to observe; his appearance and manner while testifying; his power of recollection; any interest, bias or prejudice he may have; any inconsistencies in his testimony and, the reasonableness of his testimony, when considered in the light of its harmony with the preponderance of the probabilities that the evidence was credible, believable and reliable.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[36] In the present case, a relevant factor to consider in assessing credibility is the party's interests. However, as Rowles J.A. said in </w:t>
      </w:r>
      <w:r>
        <w:rPr>
          <w:rFonts w:ascii="arial" w:eastAsia="arial" w:hAnsi="arial" w:cs="arial"/>
          <w:i/>
          <w:color w:val="000000"/>
          <w:sz w:val="20"/>
          <w:lang w:val="en-US" w:eastAsia="en-US" w:bidi="ar-SA"/>
        </w:rPr>
        <w:t>R. v. R.W.B.</w:t>
      </w:r>
      <w:r>
        <w:rPr>
          <w:rFonts w:ascii="arial" w:eastAsia="arial" w:hAnsi="arial" w:cs="arial"/>
          <w:color w:val="000000"/>
          <w:sz w:val="20"/>
          <w:lang w:val="en-US" w:eastAsia="en-US" w:bidi="ar-SA"/>
        </w:rPr>
        <w:t xml:space="preserve">, </w:t>
      </w:r>
      <w:hyperlink r:id="rId805" w:history="1">
        <w:r>
          <w:rPr>
            <w:rFonts w:ascii="arial" w:eastAsia="arial" w:hAnsi="arial" w:cs="arial"/>
            <w:i/>
            <w:color w:val="0077CC"/>
            <w:sz w:val="20"/>
            <w:u w:val="single"/>
            <w:shd w:val="clear" w:color="auto" w:fill="FFFFFF"/>
            <w:lang w:val="en-US" w:eastAsia="en-US" w:bidi="ar-SA"/>
          </w:rPr>
          <w:t>[1993] B.C.J. No. 758</w:t>
        </w:r>
      </w:hyperlink>
      <w:r>
        <w:rPr>
          <w:rFonts w:ascii="arial" w:eastAsia="arial" w:hAnsi="arial" w:cs="arial"/>
          <w:color w:val="000000"/>
          <w:sz w:val="20"/>
          <w:lang w:val="en-US" w:eastAsia="en-US" w:bidi="ar-SA"/>
        </w:rPr>
        <w:t xml:space="preserve"> (C.A.) at para. 28:</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[28] ... Whether a witness has a motive to lie is one factor which may be considered in assessing the credibility of a witness, but it is not the only factor to be considered. ...[I]t is essential that the credibility and reliability of the complainant's evidence be tested in the light of all of the other evidence presented.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[37] For example in </w:t>
      </w:r>
      <w:r>
        <w:rPr>
          <w:rFonts w:ascii="arial" w:eastAsia="arial" w:hAnsi="arial" w:cs="arial"/>
          <w:i/>
          <w:color w:val="000000"/>
          <w:sz w:val="20"/>
          <w:lang w:val="en-US" w:eastAsia="en-US" w:bidi="ar-SA"/>
        </w:rPr>
        <w:t>Ng v. Ng,</w:t>
      </w:r>
      <w:r>
        <w:rPr>
          <w:rFonts w:ascii="arial" w:eastAsia="arial" w:hAnsi="arial" w:cs="arial"/>
          <w:color w:val="000000"/>
          <w:sz w:val="20"/>
          <w:lang w:val="en-US" w:eastAsia="en-US" w:bidi="ar-SA"/>
        </w:rPr>
        <w:t xml:space="preserve"> </w:t>
      </w:r>
      <w:hyperlink r:id="rId806" w:history="1">
        <w:r>
          <w:rPr>
            <w:rFonts w:ascii="arial" w:eastAsia="arial" w:hAnsi="arial" w:cs="arial"/>
            <w:i/>
            <w:color w:val="0077CC"/>
            <w:sz w:val="20"/>
            <w:u w:val="single"/>
            <w:shd w:val="clear" w:color="auto" w:fill="FFFFFF"/>
            <w:lang w:val="en-US" w:eastAsia="en-US" w:bidi="ar-SA"/>
          </w:rPr>
          <w:t>2011 BCSC 192</w:t>
        </w:r>
      </w:hyperlink>
      <w:r>
        <w:rPr>
          <w:rFonts w:ascii="arial" w:eastAsia="arial" w:hAnsi="arial" w:cs="arial"/>
          <w:color w:val="000000"/>
          <w:sz w:val="20"/>
          <w:lang w:val="en-US" w:eastAsia="en-US" w:bidi="ar-SA"/>
        </w:rPr>
        <w:t xml:space="preserve"> the Court rejected the evidence of one person as flawed because "it relies on the mechanism of coincidence, it includes improbable and elaborate explanations to explain away telling circumstances and, in connection with [certain evidence] it relies on a manufactured foundation" (at para. 326).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plaintiff distinguishes between credibility and reliability by characterizing credibility as an intention to deceive and reliability as the accuracy of the plaintiff's evidence. That distinction is important but I prefer to view reliability as but one consideration in the overall assessment of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 will make some general observations regarding the plaintiff's credibility. I will then focus on the five underlying issues set out above which are key to the plaintiff's claims and where credibility is a focal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plaintiff displayed a significant level of animosity during her testimony. While the trial process is an adversarial one, the impression left by the plaintiff was that that adversarial environment prompted her to be selective in the information that she shared. The information she did provide was often coloured in a way that, in her mind, would support a favourable result. If the questions might have revealed unfavourable information her responses became vague or she professed a lack of memory. When examined or cross-examined in areas that allowed her to elaborate and, in her mind, bolster her claim, she was able to remember great detail. A review of the expert reports suggest that experts who interviewed her encountered similar situations. Not every expert addressed that presentation directly but Dr. O'Shaughnessy elaborated on his observations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Riitta Pitcher presents as a 43-year-old woman who was involved in a motor vehicle accident on August 26, 2004. The actual evaluation of Ms. Pitcher is extraordinarily complicated and difficult, in large measure because there are clear signs of inconsistences in symptoms and findings, clear signs of exaggerated complaints, and rather bizarre behaviour that cannot readily be explained by any of the data available currently. There are substantial conflicts in the data that are not yet explained. Ultimately we require further information in a number of domains to understand this rather complex and frankly bizarre presentation. Specifically, Ms. Pitcher has been extraordinarily vague in her descriptions of her work performance and history before and after the accident and had given conflicting statements as to the nature of her work and actual employment to examiners. We do not have any objective information as to what in fact she has been doing prior to the accident and I would require same before rendering any final opinion. Further, there is clear evidence of substantial conflicts within the family in which she has no had mounting conflicts with her daughter to the point that the daughter left home prematurely as well as increasing conflicts with her husband that have led to what appears to be a marital separation. There is a history of interpersonal difficulties that is vague an ill-defined and more information would be required before understanding the rather bizarre presentation at present. Frankly, there is a great deal more we do not know about Ms. Pitcher that requires clarification before any opinion can be offered as to the relationship between her current psychiatric status and traumatic events in her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She had a tendency in her evidence to state broad propositions and resist the provision of any detail. One of the most striking examples of the latter about which I will comment further in the context of her pre-collision employment discussion, is the nature of her work. At the conclusion of her evidence and indeed at the conclusion of a lengthy trial, I have no real understanding of the nature of the work that she was doing prior to the accident. She sought to convey the impression not only to the Court but to the experts who interviewed her that she was doing sophisticated and specialized research. When asked questions about her work she was unwilling to elaborate. Any evidence that was acquired that gave any detail was obtained with difficulty and was often vague and confusing.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When counsel, at trial, or expert examiners in the course of their interviews, endeavoured to drill down in such a way that information might be disclosed that did not favour the plaintiff, her information became confusing, vague and she was generally resistant. There are many inconsistencies in what the plaintiff told the experts as they collected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While the plaintiff through counsel argued this presentation may be a product of her psychological conditions, mood disorders and/or her CAPD, I am unable to reach that conclusion. One reason for that is that when the plaintiff felt she was in control of the flow of information and able to present it in her own way, she had good recall and was articulate and detailed.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general impression left was that the inconsistencies exist because the information is simply not truthful. It is exaggerated and enhanced but not consistently so. That presentation was consistent in my view with a person not being candid and forthright. Rather, it is consistent with the plaintiff wanting to present a glorified or more grandiose picture of her accomplishments and circumstances than can be supported in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Perhaps a useful illustration is found in the evidence of her own witness Tammy Hamstra, the niece of Brian Pitcher. Prior to the collision. Ms. Hamstra saw the plaintiff regularly at family gatherings. The plaintiff described her work to Ms. Hamstra and the impression created was that she was in some kind of sophisticated engineering profession and had a lucrative career, likely making in the order of $200,000 annually. The plaintiff may or may not have said those things but what she did say led to conclusions, parts of which are grossly inaccurate. That evidence from Ms. Hamstra suggests the plaintiff conveyed information in such a way that created an entirely inaccurate impression.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Obviously plaintiffs in personal injury claims have motivation to obtain the best results they can. There is nothing wrong with that. Where, however, a plaintiff has a desire to draw a listener to inaccurate conclusions or to openly exaggerate or even falsify information, that is an entirely different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plaintiff's comments in her voice message to Mr. Kendrick suggest an intention to use the litigation process inappropriately. There are occasions where people may say things in the heat of the moment, but then conduct themselves in a manner that demonstrates the comments were nothing more than short lived emotional outbursts. Unfortunately I am unable to place the plaintiff into the latter category.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 turn next to the specific underlying issues identified above where credibility issues arise. Obviously my findings there are relevant not only to credibility but also to assessing what injuries were caused by the collision and what impact they have had on the plaintiff for purposes of determining any damage awards.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What was the state of the plaintiff's pre-accident health, and in particular, did she have neck or head tremors?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Prior to the collision of 2004, the plaintiff's family physician was Dr. du Plessis. His reports and evidence indicate that the plaintiff had not consulted him regarding anxiety, depression or any stress related symptoms or any soft tissue issues with respect to her neck, shoulders or upper back or any movement disorder of her neck or 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plaintiff had, however, seen Dr. Rowell-Wong on April 8, 2004, 4 1/2 months prior to the accident. Dr. Rowell-Wong testified at trial and had some recollection of seeing the plaintiff. The clinical notes made by Dr. Rowell-Wong on that occasion are quite clear and specific and include the reference to a complaint of a "resting tremor head x 5 years family noticing more pronounced no other neurological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Those notes were confirmed by the plaintiff to be accurate in all respects except for the above quoted reference to the head tremors. She denies making the statement or having the symptom although in cross-examination she waivered in that denial stating "she did not recall" the symptoms being present before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information about the tremor is far from generic and it is not the type of information that may have been misunderstood or misinterpreted. In the context of the evidence here there is simply no basis for any other conclusion than it is based on what the plaintiff told the doctor and that it was accurate. There is no other rational or plausible explanation.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 deal again with the subject of the tremors below in addressing the plaintiff's evidence about the onset of the tremor after the collision. Those observations support my conclusions here about the tremor but even without that evidence my conclusions would be the same.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 do not accept plaintiff's assertion that this condition only arose after the collision. It is my conclusion that the head tremor had been an ongoing issue that had become more pronounced shortly before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This is a very significant conclusion in the context of this claim and in the overall assessment of the plaintiff's credibility. I cannot accept that the plaintiff simply forgot and can therefore only conclude that she was not being honest in this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 come to a similar conclusion in respect of Brian Pitcher. He testified that he first noted the problem after the collision but I do not find him to be a credible witness generally or in relation to this particular point.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Following the collision what symptoms (including the</w: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head tremors) were noted by the plaintiff and when?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 have already stated my conclusion that the plaintiff's tremors existed before the collision. Nonetheless the condition is discussed again under this subheading because of the discrepancies in the evidence as to when the plaintiff told examiners it was noted by her. Those discrepancies are part of what influences my assessment of her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There are numerous examples in the expert reports of the plaintiff telling the experts things about her post-collision symptoms that are inconsistent as between experts and/or inconsistent with her testimony at trial. Only some examples of those will be highlighted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Dr. Calne is a neurologist to whom the plaintiff was referred by her then counsel. As noted above, he indicated that the plaintiff indicated to him on May 30, 2005 that she had first noted the shaking of her head within a couple of days of the collision. He diagnosed cervical dystonia but confirmed it was a diagnosis with which he did not have complete confidence. It was complicated by observations as it indicated a psychological overlay in the 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plaintiff first attended for medical attention on the day of the accident with Dr. Shams, a locum for Dr. du PlessisDr. . As noted in the background section, Dr. Shams prescribed anti-inflammatory medication and a muscle relaxant. Dr. du Plessis records in his report of May 17, 2005: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Mrs. Pitcher was not satisfied with the medical care that she received from Dr. Shams and therefore decided to consult with a physician in another clinic. She was evaluated and treated by Dr. Adrian Morris from the Capri Medical Clinic Dr. Morris referred her to a physiotherapist from whom she is still receiving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On August 27, 2004, Dr. Morris indicated that he noted poor range of motion in the plaintiff's neck and back. He did not see her between September 2004 and January 2005. Again in January 2005 his notes indicated complaints of pain in the neck and back. His assessment was "Multiple soft tissue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In February 2005, Dr. Morris observed a tremor in her neck with flexion which he described as something of a ratcheting-type movement. X-rays that were ordered showed muscle spasm. This was the first record of the tremor post-collision.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Thereafter he severed the doctor-patient relationship with the plaintiff as a result of a meeting where she challenged his treatment. He wrote the following in his clinical note of that visit: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 wonder why she is so against going for what I would consider routine blood tests--is she afraid I may prove that her problem is really diabetes and thyroid related and--not MVA related????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In her evidence at trial the plaintiff was very specific in saying that she first noted the tremor on September 15,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This is an important example of the inconsistencies in what the plaintiff reports to different people and to the Court at different points in time. In fact there are differences in this regard in the reports of Dr. Craig, Dr. Calne, Dr. Pirolli, Dr. O'Shaugnessy. It is impossible to reconcile these differences. Further and as I have noted, it is not explained by her psychological or other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plaintiff received physiotherapy treatment from Murray Holmes between September 2004 and September 2006. He was asked to assist in treating her upper cervical spine, headaches and thoracic spine. He was unable to recall when he first noted tremors in her neck or head, but did confirm the observation and that was part of the symptom presentation. He could not recall if that was first noted before or after December 9, 2004, the date of her voice message to Mr. Kendrick.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What this evidence demonstrates is that the plaintiff was dissatisfied with the care she received from her general practitioners or their locums, and that there is no record of any complaint of tremors post-collision until February 2005 despite telling Dr. Calne that the problem presented within days of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Dr. Lea, a clinical psychologist, provided counselling services to the plaintiff beginning June 6, 2005 and attended on 18 occasions prior to his report of February 20, 2006. He expressed the view that providing counselling was challenging because in any given session the plaintiff presented as stressed and distraught in respect of some particular event that created a crisis for her, making it difficult to pursue the broader objectives of the counselling.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He did not express any conclusion regarding the onset of the tremors or an opinion as to causation. Ultimately it was his conclusion that the tremors that the plaintiff was dealing with are "such a large part of the picture that they remain beyond reach. I think it unlikely she will be able to return to work, or if she does it will be on a part-time basis under 10 hours per week on average." This conclusion is not contradicted and, as I comment below, is significant in the context of assessment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plaintiff testified that in the six months post-collision she was told by her daughter Tiia and her husband Brian that her writing was missing things and that she spoke and wrote like "Yoda". That is a unique descriptor but I note neither Brian Pitcher nor Tiia actually used it in their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She said she had difficulty concentrating as a result of the pain. She was referred by her counsel to Dr. Pirolli for a neuropsychological assessment. She told Dr. Pirolli that she had no memory of the first three to four months after the accident. That is significant in that it contradicts her evidence at trial and what she apparently told other experts.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Dr. Pirolli ruled out a traumatic brain injury. She too noted challenges in making an assessment due to variable test-taking effort, pain, fatigue and anxiety. She opined that emotional distress coupled with sleep disturbance and pain was impacting her cognitive capabilities.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Taken with the opinion of Dr. Lea that the tremor was the principle issue causing emotional distress and my finding that the tremor was not caused by the collision, this opinion detracts from the merit of the plaintiff's position.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What was the precise nature of her pre-accident employment and to what extent if any, did the collision and resulting injuries affect her earnings following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There is no doubt that the plaintiff had achieved some academic success and qualifications prior to the collision. Since her arrival in Canada in approximately 1994, her employment history and earnings are somewhat unclear. This is especially true up to 2002. More detailed information in terms of her earnings is obtained from the evidence or tax returns beginning in 2002, and they demonstrate modest earnings.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As alluded to in my general comments regarding credibility the evidence in this case is very unusual in that despite all of the witnesses and evidence produced, I am left with a very vague appreciation of just what it was that the plaintiff was doing in her research. She described a loss of her research through a computer crash in 2005, but that provides no explanation for the absence of any meaningful or consistent description of her work. I do not know from the evidence if her research was simply collecting material off the Internet and organizing it in some fashion or if she was doing highly specialized technical analytical work. She gave virtually no description of what her work product actually was and what, if any, analysis, examination or expertise she introduced into that work product. It is evident that whatever she did, she did in the privacy of her home and that it was computer-based and it had something to do with the forest industry and in part at least, pine beetle infestations, but I know nothing more.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In her report of September 21, 2010, Dr. Bellis says among other things: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addition, Mrs. Pitcher reports that, despite having been excellent at math prior to the accident, she is no longer able to perform mathematics calculation activities. Similarly, despite having been involved in orienteering activities premorbidly both in her job as a Forestry Engineer and for leisure, she currently has difficulty navigating and finding her way in a variety of situations, including while grocery shopping.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In her evidence, the plaintiff indicated that all of her work was conducted in her home office and there is absolutely no suggestion either recreationally or in her job as a "forestry engineer" that she engaged in orienteering activities. Nor was there any indication that her work involved mathematics. To the extent the Dr. Bellis relied upon that information in formulating her opinions has not been proven in evidence. It is a further example of the plaintiff providing information in a manner and in a level of detail that she sees fit. Clearly Dr. Bellis was left with an impression regarding the nature of the plaintiff's employment that is different from what the plaintiff described in her testimony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According to the report of Dr. Lea who was an expert on behalf of the plaintiff and who provided counselling services over an extended period of time, he reported that the plaintiff told him that at the time of the collision she "was working on GPS locating software and hardware, forestry related feasibility studies and financial investments." In fact, she and Brian Pitcher had engaged in some discussion with a developer of tracking devices, but it was very much preliminary and never emerged into anything and there was no evidence about financial investments.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Another significant issue relates to the terms of the plaintiff's contract work. In her evidence at trial, the plaintiff referenced computer-generated and computer signed documents as evidence of her contract, her level of pay and prospects for earnings that she says were eliminated by her injuries. She relies on these documents as the basis for her past loss of earnings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The documents were located by her trial counsel only days before the commencement of the trial. He found them in a bin of documents that had previously been listed as a group and described in some generic language as "boat documents". The plaintiff testified that she had provided these to her former counsel. Why or how they were missed for so long remains a mystery and defence counsel acknowledges that I cannot conclude the plaintiff controlled or caused their late disclosure.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It is puzzling however that the plaintiff was not more clear with information about her work in advance of the trial. The plaintiff acknowledged that at multiple examinations for discovery in the years preceding the collision she had been queried about her pre-collision employment and had been unable to provide or recall many details. In fact she says that she had been doing this contract work for Mr. Molin, who is now deceased. In the ICBC accident claim form she completed she referred to her employer as being the sole proprietorship that she operated under.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 plaintiff's evidence was that when asked about these matters during discovery, she could not recall. I find this difficult to reconcile with the degree of detail she gave on the matters at trial. The memory issues that are described as being part of the symptom complex associated with her psychiatric, psychological or CAPD, are not a sufficient explanation in these circumstances. She seemed to display no difficulties with memory during the course of her trial evidence on these matters. She described efforts to track down Mr. Molin in the years preceding the collision which are suggestive of having a good memory at those points in time. Instead the impression I am left with in considering the whole of the evidence is that the plaintiff has been selective about how much and what information she chooses to provide at different points in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It is also worthy of note that in his evidence at trial, Brian Pitcher said he essentially knew nothing of the plaintiff's work and that any of the dialogue or communications that he was aware of were all in Finnish. The exhibits acquired from the box are all in English. They are invoices, payment records and other electronic documents connected with the plaintiff's research work for Mr. Molin. Contrary to Mr. Pitcher's evidence, they are in English. He was obviously well aware of them at the time as his initials appear on some of them effectively witnessing them. That is suggestive of him having a real involvement, at least in the invoicing for the plaintiff's work and having seen documentation in English. It directly contradicts his testimony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As a result there is no clear picture as to just what type of work the plaintiff was doing. It was some form of research generating modest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In summary there are two problems with the plaintiff's evidence. The first is the lack of clear evidence at trial as to just what her work entailed which makes it impossible to do any real assessment of the effect of her injuries on her ability to continue that work. The second is the apparent inconsistencies in her description of her work to expert witnesses which descriptions were not proven at trial. This essentially eliminates any evidentiary value in the experts' opinions regarding her ability to work. It also adversely affects my assessment of the plaintiff's credibility.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How significant were the forces on the plaintiff in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All of the occupants of the two vehicles involved in the collision gave evidence, that is, the plaintiff, the defendant and Tiia who was a passenger in the plaintiff's vehicle. Collectively their evidence makes it clear that the impact was modest. There was very minor damage to each vehicle which was assessed by ICBC. Although the descriptions of the significance of the impact vary to some extent between plaintiff and defence witnesses, they are generally consistent.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 am satisfied that the defendant did strike the plaintiff from the rear while both vehicles were in motion.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In her trial evidence describing the accident she said that the impact was sudden and her head was turned toward her passenger Tiia. She said that her head struck the backrest and that her limbs were shaking following the impact. She was able to provide very detailed evidence of the collision and the events that immediately followed. This ability in and of itself is inconsistent with what she has told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At other points in time she has professed to have had little recall of the accident. Specifically, in the neuropsychological assessment of Dr. Pirolli carried out on November 25, 2005, where the plaintiff's description could only be given by "consulting some notes she made when she could remember the accident" and further that she "has no memory of the first 3 to 4 months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Dr. O'Shaughnessy reported that the plaintiff was unsure what memories were actually her memories, and to what extent she was simply reporting what others had told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I am unable to accept that these inconsistencies can be explained by any injuries or conditions. The evidence does not support such a conclusion nor does logic.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As to the forces involved and the probability of injuries resulting, the defence relies upon the opinion of two experts. Dr. Craig Good has a degree and Masters in Applied Science-Mechanical Engineering and a doctor in Philosophy in Mechanical Engineering. He opined that it is "highly unlikely that Ms. Pitcher sustained an acute Mild Traumatic Brain Injury at the time of the subject collision when her head contacted the head restraint."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Gerald Sdoutz is a professional engineer who provided opinion evidence about the impact severity in the collision and compared it with activities such as sitting down in a low back office chair, coughing or sneezing or being jostled in a crowd.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While that expert evidence provides some insight I find its utility to be limited. It puts in perspective that the forces involved in the collision were modest. It does not preclude the conclusion that the plaintiff did receive injuries in this collision. In that regard I look to the expert medical evidence and the evidence of the participants in the collision. I will, in subsequent portions of this decision, address specifically my findings in relation to the plaintiff's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At this stage I conclude two things. First, in terms of credibility assessment, the plaintiff has provided somewhat inconsistent information regarding the state of her memory and I am unable to conclude that it is entirely explained by any psychological or other medical conditions that she may have that were either caused by the accident or otherwise. The pattern of her description in various circumstances and the level of detail that she was able to provide at trial suggest that at least in part, the fullness of the plaintiff's recall is influenced by the circumstances and her perception of what serves her best at that point in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Second, I am not persuaded by the evidence that the nature of the forces involved did not cause any injury. The evidence does highlight however, in conjunction with the credibility issues, the need to scrutinize the evidence of injuries with care.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To what extent and with what consequence is the plaintiff's conduct of the litigation relevant to her credibility and the assessment of her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In the context of plaintiff's pursuit of this litigation, the defence argues that the plaintiff has deliberately tried to frustrate defence from acquiring information about her pre-collision employment. Further they say the plaintiff is being overtly dishonest both in what she has told her doctors and expert witnesses and in her testimony in court regarding the head tremors.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They say that this is all consistent with her comments to Mr. Kendrick in the voice message of December 9, 2004. That "threat" was followed, the defence says, by the complaints of the head tremors and various other subjective complaints of cognitive and other difficulties.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Defence counsel points to the plaintiff's lack of disclosure regarding her employment information with Mr. Molin as essentially selective memory loss that precluded the defence from fully investigating that employment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It is my conclusion that caution must be used in attaching any real weight to the voice message left. The evidence generally is that the plaintiff is not a trusting individual. Frustration for plaintiffs in advancing their claims is not unusual. Different people manage those frustrations differently and sometimes lashing out verbally is a result. What matters is what they actually do. At the same time, there are unusual features to the plaintiff's claim and the voice message serves only as a feature of her presentation along with others which I have noted and will note further that require scrutiny of her evidence. It is, essentially, a factor to be considered in the context of her credibility generally.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As to the employment information I am unable to conclude on the whole of the evidence that the plaintiff hid or kept the documents that were disclosed in the days before the trial. The circumstances are unusual but that is not sufficient to draw a conclusion adverse to the plaintiff. The greater problem for the plaintiff in terms of credibility, as I noted above, is a general impression that she is less than forthcoming in providing testimony regarding her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xml:space="preserve">  The plaintiff is entitled to compensation for those injuries that were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course manifested itself in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Recently the Supreme Court of Canada had an opportunity to address this subject directly in </w:t>
      </w:r>
      <w:r>
        <w:rPr>
          <w:rFonts w:ascii="arial" w:eastAsia="arial" w:hAnsi="arial" w:cs="arial"/>
          <w:i/>
          <w:color w:val="000000"/>
          <w:sz w:val="20"/>
          <w:lang w:val="en-US" w:eastAsia="en-US" w:bidi="ar-SA"/>
        </w:rPr>
        <w:t>Clements v. Clements</w:t>
      </w:r>
      <w:r>
        <w:rPr>
          <w:rFonts w:ascii="arial" w:eastAsia="arial" w:hAnsi="arial" w:cs="arial"/>
          <w:color w:val="000000"/>
          <w:sz w:val="20"/>
          <w:lang w:val="en-US" w:eastAsia="en-US" w:bidi="ar-SA"/>
        </w:rPr>
        <w:t xml:space="preserve">, </w:t>
      </w:r>
      <w:hyperlink r:id="rId11" w:history="1">
        <w:r>
          <w:rPr>
            <w:rFonts w:ascii="arial" w:eastAsia="arial" w:hAnsi="arial" w:cs="arial"/>
            <w:i/>
            <w:color w:val="0077CC"/>
            <w:sz w:val="20"/>
            <w:u w:val="single"/>
            <w:shd w:val="clear" w:color="auto" w:fill="FFFFFF"/>
            <w:lang w:val="en-US" w:eastAsia="en-US" w:bidi="ar-SA"/>
          </w:rPr>
          <w:t>2012 SCC 32</w:t>
        </w:r>
      </w:hyperlink>
      <w:r>
        <w:rPr>
          <w:rFonts w:ascii="arial" w:eastAsia="arial" w:hAnsi="arial" w:cs="arial"/>
          <w:color w:val="000000"/>
          <w:sz w:val="20"/>
          <w:lang w:val="en-US" w:eastAsia="en-US" w:bidi="ar-SA"/>
        </w:rPr>
        <w:t>. There it confirmed that the "test for showing causation is the 'but for' test":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 On its own, proof by an injured plaintiff that a defendant was negligent does not make that defendant liable for the loss. The plaintiff must also establish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(breach of the standard of care) </w:t>
      </w:r>
      <w:r>
        <w:rPr>
          <w:rFonts w:ascii="arial" w:eastAsia="arial" w:hAnsi="arial" w:cs="arial"/>
          <w:i/>
          <w:color w:val="000000"/>
          <w:sz w:val="20"/>
          <w:lang w:val="en-US" w:eastAsia="en-US" w:bidi="ar-SA"/>
        </w:rPr>
        <w:t>caused</w:t>
      </w:r>
      <w:r>
        <w:rPr>
          <w:rFonts w:ascii="arial" w:eastAsia="arial" w:hAnsi="arial" w:cs="arial"/>
          <w:color w:val="000000"/>
          <w:sz w:val="20"/>
          <w:lang w:val="en-US" w:eastAsia="en-US" w:bidi="ar-SA"/>
        </w:rPr>
        <w:t xml:space="preserve"> the injury. That link is causation.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 Recovery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presupposes a relationship between the plaintiff and defendant based on the existence of a duty of care -- a defendant who is at fault and a plaintiff who has been injured by that fault. If the defendant breaches this duty and thereby causes injury to the plaintiff, the law "corrects" the deficiency in the relationship by requiring the defendant to compensate the plaintiff for the injury suffered. This basis for recovery, sometimes referred to as "corrective justice", assigns liability when the plaintiff and defendant are linked in a correlative relationship of doer and sufferer of the same harm: E.J. Weinrib, </w:t>
      </w:r>
      <w:r>
        <w:rPr>
          <w:rFonts w:ascii="arial" w:eastAsia="arial" w:hAnsi="arial" w:cs="arial"/>
          <w:i/>
          <w:color w:val="000000"/>
          <w:sz w:val="20"/>
          <w:lang w:val="en-US" w:eastAsia="en-US" w:bidi="ar-SA"/>
        </w:rPr>
        <w:t>The Idea of Private Law</w:t>
      </w:r>
      <w:r>
        <w:rPr>
          <w:rFonts w:ascii="arial" w:eastAsia="arial" w:hAnsi="arial" w:cs="arial"/>
          <w:color w:val="000000"/>
          <w:sz w:val="20"/>
          <w:lang w:val="en-US" w:eastAsia="en-US" w:bidi="ar-SA"/>
        </w:rPr>
        <w:t xml:space="preserve"> (1995), at p. 156.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 The test for showing causation is the "but for" test. The plaintiff must show on a balance of probabilities that "but for" the defendant's negligent act, the injury would not have occurred. Inherent in the phrase "but for" is the requirement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w:t>
      </w:r>
      <w:r>
        <w:rPr>
          <w:rFonts w:ascii="arial" w:eastAsia="arial" w:hAnsi="arial" w:cs="arial"/>
          <w:i/>
          <w:color w:val="000000"/>
          <w:sz w:val="20"/>
          <w:lang w:val="en-US" w:eastAsia="en-US" w:bidi="ar-SA"/>
        </w:rPr>
        <w:t>necessary</w:t>
      </w:r>
      <w:r>
        <w:rPr>
          <w:rFonts w:ascii="arial" w:eastAsia="arial" w:hAnsi="arial" w:cs="arial"/>
          <w:color w:val="000000"/>
          <w:sz w:val="20"/>
          <w:lang w:val="en-US" w:eastAsia="en-US" w:bidi="ar-SA"/>
        </w:rPr>
        <w:t xml:space="preserve"> to bring about the injury -- in other words that the injury would not have occurred without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This is a factual inquiry. If the plaintiff does not establish this on a balance of probabilities, having regard to all the evidence, her action against the defendant fails.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 The "but for" causation test must be applied in a robust common sense fashion. There is no need for scientific evidence of the precise contribution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made to the injury. See </w:t>
      </w:r>
      <w:r>
        <w:rPr>
          <w:rFonts w:ascii="arial" w:eastAsia="arial" w:hAnsi="arial" w:cs="arial"/>
          <w:i/>
          <w:color w:val="000000"/>
          <w:sz w:val="20"/>
          <w:lang w:val="en-US" w:eastAsia="en-US" w:bidi="ar-SA"/>
        </w:rPr>
        <w:t>Wilsher v. Essex Area Health Authority</w:t>
      </w:r>
      <w:r>
        <w:rPr>
          <w:rFonts w:ascii="arial" w:eastAsia="arial" w:hAnsi="arial" w:cs="arial"/>
          <w:color w:val="000000"/>
          <w:sz w:val="20"/>
          <w:lang w:val="en-US" w:eastAsia="en-US" w:bidi="ar-SA"/>
        </w:rPr>
        <w:t xml:space="preserve">, [1988] A.C. 1074 (H.L.), at p. 1090, per Lord Bridge; </w:t>
      </w:r>
      <w:r>
        <w:rPr>
          <w:rFonts w:ascii="arial" w:eastAsia="arial" w:hAnsi="arial" w:cs="arial"/>
          <w:i/>
          <w:color w:val="000000"/>
          <w:sz w:val="20"/>
          <w:lang w:val="en-US" w:eastAsia="en-US" w:bidi="ar-SA"/>
        </w:rPr>
        <w:t>Snell v. Farrell</w:t>
      </w:r>
      <w:r>
        <w:rPr>
          <w:rFonts w:ascii="arial" w:eastAsia="arial" w:hAnsi="arial" w:cs="arial"/>
          <w:color w:val="000000"/>
          <w:sz w:val="20"/>
          <w:lang w:val="en-US" w:eastAsia="en-US" w:bidi="ar-SA"/>
        </w:rPr>
        <w:t xml:space="preserve">, </w:t>
      </w:r>
      <w:hyperlink r:id="rId12" w:history="1">
        <w:r>
          <w:rPr>
            <w:rFonts w:ascii="arial" w:eastAsia="arial" w:hAnsi="arial" w:cs="arial"/>
            <w:i/>
            <w:color w:val="0077CC"/>
            <w:sz w:val="20"/>
            <w:u w:val="single"/>
            <w:shd w:val="clear" w:color="auto" w:fill="FFFFFF"/>
            <w:lang w:val="en-US" w:eastAsia="en-US" w:bidi="ar-SA"/>
          </w:rPr>
          <w:t>[1990] 2 S.C.R. 311</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 A common sense inference of "but for" causation from proof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usually flows without difficulty. Evidence connecting the breach of duty to the injury suffered may permit the judge, depending on the circumstances, to infer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probably caused the loss. See </w:t>
      </w:r>
      <w:r>
        <w:rPr>
          <w:rFonts w:ascii="arial" w:eastAsia="arial" w:hAnsi="arial" w:cs="arial"/>
          <w:i/>
          <w:color w:val="000000"/>
          <w:sz w:val="20"/>
          <w:lang w:val="en-US" w:eastAsia="en-US" w:bidi="ar-SA"/>
        </w:rPr>
        <w:t>Snell</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3"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See also the discussion on this issue by the Australian courts: </w:t>
      </w:r>
      <w:r>
        <w:rPr>
          <w:rFonts w:ascii="arial" w:eastAsia="arial" w:hAnsi="arial" w:cs="arial"/>
          <w:i/>
          <w:color w:val="000000"/>
          <w:sz w:val="20"/>
          <w:lang w:val="en-US" w:eastAsia="en-US" w:bidi="ar-SA"/>
        </w:rPr>
        <w:t>Betts v. Whittingslowe</w:t>
      </w:r>
      <w:r>
        <w:rPr>
          <w:rFonts w:ascii="arial" w:eastAsia="arial" w:hAnsi="arial" w:cs="arial"/>
          <w:color w:val="000000"/>
          <w:sz w:val="20"/>
          <w:lang w:val="en-US" w:eastAsia="en-US" w:bidi="ar-SA"/>
        </w:rPr>
        <w:t xml:space="preserve"> (1945), 71 C.L.R. 637 (H.C.), at p. 649; </w:t>
      </w:r>
      <w:r>
        <w:rPr>
          <w:rFonts w:ascii="arial" w:eastAsia="arial" w:hAnsi="arial" w:cs="arial"/>
          <w:i/>
          <w:color w:val="000000"/>
          <w:sz w:val="20"/>
          <w:lang w:val="en-US" w:eastAsia="en-US" w:bidi="ar-SA"/>
        </w:rPr>
        <w:t>Bennett v. Minister of Community Welfare</w:t>
      </w:r>
      <w:r>
        <w:rPr>
          <w:rFonts w:ascii="arial" w:eastAsia="arial" w:hAnsi="arial" w:cs="arial"/>
          <w:color w:val="000000"/>
          <w:sz w:val="20"/>
          <w:lang w:val="en-US" w:eastAsia="en-US" w:bidi="ar-SA"/>
        </w:rPr>
        <w:t xml:space="preserve"> (1992), 176 C.L.R. 408 (H.C.), at pp. 415-16; </w:t>
      </w:r>
      <w:r>
        <w:rPr>
          <w:rFonts w:ascii="arial" w:eastAsia="arial" w:hAnsi="arial" w:cs="arial"/>
          <w:i/>
          <w:color w:val="000000"/>
          <w:sz w:val="20"/>
          <w:lang w:val="en-US" w:eastAsia="en-US" w:bidi="ar-SA"/>
        </w:rPr>
        <w:t>Flounders v. Millar</w:t>
      </w:r>
      <w:r>
        <w:rPr>
          <w:rFonts w:ascii="arial" w:eastAsia="arial" w:hAnsi="arial" w:cs="arial"/>
          <w:color w:val="000000"/>
          <w:sz w:val="20"/>
          <w:lang w:val="en-US" w:eastAsia="en-US" w:bidi="ar-SA"/>
        </w:rPr>
        <w:t xml:space="preserve">, [2007] NSWCA 238, 49 M.V.R. 53; </w:t>
      </w:r>
      <w:r>
        <w:rPr>
          <w:rFonts w:ascii="arial" w:eastAsia="arial" w:hAnsi="arial" w:cs="arial"/>
          <w:i/>
          <w:color w:val="000000"/>
          <w:sz w:val="20"/>
          <w:lang w:val="en-US" w:eastAsia="en-US" w:bidi="ar-SA"/>
        </w:rPr>
        <w:t>Roads and Traffic Authority v. Royal</w:t>
      </w:r>
      <w:r>
        <w:rPr>
          <w:rFonts w:ascii="arial" w:eastAsia="arial" w:hAnsi="arial" w:cs="arial"/>
          <w:color w:val="000000"/>
          <w:sz w:val="20"/>
          <w:lang w:val="en-US" w:eastAsia="en-US" w:bidi="ar-SA"/>
        </w:rPr>
        <w:t>, [2008] HCA 19, 245 A.L.R. 653, at paras. 137-44.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 Where "but for" causation is established by inference only, it is open to the defendant to argue or call evidence that the accident would have happened without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i.e. that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not a necessary cause of the injury, which was, in any event, inevitable. As Sopinka J. put it in </w:t>
      </w:r>
      <w:r>
        <w:rPr>
          <w:rFonts w:ascii="arial" w:eastAsia="arial" w:hAnsi="arial" w:cs="arial"/>
          <w:i/>
          <w:color w:val="000000"/>
          <w:sz w:val="20"/>
          <w:lang w:val="en-US" w:eastAsia="en-US" w:bidi="ar-SA"/>
        </w:rPr>
        <w:t>Snell</w:t>
      </w:r>
      <w:r>
        <w:rPr>
          <w:rFonts w:ascii="arial" w:eastAsia="arial" w:hAnsi="arial" w:cs="arial"/>
          <w:color w:val="000000"/>
          <w:sz w:val="20"/>
          <w:lang w:val="en-US" w:eastAsia="en-US" w:bidi="ar-SA"/>
        </w:rPr>
        <w:t>, at p. 330: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legal or ultimate burden remains with the plaintiff, but in the absence of evidence to the contrary adduced by the defendant, an inference of causation may be drawn although positive or scientific proof of causation has not been adduced. </w:t>
      </w:r>
      <w:r>
        <w:rPr>
          <w:rFonts w:ascii="arial" w:eastAsia="arial" w:hAnsi="arial" w:cs="arial"/>
          <w:color w:val="000000"/>
          <w:sz w:val="20"/>
          <w:u w:val="single"/>
          <w:lang w:val="en-US" w:eastAsia="en-US" w:bidi="ar-SA"/>
        </w:rPr>
        <w:t>If some evidence to the contrary is adduced by the defendant, the trial judge is entitled to take account of Lord Mansfield's famous precept [that "all evidence is to be weighed according to the proof which it was in the power of one side to have produced, and in the power of the other to have contradicted"</w:t>
      </w:r>
      <w:r>
        <w:rPr>
          <w:rFonts w:ascii="arial" w:eastAsia="arial" w:hAnsi="arial" w:cs="arial"/>
          <w:color w:val="000000"/>
          <w:sz w:val="20"/>
          <w:lang w:val="en-US" w:eastAsia="en-US" w:bidi="ar-SA"/>
        </w:rPr>
        <w:t xml:space="preserve"> (</w:t>
      </w:r>
      <w:r>
        <w:rPr>
          <w:rFonts w:ascii="arial" w:eastAsia="arial" w:hAnsi="arial" w:cs="arial"/>
          <w:i/>
          <w:color w:val="000000"/>
          <w:sz w:val="20"/>
          <w:u w:val="single"/>
          <w:lang w:val="en-US" w:eastAsia="en-US" w:bidi="ar-SA"/>
        </w:rPr>
        <w:t>Blatch v. Archer</w:t>
      </w:r>
      <w:r>
        <w:rPr>
          <w:rFonts w:ascii="arial" w:eastAsia="arial" w:hAnsi="arial" w:cs="arial"/>
          <w:color w:val="000000"/>
          <w:sz w:val="20"/>
          <w:u w:val="single"/>
          <w:lang w:val="en-US" w:eastAsia="en-US" w:bidi="ar-SA"/>
        </w:rPr>
        <w:t xml:space="preserve"> (1774), 1 Cowp. 63, 98 E.R. 969, at p. 970)]</w:t>
      </w:r>
      <w:r>
        <w:rPr>
          <w:rFonts w:ascii="arial" w:eastAsia="arial" w:hAnsi="arial" w:cs="arial"/>
          <w:color w:val="000000"/>
          <w:sz w:val="20"/>
          <w:lang w:val="en-US" w:eastAsia="en-US" w:bidi="ar-SA"/>
        </w:rPr>
        <w:t xml:space="preserve">. This is, I believe, what Lord Bridge had in mind in </w:t>
      </w:r>
      <w:r>
        <w:rPr>
          <w:rFonts w:ascii="arial" w:eastAsia="arial" w:hAnsi="arial" w:cs="arial"/>
          <w:i/>
          <w:color w:val="000000"/>
          <w:sz w:val="20"/>
          <w:lang w:val="en-US" w:eastAsia="en-US" w:bidi="ar-SA"/>
        </w:rPr>
        <w:t>Wilsher</w:t>
      </w:r>
      <w:r>
        <w:rPr>
          <w:rFonts w:ascii="arial" w:eastAsia="arial" w:hAnsi="arial" w:cs="arial"/>
          <w:color w:val="000000"/>
          <w:sz w:val="20"/>
          <w:lang w:val="en-US" w:eastAsia="en-US" w:bidi="ar-SA"/>
        </w:rPr>
        <w:t xml:space="preserve"> when he referred to a "robust and pragmatic approach to the . . . facts" (p. 569). [Emphasis added.]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 In some cases, an injury -- the loss for which the plaintiff claims compensation -- may flow from a number of different negligent acts committed by different actors, each of which is a necessary or "but for" cause of the injury. In such cases, the defendants are said to be jointly and severally liable. The judge or jury then apportions liability according to the degree of fault of each defendant pursuant to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legislation.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At paragraph 48 of the written submissions, the plaintiff describes the injuries she alleges were caused by the collision as follows:</w:t>
      </w:r>
      <w:r>
        <w:rPr>
          <w:rFonts w:ascii="arial" w:eastAsia="arial" w:hAnsi="arial" w:cs="arial"/>
          <w:sz w:val="20"/>
          <w:lang w:val="en-US" w:eastAsia="en-US" w:bidi="ar-SA"/>
        </w:rPr>
        <w:cr/>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Neck injury which became chronic, the effects of which were made worse by the plaintiff's anxiety and mood disorder issues.</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Cervical Dystonia, the effects of which were made worse by the plaintiff's anxiety and mood disorder issues.</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Psychological disorders including major depression, anxiety and mood disorders.</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Central Auditory Processing Disorder, the effects of which were made worse by the plaintiff's anxiety and mood disorder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One of the challenging features arising from the evidence are the gaps in time between the opinions upon which the plaintiff relies. Drs. du Plessis, Calne, Lea and Pirolli all prepared their opinions in 2005 and 2006. There are no additional assessments or reports until 2010 when Drs. Shahnaz, Greenberg and Bellis prepared their opinions. Also in 2010 are reports of the occupational therapist Phil Towsley and the speech and language pathologist Becky Cermak. There are no new assessments after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Each of the specialists' reports in the 2005/2006 time period suffer from shortcomings in the accuracy of the information provided by the plaintiff. Particularly this relates to the presence or absence of the neck tremor but the examples are not limited to that condition. The inconsistencies in the report of the onset and nature of the symptoms generally is troubling.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Psychological Disorders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Reports from specialists in this area include Dr. Lea on February 20, 2006, and Dr. Pirolli on November 25, 2005. As noted above, Dr. Pirolli pointed out a number of concerning features about the plaintiff's presentation and effort. Taking that into account she expressed the opinion that "the accident had a significant impact on [the plaintiff]". She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Since there is nothing in her history to suggest her difficulties were present prior to the accident, the psychological and functional difficulties now present are most likely related to the accident she had on August 26, 2004. I would suggest the possible diagnoses for her problems include: Adjustment Disorder, Post-Traumatic Stress Disorder, Specific Phobia, and/or Pain Disorder with both Psychological Factors and a General Medical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Dr. Lea reaches similar conclusions but states in his penultimate paragraph: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tremors, however, are such a large part of the picture that if they remain beyond reach I think it unlikely she will be able to return to work, or if she does it will be on a part-time basis under 10 hours a week on average. She finds the tremors and related neck pain to disturb her sleep, her concentration (and short-term memory) and her social poison 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To the extent the Dr. Pirolli suggests possible diagnoses including post-traumatic stress disorder, it must be noted that she also concludes that "a questionnaire assessing the common symptoms of post-traumatic stress disorder (PTSD) was considered invalid due to an over endorsement of statistically unusual phenomenon".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It is my conclusion that a great portion of the psychological distress is, as Dr. Lea indicated, a product of the neck tremors. As noted in my discussion regarding the subject of the cervical dystonia I am not satisfied that that condition was caused by the accident and accordingly am not satisfied that the psychological conditions which were dealt with have been caused by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Cervical Dystonia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The diagnosis of cervical dystonia is made by Dr. Calne in his report of June 5, 2005. As noted above, he found the diagnosis a challenging one to make. In his opinion, if the condition did not resolve itself after a third-year, possibility of spontaneous resolution decreased. It was his opinion that there was psychological overlay. He had no knowledge of a pre-existing head tremor and had he known, he would obviously have investigated further.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He described cervical dystonia as an involuntary type of movement, one form of which is post-traumatic. Dr. Tessler for the defendant opined that the plaintiff did not have cervical dystonia and that "her 'involuntary' movements are most likely psychological in 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As indicated, I do not accept the plaintiff's evidence that she did not have the tremors pre-collision. As I have indicated as well, my conclusion is that her report to Dr. Rowell-Wong as to the history of the condition is as noted in the clinical note from April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In summary I do not find that the plaintiff has proved that the tremors/cervical dystonia was caused by the collision but that condition is the principle cause of her emotional distress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It is very difficult to address the prospect that the plaintiff had these pre-existing conditions and that they may have been aggravated by the collision. The result of the plaintiff being less than forthright has deprived both those specialists who may have been able to assess that possibility and this Court from doing so.</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Soft Tissue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The evidence does, in my view, support a finding that the plaintiff suffered soft tissue injuries to her neck and upper back in the collision. Those complaints were reported almost immediately to her family physician. They were recorded in her own report on the ICBC accident claim form and were observed over an extended period of time by those treating her including her family physicians and Mr. Towsley.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Dr. Tessler opined that the plaintiff had "sustained a mild soft tissue cervical strain injury of musculoligamentous type."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The significance of the injuries is somewhat difficult to assess. There are complaints of pain associated with it over an extended period of time, but a large portion of the focus was on the psychological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A functional capacity assessment was done by Phil Towsley in November of 2010. Generally she demonstrated some restrictions in her physical tolerances and cognitive abilities. That information is, of course, more than four years old.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CAPD (Central Auditory Processing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Dr. Bellis testified that her diagnosis was based on the subjective reports of the plaintiff and the objective test results.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Dr. Cacace did not conduct an examination of the plaintiff, but rather provided a critique of the methodology used and the conclusions reached by Dr. Bellis.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I am satisfied by the opinion of Dr. Bellis that, at least at the time that she assessed the plaintiff, the plaintiff did have CAPD. Dr. Bellis did indicate that there were prospects for recovery from such a condition and could not say if the plaintiff still suffered from CAPD at the time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The evidence of the plaintiff suggests that she blamed much of her psychological distress on the unexplained symptoms that she associates with CAPD. There are certainly no psychological opinions to draw that connection. Indeed, as noted above, the only psychological opinion is that the primary cause of her psychological condition was her tremor or cervical dystonia. Dr. Bellis' opinions regarding the limitations on the plaintiff that she associated with the CAPD are largely based on questionable information from the plaintiff. In particular I point to the plaintiff's representations to Dr. Bellis about the nature of her work as referenced in para. 73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It is my conclusion generally that on the whole of the evidence there is little reliable evidence to support the conclusion that the CAPD has had any significant impact on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Assessment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Having drawn these conclusions with respect to the injuries caused by the accident, I now turn to the assessment of damages under the heads of damages claimed.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xml:space="preserve">  In the course of oral submissions defence counsel referred to several authorities which bear repeating at this stage. The general import of them is that where a plaintiff has not been forthright the challenges that are created in properly assessing their claims and the risk that they may be under-compensated is a product of their own conduct and something about which they cannot complain. Those observations have applicability here. In </w:t>
      </w:r>
      <w:r>
        <w:rPr>
          <w:rFonts w:ascii="arial" w:eastAsia="arial" w:hAnsi="arial" w:cs="arial"/>
          <w:i/>
          <w:color w:val="000000"/>
          <w:sz w:val="20"/>
          <w:lang w:val="en-US" w:eastAsia="en-US" w:bidi="ar-SA"/>
        </w:rPr>
        <w:t>Minhas v. Sartor</w:t>
      </w:r>
      <w:r>
        <w:rPr>
          <w:rFonts w:ascii="arial" w:eastAsia="arial" w:hAnsi="arial" w:cs="arial"/>
          <w:color w:val="000000"/>
          <w:sz w:val="20"/>
          <w:lang w:val="en-US" w:eastAsia="en-US" w:bidi="ar-SA"/>
        </w:rPr>
        <w:t xml:space="preserve">, </w:t>
      </w:r>
      <w:hyperlink r:id="rId807" w:history="1">
        <w:r>
          <w:rPr>
            <w:rFonts w:ascii="arial" w:eastAsia="arial" w:hAnsi="arial" w:cs="arial"/>
            <w:i/>
            <w:color w:val="0077CC"/>
            <w:sz w:val="20"/>
            <w:u w:val="single"/>
            <w:shd w:val="clear" w:color="auto" w:fill="FFFFFF"/>
            <w:lang w:val="en-US" w:eastAsia="en-US" w:bidi="ar-SA"/>
          </w:rPr>
          <w:t>2014 BCCA 455</w:t>
        </w:r>
      </w:hyperlink>
      <w:r>
        <w:rPr>
          <w:rFonts w:ascii="arial" w:eastAsia="arial" w:hAnsi="arial" w:cs="arial"/>
          <w:color w:val="000000"/>
          <w:sz w:val="20"/>
          <w:lang w:val="en-US" w:eastAsia="en-US" w:bidi="ar-SA"/>
        </w:rPr>
        <w:t xml:space="preserve">, the Court of Appeal references earlier its earlier decision in </w:t>
      </w:r>
      <w:r>
        <w:rPr>
          <w:rFonts w:ascii="arial" w:eastAsia="arial" w:hAnsi="arial" w:cs="arial"/>
          <w:i/>
          <w:color w:val="000000"/>
          <w:sz w:val="20"/>
          <w:lang w:val="en-US" w:eastAsia="en-US" w:bidi="ar-SA"/>
        </w:rPr>
        <w:t>Le v. Milburn</w:t>
      </w:r>
      <w:r>
        <w:rPr>
          <w:rFonts w:ascii="arial" w:eastAsia="arial" w:hAnsi="arial" w:cs="arial"/>
          <w:color w:val="000000"/>
          <w:sz w:val="20"/>
          <w:lang w:val="en-US" w:eastAsia="en-US" w:bidi="ar-SA"/>
        </w:rPr>
        <w:t xml:space="preserve">, </w:t>
      </w:r>
      <w:hyperlink r:id="rId808" w:history="1">
        <w:r>
          <w:rPr>
            <w:rFonts w:ascii="arial" w:eastAsia="arial" w:hAnsi="arial" w:cs="arial"/>
            <w:i/>
            <w:color w:val="0077CC"/>
            <w:sz w:val="20"/>
            <w:u w:val="single"/>
            <w:shd w:val="clear" w:color="auto" w:fill="FFFFFF"/>
            <w:lang w:val="en-US" w:eastAsia="en-US" w:bidi="ar-SA"/>
          </w:rPr>
          <w:t>[1987] B.C.J. No. 2690</w:t>
        </w:r>
      </w:hyperlink>
      <w:r>
        <w:rPr>
          <w:rFonts w:ascii="arial" w:eastAsia="arial" w:hAnsi="arial" w:cs="arial"/>
          <w:color w:val="000000"/>
          <w:sz w:val="20"/>
          <w:lang w:val="en-US" w:eastAsia="en-US" w:bidi="ar-SA"/>
        </w:rPr>
        <w:t xml:space="preserve"> (C.A.)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a litigant practice is to deceive, whether by deliberate falsehood or gross exaggeration, the court has much difficulty in disentangling the truth web of deceit and exaggeration. If, in the course of the disentangling of the web, the court casts aside as untrue something that was indeed true, the litigant has only himself or herself to blame. In this case there has been some deliberate falsehood and some exaggeration.</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Non-Pecuniary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The plaintiff suggests a range of damages under this head of $60,000 to $200,000. I take into account the duration of physical symptoms, and the fact that they have not figured prominently in the plaintiff's complaints. I also consider the CAPD tempered by the limited impact it has had on the plaintiff. Also the age of reports and the lack of credibility of the plaintiff to allow any meaningful assessment of the current effects. I categorize the injuries as a moderate soft tissue injury to her neck and upper back. The constellation of symptoms which can be specifically associated to this injury is very difficult in all of the circumstances because of the psychological issues which I have concluded are not associated with the accident and the cervical or head tremors.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It is my view that an appropriate award is $40,000.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Pre-Trial Loss of Earnings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The plaintiff's claim is for damages of $200,000 to $282,000. These amounts are based on the documents connected with her contract work with Mr. Molin in Finland. The challenge here is that the nature of her work and how her injuries that can be associated with the accident would have affected that work are virtually impossible to identify. She was doing home-based work with flexible hours of a description that can only be given in the most general of senses. It is not at all clear how long she would have continued to do her work or what in fact her earnings would have been.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I am simply not satisfied that the plaintiff has proven any loss of income that can be attributed to the injuries caused by the collision.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The plaintiff prepared a list of special damages, grouping them into categories. The defence acknowledge that the plaintiff had incurred all of the expenses but challenges whether the plaintiff is entitled to be reimbursed for those expenses as special damages in the context of this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I will address each of the groups of expenses individually.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The first group of expenses relate to the plaintiff's travel to South Dakota for examination by Dr. Bellis. The plaintiff is entitled to recover those expenses in the amount of $1,756.97 USD equal to the Canadian conversion rate effective September 24,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The plaintiff incurred expenses to attend upon Dr. O'Shaughnessy and is entitled to recover those expenses in the amount of $317.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The plaintiff seeks to recover expenses for cleaning her home which she indicated she was unable to do so. The plaintiff gave little evidence about the specific needs or the nature of the pleading that was undertaken. I am not satisfied on the evidence that it has been established that these expenses were sufficiently connected with the collision-related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The plaintiff incurred expenses for physiotherapy treatment. I am satisfied that these are appropriate expenses that she is entitled to recover in the amount of $2,625.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Next the plaintiff seeks to recover expenses for psychological treatment. Given my findings and conclusions, these are not recoverable as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The plaintiff claims for a collection of prescriptions that she says relate to the collision-related injuries. Her evidence did not delineate which prescriptions might be for pain-related issues and which are for psychological or psychiatric-related issues. The plaintiff is entitled to recover for the former but not for the latter. I am unable to distinguish based on the information contained in the exhibits which have the names of the medications. I will leave it to the parties to reach an agreement if possible as to that distinction failing which they are at liberty to bring that issue back before me for resolution.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The plaintiff seeks recovery for various taxi costs. The evidence does not satisfy me that the plaintiff was required by her collision-related injuries to utilize a taxi. That collection of expenses is not allowed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Lastly, the plaintiff claims for miscellaneous expenses totalling $131.34. I do not have sufficient evidence upon which to conclude that these expenses are sufficient connected with the injuries or are reasonably necessary. Those amounts are not allowed.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In summary, the plaintiff is entitled to recover the following in special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Travel to South Dakota to attend upon Dr. Bellis: $1,756.97 USD (conversion rate to be calculated by counsel as at September 24,2010)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Travel to Vancouver to attend upon Dr. O'Shaughnessy: $317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346"/>
        <w:gridCol w:w="836"/>
        <w:gridCol w:w="564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Physiotherapy Treatment:</w:t>
            </w:r>
          </w:p>
        </w:tc>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$2,625</w:t>
            </w:r>
          </w:p>
        </w:tc>
        <w:tc>
          <w:tcPr>
            <w:tcW w:w="553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In all of the circumstances, I refrain from making any order as to costs at this time. I would like to hear from counsel on the matter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D.A. BETTON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CORRECTION</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Released: February 26,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Please be advised that the attached Reasons for Judgment of Mr. Justice Betton dated August 12, 2015 have been corrected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year of Dr. Donald Calne's assessment, referred to in paragraph 33, has been corrected to read 2005.</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73" style="position:absolute;z-index:25184153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09"/>
          <w:headerReference w:type="default" r:id="rId810"/>
          <w:footerReference w:type="even" r:id="rId811"/>
          <w:footerReference w:type="default" r:id="rId812"/>
          <w:headerReference w:type="first" r:id="rId813"/>
          <w:footerReference w:type="first" r:id="rId81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15" w:history="1">
        <w:r>
          <w:rPr>
            <w:rFonts w:ascii="arial" w:eastAsia="arial" w:hAnsi="arial" w:cs="arial"/>
            <w:b/>
            <w:bCs/>
            <w:i/>
            <w:color w:val="0077CC"/>
            <w:kern w:val="32"/>
            <w:sz w:val="28"/>
            <w:szCs w:val="32"/>
            <w:u w:val="single"/>
            <w:shd w:val="clear" w:color="auto" w:fill="FFFFFF"/>
            <w:lang w:val="en-US" w:eastAsia="en-US" w:bidi="ar-SA"/>
          </w:rPr>
          <w:t>Precision Plating Ltd. v. Axa Pacific Insurance Co., [2014] B.C.J. No. 649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M.B. Blok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4,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8,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S145976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[2014] B.C.J. No. 649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816" w:history="1">
        <w:r>
          <w:rPr>
            <w:rFonts w:ascii="arial" w:eastAsia="arial" w:hAnsi="arial" w:cs="arial"/>
            <w:i/>
            <w:color w:val="0077CC"/>
            <w:sz w:val="20"/>
            <w:u w:val="single"/>
            <w:shd w:val="clear" w:color="auto" w:fill="FFFFFF"/>
            <w:lang w:val="en-US" w:eastAsia="en-US" w:bidi="ar-SA"/>
          </w:rPr>
          <w:t>2014 BCSC 602</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816" w:history="1">
        <w:r>
          <w:rPr>
            <w:rFonts w:ascii="arial" w:eastAsia="arial" w:hAnsi="arial" w:cs="arial"/>
            <w:i/>
            <w:color w:val="0077CC"/>
            <w:sz w:val="20"/>
            <w:u w:val="single"/>
            <w:shd w:val="clear" w:color="auto" w:fill="FFFFFF"/>
            <w:lang w:val="en-US" w:eastAsia="en-US" w:bidi="ar-SA"/>
          </w:rPr>
          <w:t>[2014] I.L.R. I-5608</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816" w:history="1">
        <w:r>
          <w:rPr>
            <w:rFonts w:ascii="arial" w:eastAsia="arial" w:hAnsi="arial" w:cs="arial"/>
            <w:i/>
            <w:color w:val="0077CC"/>
            <w:sz w:val="20"/>
            <w:u w:val="single"/>
            <w:shd w:val="clear" w:color="auto" w:fill="FFFFFF"/>
            <w:lang w:val="en-US" w:eastAsia="en-US" w:bidi="ar-SA"/>
          </w:rPr>
          <w:t>240 A.C.W.S. (3d) 170</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816" w:history="1">
        <w:r>
          <w:rPr>
            <w:rFonts w:ascii="arial" w:eastAsia="arial" w:hAnsi="arial" w:cs="arial"/>
            <w:i/>
            <w:color w:val="0077CC"/>
            <w:sz w:val="20"/>
            <w:u w:val="single"/>
            <w:shd w:val="clear" w:color="auto" w:fill="FFFFFF"/>
            <w:lang w:val="en-US" w:eastAsia="en-US" w:bidi="ar-SA"/>
          </w:rPr>
          <w:t>34 C.C.L.I. (5th) 79</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816" w:history="1">
        <w:r>
          <w:rPr>
            <w:rFonts w:ascii="arial" w:eastAsia="arial" w:hAnsi="arial" w:cs="arial"/>
            <w:i/>
            <w:color w:val="0077CC"/>
            <w:sz w:val="20"/>
            <w:u w:val="single"/>
            <w:shd w:val="clear" w:color="auto" w:fill="FFFFFF"/>
            <w:lang w:val="en-US" w:eastAsia="en-US" w:bidi="ar-SA"/>
          </w:rPr>
          <w:t>2014 CarswellBC 985</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Precision Plating Ltd., Mico Stankovic and Miroslav Stankovic, Plaintiffs, and Axa Pacific Insurance Company, Intact Insurance Company, and Schill Insurance Brokers Ltd., Defendants, Corrected Judgment: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74" style="position:absolute;z-index:2516899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15" w:name="Keywords_30"/>
      <w:bookmarkEnd w:id="215"/>
      <w:r>
        <w:rPr>
          <w:rFonts w:ascii="arial" w:eastAsia="arial" w:hAnsi="arial" w:cs="arial"/>
          <w:b/>
          <w:color w:val="000000"/>
          <w:sz w:val="20"/>
          <w:lang w:val="en-US" w:eastAsia="en-US" w:bidi="ar-SA"/>
        </w:rPr>
        <w:t>Insurance law — Insurers — Duties — Duty to defend — Summary trial application by plaintiffs for declaration insurer obliged to defend it from third party claims allowed — Actions by third parties who occupied other units in building occupied by plaintiffs resulting from fire — Pollution exclusion ambiguous despite defendant's concession inapplicable to true fire damage — Third party claims not separate fire from resulting events — Literal application of exclusion barred coverage from claims for usual consequences of fire which essentially nullified fire coverage — Reasonable expectations doctrine applicable — Not in parties' reasonable expectations to exclude coverage for third party claims arising from substances escaped due to fire — Insurance Act, s. 32.</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Insurance law — The insurance contract — Interpretation — Coverage provisions and exclusion clauses — Reasonable expectation doctrine — Nullity — Summary trial application by plaintiffs for declaration insurer obliged to defend it from third party claims allowed — Actions by third parties who occupied other units in building occupied by plaintiffs resulting from fire — Pollution exclusion ambiguous despite defendant's concession inapplicable to true fire damage — Third party claims not separate fire from resulting events — Literal application of exclusion barred coverage from claims for usual consequences of fire which essentially nullified fire coverage — Reasonable expectations doctrine applicable — Not in parties' reasonable expectations to exclude coverage for third party claims arising from substances escaped due to fire — Insurance Act, s. 32.</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Insurance law — Fire insurance — Exclusions — Summary trial application by plaintiffs for declaration insurer obliged to defend it from third party claims allowed — Actions by third parties who occupied other units in building occupied by plaintiffs resulting from fire — Pollution exclusion ambiguous despite defendant's concession inapplicable to true fire damage — Third party claims not separate fire from resulting events — Literal application of exclusion barred coverage from claims for usual consequences of fire which essentially nullified fire coverage — Reasonable expectations doctrine applicable — Not in parties' reasonable expectations to exclude coverage for third party claims arising from substances escaped due to fire — Insurance Act, s. 32.</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16" w:name="Case Summary_30"/>
            <w:bookmarkEnd w:id="21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summary trial by the plaintiffs for a declaration that the defendant insurer was obliged to defend it from third party claims arising from a fire at their premises. The third parties occupied other units in the building occupied by plaintiffs. The damage arose from chemicals which leaked due to the water discharged from the plaintiffs' sprinkler system. The defendant argued that the claims were pollution claims and excluded from coverage. The plaintiffs argued that the policy's pollution exclusion was drafted so broadly as to deny coverage for most fire-related damage, such as damage caused by smoke or water and should be construed narrowly. The plaintiffs alternatively argued that the provision was not binding under the Insurance Act because it was unjust or unreasonable.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17" w:name="Holdings of Court_25"/>
            <w:bookmarkEnd w:id="217"/>
            <w:r>
              <w:rPr>
                <w:rFonts w:ascii="arial" w:eastAsia="arial" w:hAnsi="arial" w:cs="arial"/>
                <w:color w:val="000000"/>
                <w:sz w:val="20"/>
                <w:lang w:val="en-US" w:eastAsia="en-US" w:bidi="ar-SA"/>
              </w:rPr>
              <w:t>HELD: The application was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pollution exclusion was ambiguous despite the defendant's concession that it would not apply to true fire damage. The third party claims at issue did not separate the fire from the resulting events following the fire. The third party claims were therefore at least partly based on fire damage. A literal application of the pollution exclusion would bar coverage from third party claims for many usual consequences of fire which essentially nullified the plaintiffs' fire coverage. As a result, the reasonable expectations doctrine was applicable. It was not in the reasonable expectation of the parties to exclude coverage for third party claims arising from substances escaped due to a fire.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18" w:name="Legislation Cited_18"/>
      <w:bookmarkEnd w:id="21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75" style="position:absolute;z-index:2517411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Insurance Act, </w:t>
      </w:r>
      <w:hyperlink r:id="rId817" w:history="1">
        <w:r>
          <w:rPr>
            <w:rFonts w:ascii="arial" w:eastAsia="arial" w:hAnsi="arial" w:cs="arial"/>
            <w:i/>
            <w:color w:val="0077CC"/>
            <w:sz w:val="20"/>
            <w:u w:val="single"/>
            <w:shd w:val="clear" w:color="auto" w:fill="FFFFFF"/>
            <w:lang w:val="en-US" w:eastAsia="en-US" w:bidi="ar-SA"/>
          </w:rPr>
          <w:t>R.S.B.C. 2012, c. 1, s. 2</w:t>
        </w:r>
      </w:hyperlink>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19" w:name="Counsel_30"/>
      <w:bookmarkEnd w:id="21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76" style="position:absolute;z-index:2517923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A. Roberts.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Axa Pacific Insurance Company and Intact Insurance Company: D.J. Smith, S.T. Frost.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Schill Insurance Brokers Ltd.: No one appearing.</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20" w:name="Judgment_30"/>
      <w:bookmarkEnd w:id="220"/>
      <w:r>
        <w:pict>
          <v:line id="_x0000_s1177" style="position:absolute;z-index:251842560"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This text of this judgment was corrected at paragraph 10 on April 10, 2014. The changes were not indicated. This document contains the amended text.]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21" w:name="M.B. BLOK J."/>
            <w:bookmarkEnd w:id="221"/>
            <w:r>
              <w:rPr>
                <w:rFonts w:ascii="arial" w:eastAsia="arial" w:hAnsi="arial" w:cs="arial"/>
                <w:b/>
                <w:color w:val="000000"/>
                <w:sz w:val="30"/>
                <w:lang w:val="en-US" w:eastAsia="en-US" w:bidi="ar-SA"/>
              </w:rPr>
              <w:t>M.B. BLOK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By way of summary trial, the plaintiffs seek a declaration that the defendant insurer is obliged to defend the plaintiffs against third party claims brought against them following a fire at their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underlying facts are not in dispute. At the material time, Precision Plating Ltd. ("Precision Plating") carried on an electroplating business in commercial strata premises located at 13045 84th Avenue, Surrey, British Columbia. The strata unit was owned by the principals of Precision Plating, Mico Stankovic and Miroslav Stankovic. The Stankovic brothers leased the strata unit to Precision Plating.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Precision Plating is the named insured under a commercial insurance policy (the "Policy") that was in effect at the time of the fire and the Stankovic brothers were named as additional insureds (collectively, the "Insureds"). Mico Stankovic deposed that at the time he contacted the insurance broker to obtain insurance he requested and expected a policy that would provide insurance coverage for loss caused by fire.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insurer issuing the Policy was Axa Pacific Insurance Company. It is now known as Intact Insurance Company (the "Insurer").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On April 12, 2011 a fire occurred at the Precision Plating premises. It is common ground that, among other things, the fire activated the sprinkler system at the premises and water from the sprinklers caused chemical vats on site to overflow.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Starting in July 2012, four separate actions have been commenced by owners or occupiers of other units. All actions name Precision Plating as a defendant although in two of the actions the Stankovic brothers are also named as defendants. While the actions have some differences in their pleadings, generally the third parties claim that chemical fumes and chemicals emanating from the premises of Precision Plating because of or following the fire caused damage to their own units.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Insurer has denied that it is obliged to defend Precision Plating or the Stankovic brothers against any of those claims. It maintains that the claims are, in substance, pollution claims that are excluded from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third-named defendant, Shill Insurance Brokers Ltd., was the insurance broker who placed the coverage. It took no part in this summary trial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Although the parties did not state this expressly, it was apparent that the parties agreed that this matter was suitable for disposition by a summary trial. In any event I conclude it is suitable for disposition by summary trial in that the facts are not in dispute and the only issue is the interpretation of an insurance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The Insurance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As with many insurance policies, the policy is a collection of documents comprising a declarations page, the general conditions and limitations, coverage extensions, coverage exclusions and endorsements. For present purposes, the important portions of the policy are as follows: (1) the Commercial General Liability coverage; (2) the Tenants All Risks Legal Liability coverage; and (3) the Pollution Exclusion Endorsement. The relevant portions of those coverage or exclusion documents are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w:t>
      </w:r>
      <w:r>
        <w:rPr>
          <w:rFonts w:ascii="arial" w:eastAsia="arial" w:hAnsi="arial" w:cs="arial"/>
          <w:color w:val="000000"/>
          <w:sz w:val="20"/>
          <w:lang w:val="en-US" w:eastAsia="en-US" w:bidi="ar-SA"/>
        </w:rPr>
        <w:t xml:space="preserve"> </w:t>
      </w:r>
      <w:r>
        <w:rPr>
          <w:rFonts w:ascii="arial" w:eastAsia="arial" w:hAnsi="arial" w:cs="arial"/>
          <w:b/>
          <w:color w:val="000000"/>
          <w:sz w:val="20"/>
          <w:u w:val="single"/>
          <w:lang w:val="en-US" w:eastAsia="en-US" w:bidi="ar-SA"/>
        </w:rPr>
        <w:t>Commercial General Liability Coverage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COVERAGE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pay on behalf of the Insured all sums (including prejudgement interest) that the Insured shall become obligated to pay by reason of the liability imposed by law upon the Insured or assumed by the Insured under </w:t>
      </w:r>
      <w:r>
        <w:rPr>
          <w:rFonts w:ascii="arial" w:eastAsia="arial" w:hAnsi="arial" w:cs="arial"/>
          <w:b/>
          <w:color w:val="000000"/>
          <w:sz w:val="20"/>
          <w:lang w:val="en-US" w:eastAsia="en-US" w:bidi="ar-SA"/>
        </w:rPr>
        <w:t>contract</w:t>
      </w:r>
      <w:r>
        <w:rPr>
          <w:rFonts w:ascii="arial" w:eastAsia="arial" w:hAnsi="arial" w:cs="arial"/>
          <w:color w:val="000000"/>
          <w:sz w:val="20"/>
          <w:lang w:val="en-US" w:eastAsia="en-US" w:bidi="ar-SA"/>
        </w:rPr>
        <w:t xml:space="preserve">, for </w:t>
      </w:r>
      <w:r>
        <w:rPr>
          <w:rFonts w:ascii="arial" w:eastAsia="arial" w:hAnsi="arial" w:cs="arial"/>
          <w:b/>
          <w:color w:val="000000"/>
          <w:sz w:val="20"/>
          <w:lang w:val="en-US" w:eastAsia="en-US" w:bidi="ar-SA"/>
        </w:rPr>
        <w:t>compensatory damages</w:t>
      </w:r>
      <w:r>
        <w:rPr>
          <w:rFonts w:ascii="arial" w:eastAsia="arial" w:hAnsi="arial" w:cs="arial"/>
          <w:color w:val="000000"/>
          <w:sz w:val="20"/>
          <w:lang w:val="en-US" w:eastAsia="en-US" w:bidi="ar-SA"/>
        </w:rPr>
        <w:t xml:space="preserve"> because of:</w:t>
      </w:r>
    </w:p>
    <w:p>
      <w:pPr>
        <w:numPr>
          <w:numId w:val="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bodily injury</w:t>
      </w:r>
      <w:r>
        <w:rPr>
          <w:rFonts w:ascii="arial" w:eastAsia="arial" w:hAnsi="arial" w:cs="arial"/>
          <w:color w:val="000000"/>
          <w:sz w:val="20"/>
          <w:lang w:val="en-US" w:eastAsia="en-US" w:bidi="ar-SA"/>
        </w:rPr>
        <w:t xml:space="preserve"> sustained by any person or persons;</w:t>
      </w:r>
    </w:p>
    <w:p>
      <w:pPr>
        <w:numPr>
          <w:numId w:val="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personal injury</w:t>
      </w:r>
      <w:r>
        <w:rPr>
          <w:rFonts w:ascii="arial" w:eastAsia="arial" w:hAnsi="arial" w:cs="arial"/>
          <w:color w:val="000000"/>
          <w:sz w:val="20"/>
          <w:lang w:val="en-US" w:eastAsia="en-US" w:bidi="ar-SA"/>
        </w:rPr>
        <w:t>;</w:t>
      </w:r>
    </w:p>
    <w:p>
      <w:pPr>
        <w:numPr>
          <w:numId w:val="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property damage</w:t>
      </w:r>
      <w:r>
        <w:rPr>
          <w:rFonts w:ascii="arial" w:eastAsia="arial" w:hAnsi="arial" w:cs="arial"/>
          <w:color w:val="000000"/>
          <w:sz w:val="20"/>
          <w:lang w:val="en-US" w:eastAsia="en-US" w:bidi="ar-SA"/>
        </w:rPr>
        <w:t xml:space="preserve"> due to an accident or occurrence.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during the Policy Period, subject to an accident or occurrence.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EXCLUSIONS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Coverage provided by this Policy does not apply to:</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bodily injury</w:t>
      </w:r>
      <w:r>
        <w:rPr>
          <w:rFonts w:ascii="arial" w:eastAsia="arial" w:hAnsi="arial" w:cs="arial"/>
          <w:color w:val="000000"/>
          <w:sz w:val="20"/>
          <w:lang w:val="en-US" w:eastAsia="en-US" w:bidi="ar-SA"/>
        </w:rPr>
        <w:t xml:space="preserve"> or </w:t>
      </w:r>
      <w:r>
        <w:rPr>
          <w:rFonts w:ascii="arial" w:eastAsia="arial" w:hAnsi="arial" w:cs="arial"/>
          <w:b/>
          <w:color w:val="000000"/>
          <w:sz w:val="20"/>
          <w:lang w:val="en-US" w:eastAsia="en-US" w:bidi="ar-SA"/>
        </w:rPr>
        <w:t>property damage</w:t>
      </w:r>
      <w:r>
        <w:rPr>
          <w:rFonts w:ascii="arial" w:eastAsia="arial" w:hAnsi="arial" w:cs="arial"/>
          <w:color w:val="000000"/>
          <w:sz w:val="20"/>
          <w:lang w:val="en-US" w:eastAsia="en-US" w:bidi="ar-SA"/>
        </w:rPr>
        <w:t xml:space="preserve"> arising out of the ownership, use or operation by or on behalf of the Insured of any </w:t>
      </w:r>
      <w:r>
        <w:rPr>
          <w:rFonts w:ascii="arial" w:eastAsia="arial" w:hAnsi="arial" w:cs="arial"/>
          <w:b/>
          <w:color w:val="000000"/>
          <w:sz w:val="20"/>
          <w:lang w:val="en-US" w:eastAsia="en-US" w:bidi="ar-SA"/>
        </w:rPr>
        <w:t>automobile</w:t>
      </w:r>
      <w:r>
        <w:rPr>
          <w:rFonts w:ascii="arial" w:eastAsia="arial" w:hAnsi="arial" w:cs="arial"/>
          <w:color w:val="000000"/>
          <w:sz w:val="20"/>
          <w:lang w:val="en-US" w:eastAsia="en-US" w:bidi="ar-SA"/>
        </w:rPr>
        <w:t>, but this exclusion will not be construed to apply to liability imposed by law upon the Insured for loss or damage arising from the ownership, use or operation of machinery or apparatus (including its equipment), mounted on or attached to any automobile at the site of the use or operation of such machinery or apparatus and provided the Insured is not insured for liability arising from the ownership, use or operation of such mounted or attached machinery or apparatus under any automobile policy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exclusion applies regardless or any other contributing or aggravating cause or event that contributes concurrently or in any sequence to the </w:t>
      </w:r>
      <w:r>
        <w:rPr>
          <w:rFonts w:ascii="arial" w:eastAsia="arial" w:hAnsi="arial" w:cs="arial"/>
          <w:b/>
          <w:color w:val="000000"/>
          <w:sz w:val="20"/>
          <w:lang w:val="en-US" w:eastAsia="en-US" w:bidi="ar-SA"/>
        </w:rPr>
        <w:t>bodily injury</w:t>
      </w:r>
      <w:r>
        <w:rPr>
          <w:rFonts w:ascii="arial" w:eastAsia="arial" w:hAnsi="arial" w:cs="arial"/>
          <w:color w:val="000000"/>
          <w:sz w:val="20"/>
          <w:lang w:val="en-US" w:eastAsia="en-US" w:bidi="ar-SA"/>
        </w:rPr>
        <w:t xml:space="preserve"> or</w:t>
      </w:r>
      <w:r>
        <w:rPr>
          <w:rFonts w:ascii="arial" w:eastAsia="arial" w:hAnsi="arial" w:cs="arial"/>
          <w:b/>
          <w:color w:val="000000"/>
          <w:sz w:val="20"/>
          <w:lang w:val="en-US" w:eastAsia="en-US" w:bidi="ar-SA"/>
        </w:rPr>
        <w:t xml:space="preserve"> property damage</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4.(b) </w:t>
      </w:r>
      <w:r>
        <w:rPr>
          <w:rFonts w:ascii="arial" w:eastAsia="arial" w:hAnsi="arial" w:cs="arial"/>
          <w:b/>
          <w:color w:val="000000"/>
          <w:sz w:val="20"/>
          <w:lang w:val="en-US" w:eastAsia="en-US" w:bidi="ar-SA"/>
        </w:rPr>
        <w:t>bodily injury</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personal injury</w:t>
      </w:r>
      <w:r>
        <w:rPr>
          <w:rFonts w:ascii="arial" w:eastAsia="arial" w:hAnsi="arial" w:cs="arial"/>
          <w:color w:val="000000"/>
          <w:sz w:val="20"/>
          <w:lang w:val="en-US" w:eastAsia="en-US" w:bidi="ar-SA"/>
        </w:rPr>
        <w:t xml:space="preserve"> or </w:t>
      </w:r>
      <w:r>
        <w:rPr>
          <w:rFonts w:ascii="arial" w:eastAsia="arial" w:hAnsi="arial" w:cs="arial"/>
          <w:b/>
          <w:color w:val="000000"/>
          <w:sz w:val="20"/>
          <w:lang w:val="en-US" w:eastAsia="en-US" w:bidi="ar-SA"/>
        </w:rPr>
        <w:t>property damage</w:t>
      </w:r>
      <w:r>
        <w:rPr>
          <w:rFonts w:ascii="arial" w:eastAsia="arial" w:hAnsi="arial" w:cs="arial"/>
          <w:color w:val="000000"/>
          <w:sz w:val="20"/>
          <w:lang w:val="en-US" w:eastAsia="en-US" w:bidi="ar-SA"/>
        </w:rPr>
        <w:t xml:space="preserve"> arising out of, caused by or contributed to by the actual, alleged or threatened discharge, emission, dispersal, seepage, leakage, migration, release or escape at any time of </w:t>
      </w:r>
      <w:r>
        <w:rPr>
          <w:rFonts w:ascii="arial" w:eastAsia="arial" w:hAnsi="arial" w:cs="arial"/>
          <w:b/>
          <w:color w:val="000000"/>
          <w:sz w:val="20"/>
          <w:lang w:val="en-US" w:eastAsia="en-US" w:bidi="ar-SA"/>
        </w:rPr>
        <w:t>pollutants</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exclusion does not apply to </w:t>
      </w:r>
      <w:r>
        <w:rPr>
          <w:rFonts w:ascii="arial" w:eastAsia="arial" w:hAnsi="arial" w:cs="arial"/>
          <w:b/>
          <w:color w:val="000000"/>
          <w:sz w:val="20"/>
          <w:lang w:val="en-US" w:eastAsia="en-US" w:bidi="ar-SA"/>
        </w:rPr>
        <w:t>bodily injury</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personal injury</w:t>
      </w:r>
      <w:r>
        <w:rPr>
          <w:rFonts w:ascii="arial" w:eastAsia="arial" w:hAnsi="arial" w:cs="arial"/>
          <w:color w:val="000000"/>
          <w:sz w:val="20"/>
          <w:lang w:val="en-US" w:eastAsia="en-US" w:bidi="ar-SA"/>
        </w:rPr>
        <w:t xml:space="preserve"> or </w:t>
      </w:r>
      <w:r>
        <w:rPr>
          <w:rFonts w:ascii="arial" w:eastAsia="arial" w:hAnsi="arial" w:cs="arial"/>
          <w:b/>
          <w:color w:val="000000"/>
          <w:sz w:val="20"/>
          <w:lang w:val="en-US" w:eastAsia="en-US" w:bidi="ar-SA"/>
        </w:rPr>
        <w:t>property damage</w:t>
      </w:r>
      <w:r>
        <w:rPr>
          <w:rFonts w:ascii="arial" w:eastAsia="arial" w:hAnsi="arial" w:cs="arial"/>
          <w:color w:val="000000"/>
          <w:sz w:val="20"/>
          <w:lang w:val="en-US" w:eastAsia="en-US" w:bidi="ar-SA"/>
        </w:rPr>
        <w: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arising out of heat, smoke, or fumes from a fire that becomes uncontrollable or that breaks out from where it was intended to be;</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included in the </w:t>
      </w:r>
      <w:r>
        <w:rPr>
          <w:rFonts w:ascii="arial" w:eastAsia="arial" w:hAnsi="arial" w:cs="arial"/>
          <w:b/>
          <w:color w:val="000000"/>
          <w:sz w:val="20"/>
          <w:lang w:val="en-US" w:eastAsia="en-US" w:bidi="ar-SA"/>
        </w:rPr>
        <w:t>Products Hazard</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Note: This bracketed section is deleted and replaced, as noted below, in the Pollution Exclusion Endorsement</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w:t>
      </w:r>
      <w:r>
        <w:rPr>
          <w:rFonts w:ascii="arial" w:eastAsia="arial" w:hAnsi="arial" w:cs="arial"/>
          <w:color w:val="000000"/>
          <w:sz w:val="20"/>
          <w:lang w:val="en-US" w:eastAsia="en-US" w:bidi="ar-SA"/>
        </w:rPr>
        <w:t xml:space="preserve"> </w:t>
      </w:r>
      <w:r>
        <w:rPr>
          <w:rFonts w:ascii="arial" w:eastAsia="arial" w:hAnsi="arial" w:cs="arial"/>
          <w:b/>
          <w:color w:val="000000"/>
          <w:sz w:val="20"/>
          <w:u w:val="single"/>
          <w:lang w:val="en-US" w:eastAsia="en-US" w:bidi="ar-SA"/>
        </w:rPr>
        <w:t>Tenants All Risks Legal Liability Coverage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consideration of the premium charged the Insurer hereby agrees, subject to the applicable "Limit(s) of liability" stated in the Declaration for this form. Exclusions, Conditions and other terms of this Form to pay on behalf of the Insured all sums which the Insured shall become legally obligated to pay as damages for injury to or destruction, including loss of use, of premises including building fixtures permanently attached thereto, rented or occupied by the Insured, if such injury or destruction is caused by accident occurring during the term of this Policy at the locations described on the Declaration.</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w:t>
      </w:r>
      <w:r>
        <w:rPr>
          <w:rFonts w:ascii="arial" w:eastAsia="arial" w:hAnsi="arial" w:cs="arial"/>
          <w:color w:val="000000"/>
          <w:sz w:val="20"/>
          <w:lang w:val="en-US" w:eastAsia="en-US" w:bidi="ar-SA"/>
        </w:rPr>
        <w:t xml:space="preserve"> </w:t>
      </w:r>
      <w:r>
        <w:rPr>
          <w:rFonts w:ascii="arial" w:eastAsia="arial" w:hAnsi="arial" w:cs="arial"/>
          <w:b/>
          <w:color w:val="000000"/>
          <w:sz w:val="20"/>
          <w:u w:val="single"/>
          <w:lang w:val="en-US" w:eastAsia="en-US" w:bidi="ar-SA"/>
        </w:rPr>
        <w:t>Pollution Exclusion Endorsement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IT IS HEREBY UNDERSTOOD AND AGREED THAT</w:t>
      </w:r>
      <w:r>
        <w:rPr>
          <w:rFonts w:ascii="arial" w:eastAsia="arial" w:hAnsi="arial" w:cs="arial"/>
          <w:color w:val="000000"/>
          <w:sz w:val="20"/>
          <w:lang w:val="en-US" w:eastAsia="en-US" w:bidi="ar-SA"/>
        </w:rPr>
        <w:t xml:space="preserve"> Exclusions 4(b)(i) and 4(b)(ii) of CGL 1 are deleted from the policy and are replaced by the following:</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insurance does not apply to:</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(b)(i) Bodily Injury, Personal Injury or Property Damage caused by, contributed to by or arising out of the actual , alleged or threatened discharge, emission, dispersal, seepage, leakage, migration, release or escape at any time of Pollutants:</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or from any premises, site or location owned, rented or occupied at any time by an Insured;</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or from any premises, site or location used at any time by or for an Insured or others for the handling, storage, disposal, processing or treatment of waste;</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any time transported, handled, stored, treated, disposed of, or processed as waste by or for an Insured or any person or organization for whom the Insured may be legally responsible;</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or from any premises, site or location on which an Insured or any contractors or subcontractors working directly or indirectly on behalf of an Insured are performing operation:</w:t>
      </w: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pollutants are brought on or to the premises, site or location in connection with such operations; or</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operations are to test for, monitor, clean up, remove, contain, treat, detoxify, neutralize, remediate or to assess or in any way to respond to Pollutants.</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loss, cost or expense arising out of any governmental direction, action or request that an Insured test for, monitor, clean up, remove, contain, treat, detoxify, neutralize, remediate or in any way assess or respond to Pollutants.</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Fines, penalties, punitive or exemplary damages arising directly or indirectly out of the actual, alleged or threatened discharge, emission, dispersal, seepage, leakage, migration, release or escape at any time of Pollutants.</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supervision, instructions, recommendations, warnings, or advice given or that should have been given in connection with (b)(i), (ii) and (iii) above.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"Pollutants" means any solid, liquid, gaseous or thermal irritant or contaminant, including but not limited to smoke, odour, vapor, soot, fumes, airborne or waterborne particles, acids, alkalis, chemicals, sewage, micro-organisms and waste. Waste includes (but is not limited to) materials to be recycled, reconditioned or reclaimed.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Positions of the Parties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plaintiffs submit that in seeking coverage for fire losses and "broad form" coverage generally, they expected that losses and claims arising out of a fire would be covered by insurance. The exclusion for "pollution" is written so broadly that it effectively negates coverage for fire, except possibly damage or claims caused by the actual flames. For example, smoke damage and water damage, perils almost inevitably associated with fires, would not be covered.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plaintiffs submit that, given the above, the pollution exclusion should be interpreted narrowly to mean pollution resulting from, for example, defective and leaking oil and chemical tanks, absent a fire or other sudden or fortuitous occurrence.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Alternatively, the plaintiffs rely on s. 32 of the </w:t>
      </w:r>
      <w:r>
        <w:rPr>
          <w:rFonts w:ascii="arial" w:eastAsia="arial" w:hAnsi="arial" w:cs="arial"/>
          <w:i/>
          <w:color w:val="000000"/>
          <w:sz w:val="20"/>
          <w:lang w:val="en-US" w:eastAsia="en-US" w:bidi="ar-SA"/>
        </w:rPr>
        <w:t>Insurance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2012, c. 1</w:t>
      </w:r>
      <w:r>
        <w:rPr>
          <w:rFonts w:ascii="arial" w:eastAsia="arial" w:hAnsi="arial" w:cs="arial"/>
          <w:color w:val="000000"/>
          <w:sz w:val="20"/>
          <w:lang w:val="en-US" w:eastAsia="en-US" w:bidi="ar-SA"/>
        </w:rPr>
        <w:t xml:space="preserve">, which provides that a term or condition in an insurance policy is not binding on an insured if the Court considers it unjust or unreasonable. In this regard the plaintiffs rely on </w:t>
      </w:r>
      <w:r>
        <w:rPr>
          <w:rFonts w:ascii="arial" w:eastAsia="arial" w:hAnsi="arial" w:cs="arial"/>
          <w:i/>
          <w:color w:val="000000"/>
          <w:sz w:val="20"/>
          <w:lang w:val="en-US" w:eastAsia="en-US" w:bidi="ar-SA"/>
        </w:rPr>
        <w:t>March v. Halifax Insurance Co.</w:t>
      </w:r>
      <w:r>
        <w:rPr>
          <w:rFonts w:ascii="arial" w:eastAsia="arial" w:hAnsi="arial" w:cs="arial"/>
          <w:color w:val="000000"/>
          <w:sz w:val="20"/>
          <w:lang w:val="en-US" w:eastAsia="en-US" w:bidi="ar-SA"/>
        </w:rPr>
        <w:t xml:space="preserve">, </w:t>
      </w:r>
      <w:hyperlink r:id="rId818" w:history="1">
        <w:r>
          <w:rPr>
            <w:rFonts w:ascii="arial" w:eastAsia="arial" w:hAnsi="arial" w:cs="arial"/>
            <w:i/>
            <w:color w:val="0077CC"/>
            <w:sz w:val="20"/>
            <w:u w:val="single"/>
            <w:shd w:val="clear" w:color="auto" w:fill="FFFFFF"/>
            <w:lang w:val="en-US" w:eastAsia="en-US" w:bidi="ar-SA"/>
          </w:rPr>
          <w:t>[2005] 1 S.C.R. 47</w:t>
        </w:r>
      </w:hyperlink>
      <w:r>
        <w:rPr>
          <w:rFonts w:ascii="arial" w:eastAsia="arial" w:hAnsi="arial" w:cs="arial"/>
          <w:color w:val="000000"/>
          <w:sz w:val="20"/>
          <w:lang w:val="en-US" w:eastAsia="en-US" w:bidi="ar-SA"/>
        </w:rPr>
        <w:t xml:space="preserve">, </w:t>
      </w:r>
      <w:hyperlink r:id="rId818" w:history="1">
        <w:r>
          <w:rPr>
            <w:rFonts w:ascii="arial" w:eastAsia="arial" w:hAnsi="arial" w:cs="arial"/>
            <w:i/>
            <w:color w:val="0077CC"/>
            <w:sz w:val="20"/>
            <w:u w:val="single"/>
            <w:shd w:val="clear" w:color="auto" w:fill="FFFFFF"/>
            <w:lang w:val="en-US" w:eastAsia="en-US" w:bidi="ar-SA"/>
          </w:rPr>
          <w:t>2005 SCC 6</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Weston Ornamental Iron Works Ltd. v. Continental Insurance Co.</w:t>
      </w:r>
      <w:r>
        <w:rPr>
          <w:rFonts w:ascii="arial" w:eastAsia="arial" w:hAnsi="arial" w:cs="arial"/>
          <w:color w:val="000000"/>
          <w:sz w:val="20"/>
          <w:lang w:val="en-US" w:eastAsia="en-US" w:bidi="ar-SA"/>
        </w:rPr>
        <w:t xml:space="preserve">, </w:t>
      </w:r>
      <w:hyperlink r:id="rId819" w:history="1">
        <w:r>
          <w:rPr>
            <w:rFonts w:ascii="arial" w:eastAsia="arial" w:hAnsi="arial" w:cs="arial"/>
            <w:i/>
            <w:color w:val="0077CC"/>
            <w:sz w:val="20"/>
            <w:u w:val="single"/>
            <w:shd w:val="clear" w:color="auto" w:fill="FFFFFF"/>
            <w:lang w:val="en-US" w:eastAsia="en-US" w:bidi="ar-SA"/>
          </w:rPr>
          <w:t>[1981] O.J. No. 78</w:t>
        </w:r>
      </w:hyperlink>
      <w:r>
        <w:rPr>
          <w:rFonts w:ascii="arial" w:eastAsia="arial" w:hAnsi="arial" w:cs="arial"/>
          <w:color w:val="000000"/>
          <w:sz w:val="20"/>
          <w:lang w:val="en-US" w:eastAsia="en-US" w:bidi="ar-SA"/>
        </w:rPr>
        <w:t xml:space="preserve"> (Ont.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plaintiffs also submit that a duty to defend is owed to them under the terms of the tenant's coverage insofar as that coverage insures their premises and, as is the case with any strata unit, their premises include an interest in the common property as a whole. Since the actions brought by the neighbouring tenants for damage to their premises would similarly involve common property, then this is sufficient to found coverage under the tenant's policy.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The Insurer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Insurer submits that the true nature and substance of each of the actions brought by third parties is a claim for remediation of contamination caused by the escape of chemicals from the Insureds' premises. Even if it is determined that the third parties' lawsuits are for damage caused by fire, the wording of the pollution exclusion still operates to exclude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Insurer submits that insurance policy interpretations favouring an insured, and which are based on the doctrine of "reasonable expectations", are limited to cases in which there is an ambiguity in the wording of an insurance policy. Here there is no ambiguity. The Insurer submits further that the application of the unambiguous wording of the pollution exclusion is not unjust or unfair because it does not deprive the Insureds of other, significant protections against other risks that the Policy does cover. This distinguishes this case from the authorities relied on by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Finally, the Insurer submits that the tenant's coverage is intended to respond only to injury to, or destruction of, premises rented or occupied by the Insureds, yet here the third party claims are stated to be in respect of damage caused to the premises of those third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Discussion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Governing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 parties agree that the governing principles in this case are as set out in </w:t>
      </w:r>
      <w:r>
        <w:rPr>
          <w:rFonts w:ascii="arial" w:eastAsia="arial" w:hAnsi="arial" w:cs="arial"/>
          <w:i/>
          <w:color w:val="000000"/>
          <w:sz w:val="20"/>
          <w:lang w:val="en-US" w:eastAsia="en-US" w:bidi="ar-SA"/>
        </w:rPr>
        <w:t>Progressive Homes Ltd. v. Lombard General Insurance Co. of Canada</w:t>
      </w:r>
      <w:r>
        <w:rPr>
          <w:rFonts w:ascii="arial" w:eastAsia="arial" w:hAnsi="arial" w:cs="arial"/>
          <w:color w:val="000000"/>
          <w:sz w:val="20"/>
          <w:lang w:val="en-US" w:eastAsia="en-US" w:bidi="ar-SA"/>
        </w:rPr>
        <w:t xml:space="preserve">, </w:t>
      </w:r>
      <w:hyperlink r:id="rId820" w:history="1">
        <w:r>
          <w:rPr>
            <w:rFonts w:ascii="arial" w:eastAsia="arial" w:hAnsi="arial" w:cs="arial"/>
            <w:i/>
            <w:color w:val="0077CC"/>
            <w:sz w:val="20"/>
            <w:u w:val="single"/>
            <w:shd w:val="clear" w:color="auto" w:fill="FFFFFF"/>
            <w:lang w:val="en-US" w:eastAsia="en-US" w:bidi="ar-SA"/>
          </w:rPr>
          <w:t>[2010] 2 S.C.R. 245</w:t>
        </w:r>
      </w:hyperlink>
      <w:r>
        <w:rPr>
          <w:rFonts w:ascii="arial" w:eastAsia="arial" w:hAnsi="arial" w:cs="arial"/>
          <w:color w:val="000000"/>
          <w:sz w:val="20"/>
          <w:lang w:val="en-US" w:eastAsia="en-US" w:bidi="ar-SA"/>
        </w:rPr>
        <w:t xml:space="preserve">, </w:t>
      </w:r>
      <w:hyperlink r:id="rId820" w:history="1">
        <w:r>
          <w:rPr>
            <w:rFonts w:ascii="arial" w:eastAsia="arial" w:hAnsi="arial" w:cs="arial"/>
            <w:i/>
            <w:color w:val="0077CC"/>
            <w:sz w:val="20"/>
            <w:u w:val="single"/>
            <w:shd w:val="clear" w:color="auto" w:fill="FFFFFF"/>
            <w:lang w:val="en-US" w:eastAsia="en-US" w:bidi="ar-SA"/>
          </w:rPr>
          <w:t>2010 SCC 33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Progressive Homes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As with the present case, </w:t>
      </w:r>
      <w:r>
        <w:rPr>
          <w:rFonts w:ascii="arial" w:eastAsia="arial" w:hAnsi="arial" w:cs="arial"/>
          <w:i/>
          <w:color w:val="000000"/>
          <w:sz w:val="20"/>
          <w:lang w:val="en-US" w:eastAsia="en-US" w:bidi="ar-SA"/>
        </w:rPr>
        <w:t>Progressive Homes</w:t>
      </w:r>
      <w:r>
        <w:rPr>
          <w:rFonts w:ascii="arial" w:eastAsia="arial" w:hAnsi="arial" w:cs="arial"/>
          <w:color w:val="000000"/>
          <w:sz w:val="20"/>
          <w:lang w:val="en-US" w:eastAsia="en-US" w:bidi="ar-SA"/>
        </w:rPr>
        <w:t xml:space="preserve"> was a duty to defend case. The Supreme Court of Canada explained the duty to defend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[19] An Insurer is required to defend a claim where the facts alleged in the pleadings, if proven to be true, would require the Insurer to indemnify the insured for the claim (</w:t>
      </w:r>
      <w:r>
        <w:rPr>
          <w:rFonts w:ascii="arial" w:eastAsia="arial" w:hAnsi="arial" w:cs="arial"/>
          <w:i/>
          <w:color w:val="000000"/>
          <w:sz w:val="20"/>
          <w:lang w:val="en-US" w:eastAsia="en-US" w:bidi="ar-SA"/>
        </w:rPr>
        <w:t>Nichols v. American Home Assurance Co.</w:t>
      </w:r>
      <w:r>
        <w:rPr>
          <w:rFonts w:ascii="arial" w:eastAsia="arial" w:hAnsi="arial" w:cs="arial"/>
          <w:color w:val="000000"/>
          <w:sz w:val="20"/>
          <w:lang w:val="en-US" w:eastAsia="en-US" w:bidi="ar-SA"/>
        </w:rPr>
        <w:t xml:space="preserve">, </w:t>
      </w:r>
      <w:hyperlink r:id="rId821" w:history="1">
        <w:r>
          <w:rPr>
            <w:rFonts w:ascii="arial" w:eastAsia="arial" w:hAnsi="arial" w:cs="arial"/>
            <w:i/>
            <w:color w:val="0077CC"/>
            <w:sz w:val="20"/>
            <w:u w:val="single"/>
            <w:shd w:val="clear" w:color="auto" w:fill="FFFFFF"/>
            <w:lang w:val="en-US" w:eastAsia="en-US" w:bidi="ar-SA"/>
          </w:rPr>
          <w:t>[1990] 1 S.C.R. 801</w:t>
        </w:r>
      </w:hyperlink>
      <w:r>
        <w:rPr>
          <w:rFonts w:ascii="arial" w:eastAsia="arial" w:hAnsi="arial" w:cs="arial"/>
          <w:color w:val="000000"/>
          <w:sz w:val="20"/>
          <w:lang w:val="en-US" w:eastAsia="en-US" w:bidi="ar-SA"/>
        </w:rPr>
        <w:t xml:space="preserve">, at pp.810-11; </w:t>
      </w:r>
      <w:r>
        <w:rPr>
          <w:rFonts w:ascii="arial" w:eastAsia="arial" w:hAnsi="arial" w:cs="arial"/>
          <w:i/>
          <w:color w:val="000000"/>
          <w:sz w:val="20"/>
          <w:lang w:val="en-US" w:eastAsia="en-US" w:bidi="ar-SA"/>
        </w:rPr>
        <w:t>Monenco Ltd. v. Commonwealth Insurance Co.</w:t>
      </w:r>
      <w:r>
        <w:rPr>
          <w:rFonts w:ascii="arial" w:eastAsia="arial" w:hAnsi="arial" w:cs="arial"/>
          <w:color w:val="000000"/>
          <w:sz w:val="20"/>
          <w:lang w:val="en-US" w:eastAsia="en-US" w:bidi="ar-SA"/>
        </w:rPr>
        <w:t xml:space="preserve">, </w:t>
      </w:r>
      <w:hyperlink r:id="rId822" w:history="1">
        <w:r>
          <w:rPr>
            <w:rFonts w:ascii="arial" w:eastAsia="arial" w:hAnsi="arial" w:cs="arial"/>
            <w:i/>
            <w:color w:val="0077CC"/>
            <w:sz w:val="20"/>
            <w:u w:val="single"/>
            <w:shd w:val="clear" w:color="auto" w:fill="FFFFFF"/>
            <w:lang w:val="en-US" w:eastAsia="en-US" w:bidi="ar-SA"/>
          </w:rPr>
          <w:t>2001 SCC 49</w:t>
        </w:r>
      </w:hyperlink>
      <w:r>
        <w:rPr>
          <w:rFonts w:ascii="arial" w:eastAsia="arial" w:hAnsi="arial" w:cs="arial"/>
          <w:color w:val="000000"/>
          <w:sz w:val="20"/>
          <w:lang w:val="en-US" w:eastAsia="en-US" w:bidi="ar-SA"/>
        </w:rPr>
        <w:t xml:space="preserve">, </w:t>
      </w:r>
      <w:hyperlink r:id="rId822" w:history="1">
        <w:r>
          <w:rPr>
            <w:rFonts w:ascii="arial" w:eastAsia="arial" w:hAnsi="arial" w:cs="arial"/>
            <w:i/>
            <w:color w:val="0077CC"/>
            <w:sz w:val="20"/>
            <w:u w:val="single"/>
            <w:shd w:val="clear" w:color="auto" w:fill="FFFFFF"/>
            <w:lang w:val="en-US" w:eastAsia="en-US" w:bidi="ar-SA"/>
          </w:rPr>
          <w:t>[2001] 2 S.C.R. 699</w:t>
        </w:r>
      </w:hyperlink>
      <w:r>
        <w:rPr>
          <w:rFonts w:ascii="arial" w:eastAsia="arial" w:hAnsi="arial" w:cs="arial"/>
          <w:color w:val="000000"/>
          <w:sz w:val="20"/>
          <w:lang w:val="en-US" w:eastAsia="en-US" w:bidi="ar-SA"/>
        </w:rPr>
        <w:t>, at para. 28;</w:t>
      </w:r>
      <w:r>
        <w:rPr>
          <w:rFonts w:ascii="arial" w:eastAsia="arial" w:hAnsi="arial" w:cs="arial"/>
          <w:i/>
          <w:color w:val="000000"/>
          <w:sz w:val="20"/>
          <w:lang w:val="en-US" w:eastAsia="en-US" w:bidi="ar-SA"/>
        </w:rPr>
        <w:t xml:space="preserve"> Jesuit Fathers of Upper Canada v. Guardian Insurance Co. of Canada</w:t>
      </w:r>
      <w:r>
        <w:rPr>
          <w:rFonts w:ascii="arial" w:eastAsia="arial" w:hAnsi="arial" w:cs="arial"/>
          <w:color w:val="000000"/>
          <w:sz w:val="20"/>
          <w:lang w:val="en-US" w:eastAsia="en-US" w:bidi="ar-SA"/>
        </w:rPr>
        <w:t xml:space="preserve">, </w:t>
      </w:r>
      <w:hyperlink r:id="rId823" w:history="1">
        <w:r>
          <w:rPr>
            <w:rFonts w:ascii="arial" w:eastAsia="arial" w:hAnsi="arial" w:cs="arial"/>
            <w:i/>
            <w:color w:val="0077CC"/>
            <w:sz w:val="20"/>
            <w:u w:val="single"/>
            <w:shd w:val="clear" w:color="auto" w:fill="FFFFFF"/>
            <w:lang w:val="en-US" w:eastAsia="en-US" w:bidi="ar-SA"/>
          </w:rPr>
          <w:t>2006 SCC 21</w:t>
        </w:r>
      </w:hyperlink>
      <w:r>
        <w:rPr>
          <w:rFonts w:ascii="arial" w:eastAsia="arial" w:hAnsi="arial" w:cs="arial"/>
          <w:color w:val="000000"/>
          <w:sz w:val="20"/>
          <w:lang w:val="en-US" w:eastAsia="en-US" w:bidi="ar-SA"/>
        </w:rPr>
        <w:t xml:space="preserve">, </w:t>
      </w:r>
      <w:hyperlink r:id="rId823" w:history="1">
        <w:r>
          <w:rPr>
            <w:rFonts w:ascii="arial" w:eastAsia="arial" w:hAnsi="arial" w:cs="arial"/>
            <w:i/>
            <w:color w:val="0077CC"/>
            <w:sz w:val="20"/>
            <w:u w:val="single"/>
            <w:shd w:val="clear" w:color="auto" w:fill="FFFFFF"/>
            <w:lang w:val="en-US" w:eastAsia="en-US" w:bidi="ar-SA"/>
          </w:rPr>
          <w:t>[2006] 1 S.C.R. 744</w:t>
        </w:r>
      </w:hyperlink>
      <w:r>
        <w:rPr>
          <w:rFonts w:ascii="arial" w:eastAsia="arial" w:hAnsi="arial" w:cs="arial"/>
          <w:color w:val="000000"/>
          <w:sz w:val="20"/>
          <w:lang w:val="en-US" w:eastAsia="en-US" w:bidi="ar-SA"/>
        </w:rPr>
        <w:t xml:space="preserve">, at paras. 54-55). It is irrelevant whether the allegations in the pleadings can be proven in evidence. That is to say, the duty to defend is not dependent on the insured actually being liable and the Insurer actually being required to indemnify. What is required is the mere possibility that a claim falls within the insurance policy. Where it is clear that the claim falls outside the policy, either because it does not come within the initial grant of coverage or is excluded by an exclusion clause, there will be no duty to defend (see </w:t>
      </w:r>
      <w:r>
        <w:rPr>
          <w:rFonts w:ascii="arial" w:eastAsia="arial" w:hAnsi="arial" w:cs="arial"/>
          <w:i/>
          <w:color w:val="000000"/>
          <w:sz w:val="20"/>
          <w:lang w:val="en-US" w:eastAsia="en-US" w:bidi="ar-SA"/>
        </w:rPr>
        <w:t>Nichols</w:t>
      </w:r>
      <w:r>
        <w:rPr>
          <w:rFonts w:ascii="arial" w:eastAsia="arial" w:hAnsi="arial" w:cs="arial"/>
          <w:color w:val="000000"/>
          <w:sz w:val="20"/>
          <w:lang w:val="en-US" w:eastAsia="en-US" w:bidi="ar-SA"/>
        </w:rPr>
        <w:t xml:space="preserve">, at p. 810; </w:t>
      </w:r>
      <w:r>
        <w:rPr>
          <w:rFonts w:ascii="arial" w:eastAsia="arial" w:hAnsi="arial" w:cs="arial"/>
          <w:i/>
          <w:color w:val="000000"/>
          <w:sz w:val="20"/>
          <w:lang w:val="en-US" w:eastAsia="en-US" w:bidi="ar-SA"/>
        </w:rPr>
        <w:t>Monenco</w:t>
      </w:r>
      <w:r>
        <w:rPr>
          <w:rFonts w:ascii="arial" w:eastAsia="arial" w:hAnsi="arial" w:cs="arial"/>
          <w:color w:val="000000"/>
          <w:sz w:val="20"/>
          <w:lang w:val="en-US" w:eastAsia="en-US" w:bidi="ar-SA"/>
        </w:rPr>
        <w:t>, at para. 29).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 In examining the pleadings to determine whether the claims fall within the scope of coverage, the parties to the insurance contract are not bound by the labels selected by the plaintiff (</w:t>
      </w:r>
      <w:r>
        <w:rPr>
          <w:rFonts w:ascii="arial" w:eastAsia="arial" w:hAnsi="arial" w:cs="arial"/>
          <w:i/>
          <w:color w:val="000000"/>
          <w:sz w:val="20"/>
          <w:lang w:val="en-US" w:eastAsia="en-US" w:bidi="ar-SA"/>
        </w:rPr>
        <w:t>Non-Marine Underwriters, Lloyd's of London v. Scalera</w:t>
      </w:r>
      <w:r>
        <w:rPr>
          <w:rFonts w:ascii="arial" w:eastAsia="arial" w:hAnsi="arial" w:cs="arial"/>
          <w:color w:val="000000"/>
          <w:sz w:val="20"/>
          <w:lang w:val="en-US" w:eastAsia="en-US" w:bidi="ar-SA"/>
        </w:rPr>
        <w:t xml:space="preserve">, </w:t>
      </w:r>
      <w:hyperlink r:id="rId824" w:history="1">
        <w:r>
          <w:rPr>
            <w:rFonts w:ascii="arial" w:eastAsia="arial" w:hAnsi="arial" w:cs="arial"/>
            <w:i/>
            <w:color w:val="0077CC"/>
            <w:sz w:val="20"/>
            <w:u w:val="single"/>
            <w:shd w:val="clear" w:color="auto" w:fill="FFFFFF"/>
            <w:lang w:val="en-US" w:eastAsia="en-US" w:bidi="ar-SA"/>
          </w:rPr>
          <w:t>2000 SCC 24</w:t>
        </w:r>
      </w:hyperlink>
      <w:r>
        <w:rPr>
          <w:rFonts w:ascii="arial" w:eastAsia="arial" w:hAnsi="arial" w:cs="arial"/>
          <w:color w:val="000000"/>
          <w:sz w:val="20"/>
          <w:lang w:val="en-US" w:eastAsia="en-US" w:bidi="ar-SA"/>
        </w:rPr>
        <w:t xml:space="preserve">, </w:t>
      </w:r>
      <w:hyperlink r:id="rId824" w:history="1">
        <w:r>
          <w:rPr>
            <w:rFonts w:ascii="arial" w:eastAsia="arial" w:hAnsi="arial" w:cs="arial"/>
            <w:i/>
            <w:color w:val="0077CC"/>
            <w:sz w:val="20"/>
            <w:u w:val="single"/>
            <w:shd w:val="clear" w:color="auto" w:fill="FFFFFF"/>
            <w:lang w:val="en-US" w:eastAsia="en-US" w:bidi="ar-SA"/>
          </w:rPr>
          <w:t>[2000] 1 S.C.R. 551</w:t>
        </w:r>
      </w:hyperlink>
      <w:r>
        <w:rPr>
          <w:rFonts w:ascii="arial" w:eastAsia="arial" w:hAnsi="arial" w:cs="arial"/>
          <w:color w:val="000000"/>
          <w:sz w:val="20"/>
          <w:lang w:val="en-US" w:eastAsia="en-US" w:bidi="ar-SA"/>
        </w:rPr>
        <w:t>, at paras. 79 and 81). The use or absence of a particular term will not determine whether the duty to defend arises. What is determinative is the true nature or the substance of the claim (</w:t>
      </w:r>
      <w:r>
        <w:rPr>
          <w:rFonts w:ascii="arial" w:eastAsia="arial" w:hAnsi="arial" w:cs="arial"/>
          <w:i/>
          <w:color w:val="000000"/>
          <w:sz w:val="20"/>
          <w:lang w:val="en-US" w:eastAsia="en-US" w:bidi="ar-SA"/>
        </w:rPr>
        <w:t>Scalera</w:t>
      </w:r>
      <w:r>
        <w:rPr>
          <w:rFonts w:ascii="arial" w:eastAsia="arial" w:hAnsi="arial" w:cs="arial"/>
          <w:color w:val="000000"/>
          <w:sz w:val="20"/>
          <w:lang w:val="en-US" w:eastAsia="en-US" w:bidi="ar-SA"/>
        </w:rPr>
        <w:t xml:space="preserve">, at para. 79; </w:t>
      </w:r>
      <w:r>
        <w:rPr>
          <w:rFonts w:ascii="arial" w:eastAsia="arial" w:hAnsi="arial" w:cs="arial"/>
          <w:i/>
          <w:color w:val="000000"/>
          <w:sz w:val="20"/>
          <w:lang w:val="en-US" w:eastAsia="en-US" w:bidi="ar-SA"/>
        </w:rPr>
        <w:t>Monenco</w:t>
      </w:r>
      <w:r>
        <w:rPr>
          <w:rFonts w:ascii="arial" w:eastAsia="arial" w:hAnsi="arial" w:cs="arial"/>
          <w:color w:val="000000"/>
          <w:sz w:val="20"/>
          <w:lang w:val="en-US" w:eastAsia="en-US" w:bidi="ar-SA"/>
        </w:rPr>
        <w:t xml:space="preserve">, at para. 35; </w:t>
      </w:r>
      <w:r>
        <w:rPr>
          <w:rFonts w:ascii="arial" w:eastAsia="arial" w:hAnsi="arial" w:cs="arial"/>
          <w:i/>
          <w:color w:val="000000"/>
          <w:sz w:val="20"/>
          <w:lang w:val="en-US" w:eastAsia="en-US" w:bidi="ar-SA"/>
        </w:rPr>
        <w:t>Nichols</w:t>
      </w:r>
      <w:r>
        <w:rPr>
          <w:rFonts w:ascii="arial" w:eastAsia="arial" w:hAnsi="arial" w:cs="arial"/>
          <w:color w:val="000000"/>
          <w:sz w:val="20"/>
          <w:lang w:val="en-US" w:eastAsia="en-US" w:bidi="ar-SA"/>
        </w:rPr>
        <w:t>, at p. 810).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Progressive Homes</w:t>
      </w:r>
      <w:r>
        <w:rPr>
          <w:rFonts w:ascii="arial" w:eastAsia="arial" w:hAnsi="arial" w:cs="arial"/>
          <w:color w:val="000000"/>
          <w:sz w:val="20"/>
          <w:lang w:val="en-US" w:eastAsia="en-US" w:bidi="ar-SA"/>
        </w:rPr>
        <w:t>, the Supreme Court of Canada set out the following general principles of insurance policy interpretation: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[21] Principles of insurance policy interpretation have been canvassed by this Court many times and I do not intend to give a comprehensive review here (see, e.g., </w:t>
      </w:r>
      <w:r>
        <w:rPr>
          <w:rFonts w:ascii="arial" w:eastAsia="arial" w:hAnsi="arial" w:cs="arial"/>
          <w:i/>
          <w:color w:val="000000"/>
          <w:sz w:val="20"/>
          <w:lang w:val="en-US" w:eastAsia="en-US" w:bidi="ar-SA"/>
        </w:rPr>
        <w:t>Co-operators Life Insurance Co. v. Gibbens</w:t>
      </w:r>
      <w:r>
        <w:rPr>
          <w:rFonts w:ascii="arial" w:eastAsia="arial" w:hAnsi="arial" w:cs="arial"/>
          <w:color w:val="000000"/>
          <w:sz w:val="20"/>
          <w:lang w:val="en-US" w:eastAsia="en-US" w:bidi="ar-SA"/>
        </w:rPr>
        <w:t xml:space="preserve">, </w:t>
      </w:r>
      <w:hyperlink r:id="rId825" w:history="1">
        <w:r>
          <w:rPr>
            <w:rFonts w:ascii="arial" w:eastAsia="arial" w:hAnsi="arial" w:cs="arial"/>
            <w:i/>
            <w:color w:val="0077CC"/>
            <w:sz w:val="20"/>
            <w:u w:val="single"/>
            <w:shd w:val="clear" w:color="auto" w:fill="FFFFFF"/>
            <w:lang w:val="en-US" w:eastAsia="en-US" w:bidi="ar-SA"/>
          </w:rPr>
          <w:t>2009 SCC 59</w:t>
        </w:r>
      </w:hyperlink>
      <w:r>
        <w:rPr>
          <w:rFonts w:ascii="arial" w:eastAsia="arial" w:hAnsi="arial" w:cs="arial"/>
          <w:color w:val="000000"/>
          <w:sz w:val="20"/>
          <w:lang w:val="en-US" w:eastAsia="en-US" w:bidi="ar-SA"/>
        </w:rPr>
        <w:t xml:space="preserve">, </w:t>
      </w:r>
      <w:hyperlink r:id="rId825" w:history="1">
        <w:r>
          <w:rPr>
            <w:rFonts w:ascii="arial" w:eastAsia="arial" w:hAnsi="arial" w:cs="arial"/>
            <w:i/>
            <w:color w:val="0077CC"/>
            <w:sz w:val="20"/>
            <w:u w:val="single"/>
            <w:shd w:val="clear" w:color="auto" w:fill="FFFFFF"/>
            <w:lang w:val="en-US" w:eastAsia="en-US" w:bidi="ar-SA"/>
          </w:rPr>
          <w:t>[2009] 3 S.C.R. 605</w:t>
        </w:r>
      </w:hyperlink>
      <w:r>
        <w:rPr>
          <w:rFonts w:ascii="arial" w:eastAsia="arial" w:hAnsi="arial" w:cs="arial"/>
          <w:color w:val="000000"/>
          <w:sz w:val="20"/>
          <w:lang w:val="en-US" w:eastAsia="en-US" w:bidi="ar-SA"/>
        </w:rPr>
        <w:t xml:space="preserve">, at paras. 20-28; </w:t>
      </w:r>
      <w:r>
        <w:rPr>
          <w:rFonts w:ascii="arial" w:eastAsia="arial" w:hAnsi="arial" w:cs="arial"/>
          <w:i/>
          <w:color w:val="000000"/>
          <w:sz w:val="20"/>
          <w:lang w:val="en-US" w:eastAsia="en-US" w:bidi="ar-SA"/>
        </w:rPr>
        <w:t>Jesuit Fathers</w:t>
      </w:r>
      <w:r>
        <w:rPr>
          <w:rFonts w:ascii="arial" w:eastAsia="arial" w:hAnsi="arial" w:cs="arial"/>
          <w:color w:val="000000"/>
          <w:sz w:val="20"/>
          <w:lang w:val="en-US" w:eastAsia="en-US" w:bidi="ar-SA"/>
        </w:rPr>
        <w:t xml:space="preserve">, at paras. 27-30; </w:t>
      </w:r>
      <w:r>
        <w:rPr>
          <w:rFonts w:ascii="arial" w:eastAsia="arial" w:hAnsi="arial" w:cs="arial"/>
          <w:i/>
          <w:color w:val="000000"/>
          <w:sz w:val="20"/>
          <w:lang w:val="en-US" w:eastAsia="en-US" w:bidi="ar-SA"/>
        </w:rPr>
        <w:t>Scalera</w:t>
      </w:r>
      <w:r>
        <w:rPr>
          <w:rFonts w:ascii="arial" w:eastAsia="arial" w:hAnsi="arial" w:cs="arial"/>
          <w:color w:val="000000"/>
          <w:sz w:val="20"/>
          <w:lang w:val="en-US" w:eastAsia="en-US" w:bidi="ar-SA"/>
        </w:rPr>
        <w:t xml:space="preserve">, at paras. 67-71; </w:t>
      </w:r>
      <w:r>
        <w:rPr>
          <w:rFonts w:ascii="arial" w:eastAsia="arial" w:hAnsi="arial" w:cs="arial"/>
          <w:i/>
          <w:color w:val="000000"/>
          <w:sz w:val="20"/>
          <w:lang w:val="en-US" w:eastAsia="en-US" w:bidi="ar-SA"/>
        </w:rPr>
        <w:t>Brissette Estate v. Westbury Life Insurance Co.</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[1992] 3 S.C.R. 87</w:t>
      </w:r>
      <w:r>
        <w:rPr>
          <w:rFonts w:ascii="arial" w:eastAsia="arial" w:hAnsi="arial" w:cs="arial"/>
          <w:color w:val="000000"/>
          <w:sz w:val="20"/>
          <w:lang w:val="en-US" w:eastAsia="en-US" w:bidi="ar-SA"/>
        </w:rPr>
        <w:t xml:space="preserve">, at pp. 92-93; </w:t>
      </w:r>
      <w:r>
        <w:rPr>
          <w:rFonts w:ascii="arial" w:eastAsia="arial" w:hAnsi="arial" w:cs="arial"/>
          <w:i/>
          <w:color w:val="000000"/>
          <w:sz w:val="20"/>
          <w:lang w:val="en-US" w:eastAsia="en-US" w:bidi="ar-SA"/>
        </w:rPr>
        <w:t>Consolidated-Bathurst Export Ltd. v. Mutual Boiler and Machinery Insurance Co.</w:t>
      </w:r>
      <w:r>
        <w:rPr>
          <w:rFonts w:ascii="arial" w:eastAsia="arial" w:hAnsi="arial" w:cs="arial"/>
          <w:color w:val="000000"/>
          <w:sz w:val="20"/>
          <w:lang w:val="en-US" w:eastAsia="en-US" w:bidi="ar-SA"/>
        </w:rPr>
        <w:t xml:space="preserve">, </w:t>
      </w:r>
      <w:hyperlink r:id="rId826" w:history="1">
        <w:r>
          <w:rPr>
            <w:rFonts w:ascii="arial" w:eastAsia="arial" w:hAnsi="arial" w:cs="arial"/>
            <w:i/>
            <w:color w:val="0077CC"/>
            <w:sz w:val="20"/>
            <w:u w:val="single"/>
            <w:shd w:val="clear" w:color="auto" w:fill="FFFFFF"/>
            <w:lang w:val="en-US" w:eastAsia="en-US" w:bidi="ar-SA"/>
          </w:rPr>
          <w:t>[1980] 1 S.C.R. 888</w:t>
        </w:r>
      </w:hyperlink>
      <w:r>
        <w:rPr>
          <w:rFonts w:ascii="arial" w:eastAsia="arial" w:hAnsi="arial" w:cs="arial"/>
          <w:color w:val="000000"/>
          <w:sz w:val="20"/>
          <w:lang w:val="en-US" w:eastAsia="en-US" w:bidi="ar-SA"/>
        </w:rPr>
        <w:t>, at pp. 899-902). However, a brief review of the relevant principles may be a useful introduction to the interpretation of the CGL policies that follow.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[22] The primary interpretive principle is that when the language of the policy is unambiguous, the court should give effect to clear language, reading the contract as a whole (</w:t>
      </w:r>
      <w:r>
        <w:rPr>
          <w:rFonts w:ascii="arial" w:eastAsia="arial" w:hAnsi="arial" w:cs="arial"/>
          <w:i/>
          <w:color w:val="000000"/>
          <w:sz w:val="20"/>
          <w:lang w:val="en-US" w:eastAsia="en-US" w:bidi="ar-SA"/>
        </w:rPr>
        <w:t>Scalera</w:t>
      </w:r>
      <w:r>
        <w:rPr>
          <w:rFonts w:ascii="arial" w:eastAsia="arial" w:hAnsi="arial" w:cs="arial"/>
          <w:color w:val="000000"/>
          <w:sz w:val="20"/>
          <w:lang w:val="en-US" w:eastAsia="en-US" w:bidi="ar-SA"/>
        </w:rPr>
        <w:t>, at para. 71).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[23] Where the language of the insurance policy is ambiguous, the courts rely on general rules of contract construction (</w:t>
      </w:r>
      <w:r>
        <w:rPr>
          <w:rFonts w:ascii="arial" w:eastAsia="arial" w:hAnsi="arial" w:cs="arial"/>
          <w:i/>
          <w:color w:val="000000"/>
          <w:sz w:val="20"/>
          <w:lang w:val="en-US" w:eastAsia="en-US" w:bidi="ar-SA"/>
        </w:rPr>
        <w:t>Consolidated-Bathurst</w:t>
      </w:r>
      <w:r>
        <w:rPr>
          <w:rFonts w:ascii="arial" w:eastAsia="arial" w:hAnsi="arial" w:cs="arial"/>
          <w:color w:val="000000"/>
          <w:sz w:val="20"/>
          <w:lang w:val="en-US" w:eastAsia="en-US" w:bidi="ar-SA"/>
        </w:rPr>
        <w:t>, at pp. 900-902). For example, courts should prefer interpretations that are consistent with the reasonable expectations of the parties (</w:t>
      </w:r>
      <w:r>
        <w:rPr>
          <w:rFonts w:ascii="arial" w:eastAsia="arial" w:hAnsi="arial" w:cs="arial"/>
          <w:i/>
          <w:color w:val="000000"/>
          <w:sz w:val="20"/>
          <w:lang w:val="en-US" w:eastAsia="en-US" w:bidi="ar-SA"/>
        </w:rPr>
        <w:t>Gibbens</w:t>
      </w:r>
      <w:r>
        <w:rPr>
          <w:rFonts w:ascii="arial" w:eastAsia="arial" w:hAnsi="arial" w:cs="arial"/>
          <w:color w:val="000000"/>
          <w:sz w:val="20"/>
          <w:lang w:val="en-US" w:eastAsia="en-US" w:bidi="ar-SA"/>
        </w:rPr>
        <w:t xml:space="preserve">, at para. 26; </w:t>
      </w:r>
      <w:r>
        <w:rPr>
          <w:rFonts w:ascii="arial" w:eastAsia="arial" w:hAnsi="arial" w:cs="arial"/>
          <w:i/>
          <w:color w:val="000000"/>
          <w:sz w:val="20"/>
          <w:lang w:val="en-US" w:eastAsia="en-US" w:bidi="ar-SA"/>
        </w:rPr>
        <w:t>Scalera</w:t>
      </w:r>
      <w:r>
        <w:rPr>
          <w:rFonts w:ascii="arial" w:eastAsia="arial" w:hAnsi="arial" w:cs="arial"/>
          <w:color w:val="000000"/>
          <w:sz w:val="20"/>
          <w:lang w:val="en-US" w:eastAsia="en-US" w:bidi="ar-SA"/>
        </w:rPr>
        <w:t xml:space="preserve">, at para. 71; </w:t>
      </w:r>
      <w:r>
        <w:rPr>
          <w:rFonts w:ascii="arial" w:eastAsia="arial" w:hAnsi="arial" w:cs="arial"/>
          <w:i/>
          <w:color w:val="000000"/>
          <w:sz w:val="20"/>
          <w:lang w:val="en-US" w:eastAsia="en-US" w:bidi="ar-SA"/>
        </w:rPr>
        <w:t>Consolidated-Bathurst</w:t>
      </w:r>
      <w:r>
        <w:rPr>
          <w:rFonts w:ascii="arial" w:eastAsia="arial" w:hAnsi="arial" w:cs="arial"/>
          <w:color w:val="000000"/>
          <w:sz w:val="20"/>
          <w:lang w:val="en-US" w:eastAsia="en-US" w:bidi="ar-SA"/>
        </w:rPr>
        <w:t>, at p. 901), so long as such an interpretation can be supported by the text of the policy. Courts should avoid interpretations that would give rise to an unrealistic result or that would not have been in the contemplation of the parties at the time the policy was concluded (</w:t>
      </w:r>
      <w:r>
        <w:rPr>
          <w:rFonts w:ascii="arial" w:eastAsia="arial" w:hAnsi="arial" w:cs="arial"/>
          <w:i/>
          <w:color w:val="000000"/>
          <w:sz w:val="20"/>
          <w:lang w:val="en-US" w:eastAsia="en-US" w:bidi="ar-SA"/>
        </w:rPr>
        <w:t>Scalera</w:t>
      </w:r>
      <w:r>
        <w:rPr>
          <w:rFonts w:ascii="arial" w:eastAsia="arial" w:hAnsi="arial" w:cs="arial"/>
          <w:color w:val="000000"/>
          <w:sz w:val="20"/>
          <w:lang w:val="en-US" w:eastAsia="en-US" w:bidi="ar-SA"/>
        </w:rPr>
        <w:t xml:space="preserve">, at para. 71; </w:t>
      </w:r>
      <w:r>
        <w:rPr>
          <w:rFonts w:ascii="arial" w:eastAsia="arial" w:hAnsi="arial" w:cs="arial"/>
          <w:i/>
          <w:color w:val="000000"/>
          <w:sz w:val="20"/>
          <w:lang w:val="en-US" w:eastAsia="en-US" w:bidi="ar-SA"/>
        </w:rPr>
        <w:t>Consolidated-Bathurst</w:t>
      </w:r>
      <w:r>
        <w:rPr>
          <w:rFonts w:ascii="arial" w:eastAsia="arial" w:hAnsi="arial" w:cs="arial"/>
          <w:color w:val="000000"/>
          <w:sz w:val="20"/>
          <w:lang w:val="en-US" w:eastAsia="en-US" w:bidi="ar-SA"/>
        </w:rPr>
        <w:t>, at p. 901). Courts should also strive to ensure that similar insurance policies are construed consistently (</w:t>
      </w:r>
      <w:r>
        <w:rPr>
          <w:rFonts w:ascii="arial" w:eastAsia="arial" w:hAnsi="arial" w:cs="arial"/>
          <w:i/>
          <w:color w:val="000000"/>
          <w:sz w:val="20"/>
          <w:lang w:val="en-US" w:eastAsia="en-US" w:bidi="ar-SA"/>
        </w:rPr>
        <w:t>Gibbens</w:t>
      </w:r>
      <w:r>
        <w:rPr>
          <w:rFonts w:ascii="arial" w:eastAsia="arial" w:hAnsi="arial" w:cs="arial"/>
          <w:color w:val="000000"/>
          <w:sz w:val="20"/>
          <w:lang w:val="en-US" w:eastAsia="en-US" w:bidi="ar-SA"/>
        </w:rPr>
        <w:t>, at para. 27). These rules of construction are applied to resolve ambiguity. They do not operate to create ambiguity where there is none in the first place.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[24] When these rules of construction fail to resolve the ambiguity, courts will construe the policy </w:t>
      </w:r>
      <w:r>
        <w:rPr>
          <w:rFonts w:ascii="arial" w:eastAsia="arial" w:hAnsi="arial" w:cs="arial"/>
          <w:i/>
          <w:color w:val="000000"/>
          <w:sz w:val="20"/>
          <w:lang w:val="en-US" w:eastAsia="en-US" w:bidi="ar-SA"/>
        </w:rPr>
        <w:t>contra proferentem</w:t>
      </w:r>
      <w:r>
        <w:rPr>
          <w:rFonts w:ascii="arial" w:eastAsia="arial" w:hAnsi="arial" w:cs="arial"/>
          <w:color w:val="000000"/>
          <w:sz w:val="20"/>
          <w:lang w:val="en-US" w:eastAsia="en-US" w:bidi="ar-SA"/>
        </w:rPr>
        <w:t xml:space="preserve"> -- against the Insurer (</w:t>
      </w:r>
      <w:r>
        <w:rPr>
          <w:rFonts w:ascii="arial" w:eastAsia="arial" w:hAnsi="arial" w:cs="arial"/>
          <w:i/>
          <w:color w:val="000000"/>
          <w:sz w:val="20"/>
          <w:lang w:val="en-US" w:eastAsia="en-US" w:bidi="ar-SA"/>
        </w:rPr>
        <w:t>Gibbens</w:t>
      </w:r>
      <w:r>
        <w:rPr>
          <w:rFonts w:ascii="arial" w:eastAsia="arial" w:hAnsi="arial" w:cs="arial"/>
          <w:color w:val="000000"/>
          <w:sz w:val="20"/>
          <w:lang w:val="en-US" w:eastAsia="en-US" w:bidi="ar-SA"/>
        </w:rPr>
        <w:t xml:space="preserve">, at para. 25; </w:t>
      </w:r>
      <w:r>
        <w:rPr>
          <w:rFonts w:ascii="arial" w:eastAsia="arial" w:hAnsi="arial" w:cs="arial"/>
          <w:i/>
          <w:color w:val="000000"/>
          <w:sz w:val="20"/>
          <w:lang w:val="en-US" w:eastAsia="en-US" w:bidi="ar-SA"/>
        </w:rPr>
        <w:t>Scalera</w:t>
      </w:r>
      <w:r>
        <w:rPr>
          <w:rFonts w:ascii="arial" w:eastAsia="arial" w:hAnsi="arial" w:cs="arial"/>
          <w:color w:val="000000"/>
          <w:sz w:val="20"/>
          <w:lang w:val="en-US" w:eastAsia="en-US" w:bidi="ar-SA"/>
        </w:rPr>
        <w:t xml:space="preserve">, at para. 70; </w:t>
      </w:r>
      <w:r>
        <w:rPr>
          <w:rFonts w:ascii="arial" w:eastAsia="arial" w:hAnsi="arial" w:cs="arial"/>
          <w:i/>
          <w:color w:val="000000"/>
          <w:sz w:val="20"/>
          <w:lang w:val="en-US" w:eastAsia="en-US" w:bidi="ar-SA"/>
        </w:rPr>
        <w:t>Consolidated-Bathurst</w:t>
      </w:r>
      <w:r>
        <w:rPr>
          <w:rFonts w:ascii="arial" w:eastAsia="arial" w:hAnsi="arial" w:cs="arial"/>
          <w:color w:val="000000"/>
          <w:sz w:val="20"/>
          <w:lang w:val="en-US" w:eastAsia="en-US" w:bidi="ar-SA"/>
        </w:rPr>
        <w:t xml:space="preserve">, at pp. 899-901). One corollary of the </w:t>
      </w:r>
      <w:r>
        <w:rPr>
          <w:rFonts w:ascii="arial" w:eastAsia="arial" w:hAnsi="arial" w:cs="arial"/>
          <w:i/>
          <w:color w:val="000000"/>
          <w:sz w:val="20"/>
          <w:lang w:val="en-US" w:eastAsia="en-US" w:bidi="ar-SA"/>
        </w:rPr>
        <w:t>contra proferentem</w:t>
      </w:r>
      <w:r>
        <w:rPr>
          <w:rFonts w:ascii="arial" w:eastAsia="arial" w:hAnsi="arial" w:cs="arial"/>
          <w:color w:val="000000"/>
          <w:sz w:val="20"/>
          <w:lang w:val="en-US" w:eastAsia="en-US" w:bidi="ar-SA"/>
        </w:rPr>
        <w:t xml:space="preserve"> rule is that coverage provisions are interpreted broadly, and exclusion clauses narrowly (</w:t>
      </w:r>
      <w:r>
        <w:rPr>
          <w:rFonts w:ascii="arial" w:eastAsia="arial" w:hAnsi="arial" w:cs="arial"/>
          <w:i/>
          <w:color w:val="000000"/>
          <w:sz w:val="20"/>
          <w:lang w:val="en-US" w:eastAsia="en-US" w:bidi="ar-SA"/>
        </w:rPr>
        <w:t>Jesuit Fathers</w:t>
      </w:r>
      <w:r>
        <w:rPr>
          <w:rFonts w:ascii="arial" w:eastAsia="arial" w:hAnsi="arial" w:cs="arial"/>
          <w:color w:val="000000"/>
          <w:sz w:val="20"/>
          <w:lang w:val="en-US" w:eastAsia="en-US" w:bidi="ar-SA"/>
        </w:rPr>
        <w:t>, at para. 28).</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The Third Party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As noted above, the duty to defend turns on the claim or claims being made, as reflected in the pleadings. The following is a summary of those claims: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Golden Trading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Golden Trading Ltd. names as defendants Precision Plating and the Stankovic brothers, among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notice of civil claim alleges "a fire and chemical spill of acid and chromium" (which the plaintiff defines collectively as the "Spill") occurred on the defendants' premises, "causing the release of smoke, chemical fumes and other poisonous and noxious materials to be discharged" into the strata unit of Golden Trading Ltd. As a result of the Spill, government agencies ordered that plaintiff's foodstuffs and related products to be destroyed "as being unfit for consumption and use due to health and safety concerns caused by the contamination from the Spill". Golden Trading Ltd. pleads as well that, during the course of the containment and remediation of [sic] caused by the Spill", government authorities also ordered various repairs and cleanup, "all of which was necessitated and required as a result of the Spill and the contamination caused by the same". The plaintiff also claims for losses associated with the interruption of its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 claim is pleaded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well as breach of duties imposed by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Morden Doors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Morden Doors Ltd. names Precision Plating as the only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This notice of civil claim alleges that there was a fire at the defendant's premises, "which activated the sprinklers and caused vats of chromic acid to overflow and contaminate the Plaintiff's Business, causing the Plaintiff to incur loss, damage and expense".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claim is pleaded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nuisance.</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Affinity Manufacturing Ltd. &amp; Bread of Life Church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two plaintiffs in this action name Precision Plating as defendant, both as a company and as a general partnership.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These plaintiffs plead that a fire occurred, and: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a result of the fire and the operation of the sprinkler system, highly toxic barrels of chromic and sulfuric acid or other chemicals overflowed, seeped out of the Precision Plating Premises and contaminated neighbouring premises [including those of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These plaintiffs further allege that the chemicals that escaped from the Precision Plating premises were dangerous substances. They claim for repairs, damage to contents and business interruption.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The claim is pleaded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nuisance and the principle in </w:t>
      </w:r>
      <w:r>
        <w:rPr>
          <w:rFonts w:ascii="arial" w:eastAsia="arial" w:hAnsi="arial" w:cs="arial"/>
          <w:i/>
          <w:color w:val="000000"/>
          <w:sz w:val="20"/>
          <w:lang w:val="en-US" w:eastAsia="en-US" w:bidi="ar-SA"/>
        </w:rPr>
        <w:t>Rylands v. Fletcher</w:t>
      </w:r>
      <w:r>
        <w:rPr>
          <w:rFonts w:ascii="arial" w:eastAsia="arial" w:hAnsi="arial" w:cs="arial"/>
          <w:color w:val="000000"/>
          <w:sz w:val="20"/>
          <w:lang w:val="en-US" w:eastAsia="en-US" w:bidi="ar-SA"/>
        </w:rPr>
        <w:t>, L.R. 3 H.L. 330.</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C.M. &amp; Sons Electrical Inc.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This plaintiff names Precision Plating and the Stankovic brothers as defendants, among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This notice of civil claim pleads that a fire occurred and: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Following the fire, a spill of hazardous chemicals, including chromic acid, occurred at [Precision Plating's property]. Water released by the sprinkler system caused hazardous chemicals to be spread beyond [Precision's property] into adjoining areas, including into the Plaintiff's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The plaintiff claims damages for the various repairs that had to be carried out. This claim is pleaded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Analysis</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(a)</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The Burden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As noted in </w:t>
      </w:r>
      <w:r>
        <w:rPr>
          <w:rFonts w:ascii="arial" w:eastAsia="arial" w:hAnsi="arial" w:cs="arial"/>
          <w:i/>
          <w:color w:val="000000"/>
          <w:sz w:val="20"/>
          <w:lang w:val="en-US" w:eastAsia="en-US" w:bidi="ar-SA"/>
        </w:rPr>
        <w:t>Continental Insurance Co. v. Dalton Cartage Co.,</w:t>
      </w:r>
      <w:r>
        <w:rPr>
          <w:rFonts w:ascii="arial" w:eastAsia="arial" w:hAnsi="arial" w:cs="arial"/>
          <w:color w:val="000000"/>
          <w:sz w:val="20"/>
          <w:lang w:val="en-US" w:eastAsia="en-US" w:bidi="ar-SA"/>
        </w:rPr>
        <w:t xml:space="preserve"> </w:t>
      </w:r>
      <w:hyperlink r:id="rId827" w:history="1">
        <w:r>
          <w:rPr>
            <w:rFonts w:ascii="arial" w:eastAsia="arial" w:hAnsi="arial" w:cs="arial"/>
            <w:i/>
            <w:color w:val="0077CC"/>
            <w:sz w:val="20"/>
            <w:u w:val="single"/>
            <w:shd w:val="clear" w:color="auto" w:fill="FFFFFF"/>
            <w:lang w:val="en-US" w:eastAsia="en-US" w:bidi="ar-SA"/>
          </w:rPr>
          <w:t>[1982] 1 S.C.R. 164</w:t>
        </w:r>
      </w:hyperlink>
      <w:r>
        <w:rPr>
          <w:rFonts w:ascii="arial" w:eastAsia="arial" w:hAnsi="arial" w:cs="arial"/>
          <w:color w:val="000000"/>
          <w:sz w:val="20"/>
          <w:lang w:val="en-US" w:eastAsia="en-US" w:bidi="ar-SA"/>
        </w:rPr>
        <w:t xml:space="preserve"> at 167-168: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long standing line of authorities require an insurer, seeking solace in an exclusion from otherwise unlimited liability, to show that the exclusion applies.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burden is therefore on the Insurer in this case to show that the pollution exclusion applies.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(b)</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The Interpretation of Pollution Exclusions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Zurich Insurance Co. v. 686234 Ontario Limited</w:t>
      </w:r>
      <w:r>
        <w:rPr>
          <w:rFonts w:ascii="arial" w:eastAsia="arial" w:hAnsi="arial" w:cs="arial"/>
          <w:color w:val="000000"/>
          <w:sz w:val="20"/>
          <w:lang w:val="en-US" w:eastAsia="en-US" w:bidi="ar-SA"/>
        </w:rPr>
        <w:t xml:space="preserve"> </w:t>
      </w:r>
      <w:hyperlink r:id="rId828" w:history="1">
        <w:r>
          <w:rPr>
            <w:rFonts w:ascii="arial" w:eastAsia="arial" w:hAnsi="arial" w:cs="arial"/>
            <w:i/>
            <w:color w:val="0077CC"/>
            <w:sz w:val="20"/>
            <w:u w:val="single"/>
            <w:shd w:val="clear" w:color="auto" w:fill="FFFFFF"/>
            <w:lang w:val="en-US" w:eastAsia="en-US" w:bidi="ar-SA"/>
          </w:rPr>
          <w:t>(2002), 222 D.L.R. (4th) 655</w:t>
        </w:r>
      </w:hyperlink>
      <w:r>
        <w:rPr>
          <w:rFonts w:ascii="arial" w:eastAsia="arial" w:hAnsi="arial" w:cs="arial"/>
          <w:color w:val="000000"/>
          <w:sz w:val="20"/>
          <w:lang w:val="en-US" w:eastAsia="en-US" w:bidi="ar-SA"/>
        </w:rPr>
        <w:t xml:space="preserve"> (Ont. C.A.) (leave to appeal to SCC dismissed) [</w:t>
      </w:r>
      <w:r>
        <w:rPr>
          <w:rFonts w:ascii="arial" w:eastAsia="arial" w:hAnsi="arial" w:cs="arial"/>
          <w:i/>
          <w:color w:val="000000"/>
          <w:sz w:val="20"/>
          <w:lang w:val="en-US" w:eastAsia="en-US" w:bidi="ar-SA"/>
        </w:rPr>
        <w:t>Zurich</w:t>
      </w:r>
      <w:r>
        <w:rPr>
          <w:rFonts w:ascii="arial" w:eastAsia="arial" w:hAnsi="arial" w:cs="arial"/>
          <w:color w:val="000000"/>
          <w:sz w:val="20"/>
          <w:lang w:val="en-US" w:eastAsia="en-US" w:bidi="ar-SA"/>
        </w:rPr>
        <w:t xml:space="preserve"> ], has been described as the leading case on pollution exclusion clauses. </w:t>
      </w:r>
      <w:r>
        <w:rPr>
          <w:rFonts w:ascii="arial" w:eastAsia="arial" w:hAnsi="arial" w:cs="arial"/>
          <w:i/>
          <w:color w:val="000000"/>
          <w:sz w:val="20"/>
          <w:lang w:val="en-US" w:eastAsia="en-US" w:bidi="ar-SA"/>
        </w:rPr>
        <w:t>Zurich</w:t>
      </w:r>
      <w:r>
        <w:rPr>
          <w:rFonts w:ascii="arial" w:eastAsia="arial" w:hAnsi="arial" w:cs="arial"/>
          <w:color w:val="000000"/>
          <w:sz w:val="20"/>
          <w:lang w:val="en-US" w:eastAsia="en-US" w:bidi="ar-SA"/>
        </w:rPr>
        <w:t xml:space="preserve"> involved defence coverage for proposed class actions where third party plaintiffs alleged they had been injured from carbon monoxide that leaked from a furnace in an apartment building owned by the insured.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Ontario Court of Appeal reviewed the history of pollution exclusions in both Canada and the United States. The Court noted that the so-called absolute pollution exclusion, now commonly used in CGL policies, was introduced in Canada only in 1985. The Court said (at para. 13):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As Professor Stempel points out at p. 5: "All observers agree that the new exclusion was drafted to replace the 1973 'sudden and accidental' exclusion because insurers were distressed by judicial decisions holding that the 1973 exclusion did not preclude coverage for gradual but unintentional pollution." The absolute exclusion, therefore, was intended to preclude coverage for the cost of government-mandated environmental cleanup under existing and emerging legislation making polluters responsible for damage to the natural environment. Thus, as a practical matter, the absolute pollution exclusion, free of the "sudden and accidental" language, appeared to solve the insurance industry's problem in the industrial pollution context.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Court concluded that it was proper to look to American decisions for guidance in the area. It noted two lines of cases: (1) those adopting a literal construction of the exclusion, finding that it bars claims arising from common business hazards such as carbon monoxide poisoning, claims that are not normally viewed as pollution; and (2) another line of authorities applying various interpretive approaches, including finding ambiguity in the exclusion, considering the history of the exclusion clause and its environmental context, the purpose of the CGL policy, and the objectively reasonable expectations of the parties. The Court found the second line of American cases to be more persuasive, stating: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[37] I find the second line of American cases to be more persuasive than the line of cases that has literally interpreted the exclusion. In my view, in construing contracts of insurance, dictionary literalism is often a poor substitute for connotative contextual construction. When the full panoply of insurance contract construction tools is brought to bear on the pollution exclusion, defective maintenance of a furnace giving rise to carbon monoxide poisoning, like related business torts such as temporarily strong odours produced by floor resurfacing or painting, fail the common sense test for determining what is "pollution". These represent claims long covered by CGL insurance policies. To apply an exclusion intended to bar coverage for claims arising from environmental pollution to carbon monoxide poisoning from a faulty furnace, is to deny the history of the exclusion, the purpose of CGL insurance, and the reasonable expectations of policyholders in acquiring the insurance.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[38] There is nothing in this case to suggest that the respondent's regular business activities place it in the category of an active industrial polluter of the natural environment. Put simply, the respondent did not discharge or release carbon monoxide from its furnace as a manufacturer discharges effluent, overheated water, spent fuel and the like into the natural environment. It was discharged or released as a result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alleged in the underlying claims, which remains to be proved. As I have pointed out, the history of the exclusion demonstrates that it would produce an unfair and unintended result to conclude, in the context of a CGL policy, that defective machinery maintenance constitutes "pollution", even when it gives rise to carbon monoxide poisoning. In this regard, it is necessary to understand that the exclusion focuses on the act of pollution, rather than the resulting personal injury or property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In coming to that conclusion, the court quoted the following passage from </w:t>
      </w:r>
      <w:r>
        <w:rPr>
          <w:rFonts w:ascii="arial" w:eastAsia="arial" w:hAnsi="arial" w:cs="arial"/>
          <w:i/>
          <w:color w:val="000000"/>
          <w:sz w:val="20"/>
          <w:lang w:val="en-US" w:eastAsia="en-US" w:bidi="ar-SA"/>
        </w:rPr>
        <w:t>Consolidated-Bathurst Export Ltd. v. Mutual Boiler and Machinery Insurance Co.</w:t>
      </w:r>
      <w:r>
        <w:rPr>
          <w:rFonts w:ascii="arial" w:eastAsia="arial" w:hAnsi="arial" w:cs="arial"/>
          <w:color w:val="000000"/>
          <w:sz w:val="20"/>
          <w:lang w:val="en-US" w:eastAsia="en-US" w:bidi="ar-SA"/>
        </w:rPr>
        <w:t xml:space="preserve">, </w:t>
      </w:r>
      <w:hyperlink r:id="rId826" w:history="1">
        <w:r>
          <w:rPr>
            <w:rFonts w:ascii="arial" w:eastAsia="arial" w:hAnsi="arial" w:cs="arial"/>
            <w:i/>
            <w:color w:val="0077CC"/>
            <w:sz w:val="20"/>
            <w:u w:val="single"/>
            <w:shd w:val="clear" w:color="auto" w:fill="FFFFFF"/>
            <w:lang w:val="en-US" w:eastAsia="en-US" w:bidi="ar-SA"/>
          </w:rPr>
          <w:t>[1980] 1 S.C.R. 888</w:t>
        </w:r>
      </w:hyperlink>
      <w:r>
        <w:rPr>
          <w:rFonts w:ascii="arial" w:eastAsia="arial" w:hAnsi="arial" w:cs="arial"/>
          <w:color w:val="000000"/>
          <w:sz w:val="20"/>
          <w:lang w:val="en-US" w:eastAsia="en-US" w:bidi="ar-SA"/>
        </w:rPr>
        <w:t xml:space="preserve"> at 901: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Even apart from the doctrine of contra proferentem as it may be applied in the construction of contracts, the normal rules of construction lead a court to search for an interpretation which, from the whole of the contract, would appear to promote or advance the true intent of the parties at the time of entry into the contract. Consequently, literal meaning should not be applied where to do so would bring about an unrealistic result or a result which would not be contemplated in the commercial atmosphere in which the insurance was contracted. Where words may bear two constructions, the more reasonable one, that which produces a fair result, must certainly be taken as the interpretation which would promote the intention of the parties. Similarly, an interpretation which defeats the intentions of the parties and their objective in entering into the commercial transaction in the first place should be discarded in favour of an interpretation of the policy which promotes a sensible commercial result. It is trite to observe that an interpretation of an ambiguous contractual provision which would render the endeavour on the part of the insured to obtain insurance protection nugatory, should be avoided. Said another way, the courts should be loath to support a construction which would either enable the insurer to pocket the premium without risk or the insured to achieve a recovery which could neither be sensibly sought nor anticipated at the time of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Zurich</w:t>
      </w:r>
      <w:r>
        <w:rPr>
          <w:rFonts w:ascii="arial" w:eastAsia="arial" w:hAnsi="arial" w:cs="arial"/>
          <w:color w:val="000000"/>
          <w:sz w:val="20"/>
          <w:lang w:val="en-US" w:eastAsia="en-US" w:bidi="ar-SA"/>
        </w:rPr>
        <w:t xml:space="preserve"> was considered in </w:t>
      </w:r>
      <w:r>
        <w:rPr>
          <w:rFonts w:ascii="arial" w:eastAsia="arial" w:hAnsi="arial" w:cs="arial"/>
          <w:i/>
          <w:color w:val="000000"/>
          <w:sz w:val="20"/>
          <w:lang w:val="en-US" w:eastAsia="en-US" w:bidi="ar-SA"/>
        </w:rPr>
        <w:t>Corbould v. BCAA Insurance Corporation</w:t>
      </w:r>
      <w:r>
        <w:rPr>
          <w:rFonts w:ascii="arial" w:eastAsia="arial" w:hAnsi="arial" w:cs="arial"/>
          <w:color w:val="000000"/>
          <w:sz w:val="20"/>
          <w:lang w:val="en-US" w:eastAsia="en-US" w:bidi="ar-SA"/>
        </w:rPr>
        <w:t xml:space="preserve">, </w:t>
      </w:r>
      <w:hyperlink r:id="rId829" w:history="1">
        <w:r>
          <w:rPr>
            <w:rFonts w:ascii="arial" w:eastAsia="arial" w:hAnsi="arial" w:cs="arial"/>
            <w:i/>
            <w:color w:val="0077CC"/>
            <w:sz w:val="20"/>
            <w:u w:val="single"/>
            <w:shd w:val="clear" w:color="auto" w:fill="FFFFFF"/>
            <w:lang w:val="en-US" w:eastAsia="en-US" w:bidi="ar-SA"/>
          </w:rPr>
          <w:t>2010 BCSC 1536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Corbould</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Corbould</w:t>
      </w:r>
      <w:r>
        <w:rPr>
          <w:rFonts w:ascii="arial" w:eastAsia="arial" w:hAnsi="arial" w:cs="arial"/>
          <w:color w:val="000000"/>
          <w:sz w:val="20"/>
          <w:lang w:val="en-US" w:eastAsia="en-US" w:bidi="ar-SA"/>
        </w:rPr>
        <w:t xml:space="preserve"> an insured sought a declaration of coverage for damage and remediation costs he incurred when an above-ground fuel storage tank leaked and dispersed the fuel oil into the soil surrounding his vacation home. The case did </w:t>
      </w:r>
      <w:r>
        <w:rPr>
          <w:rFonts w:ascii="arial" w:eastAsia="arial" w:hAnsi="arial" w:cs="arial"/>
          <w:color w:val="000000"/>
          <w:sz w:val="20"/>
          <w:u w:val="single"/>
          <w:lang w:val="en-US" w:eastAsia="en-US" w:bidi="ar-SA"/>
        </w:rPr>
        <w:t>not</w:t>
      </w:r>
      <w:r>
        <w:rPr>
          <w:rFonts w:ascii="arial" w:eastAsia="arial" w:hAnsi="arial" w:cs="arial"/>
          <w:color w:val="000000"/>
          <w:sz w:val="20"/>
          <w:lang w:val="en-US" w:eastAsia="en-US" w:bidi="ar-SA"/>
        </w:rPr>
        <w:t xml:space="preserve"> involve coverage for claims brought by third parties and Sigurdson J. noted that while the essential principles of insurance contract interpretation would be applicable to both first-party claims and those involving a duty to defend third party claims, caution should be exercised in considering duty to defend cases in a case involving a first-party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Sigurdson J. reviewed numerous cases where coverage was either affirmed or excluded under pollution liability exclusion clauses. He considered the "reasonable expectations" argument of the insured, but concluded that resort to that interpretive device was only appropriate where there was an ambiguity. He determined there was no ambiguity in that case. He distinguished </w:t>
      </w:r>
      <w:r>
        <w:rPr>
          <w:rFonts w:ascii="arial" w:eastAsia="arial" w:hAnsi="arial" w:cs="arial"/>
          <w:i/>
          <w:color w:val="000000"/>
          <w:sz w:val="20"/>
          <w:lang w:val="en-US" w:eastAsia="en-US" w:bidi="ar-SA"/>
        </w:rPr>
        <w:t>Zurich</w:t>
      </w:r>
      <w:r>
        <w:rPr>
          <w:rFonts w:ascii="arial" w:eastAsia="arial" w:hAnsi="arial" w:cs="arial"/>
          <w:color w:val="000000"/>
          <w:sz w:val="20"/>
          <w:lang w:val="en-US" w:eastAsia="en-US" w:bidi="ar-SA"/>
        </w:rPr>
        <w:t xml:space="preserve"> on the basis that the Court in that case found an ambiguity.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[95] I do not see in the language or the surrounding circumstances an ambiguity in the insurance coverage as it relates to this particular incident. ... I am also unable to find an ambiguity like that found in </w:t>
      </w:r>
      <w:r>
        <w:rPr>
          <w:rFonts w:ascii="arial" w:eastAsia="arial" w:hAnsi="arial" w:cs="arial"/>
          <w:i/>
          <w:color w:val="000000"/>
          <w:sz w:val="20"/>
          <w:lang w:val="en-US" w:eastAsia="en-US" w:bidi="ar-SA"/>
        </w:rPr>
        <w:t>Zurich</w:t>
      </w:r>
      <w:r>
        <w:rPr>
          <w:rFonts w:ascii="arial" w:eastAsia="arial" w:hAnsi="arial" w:cs="arial"/>
          <w:color w:val="000000"/>
          <w:sz w:val="20"/>
          <w:lang w:val="en-US" w:eastAsia="en-US" w:bidi="ar-SA"/>
        </w:rPr>
        <w:t xml:space="preserve"> where the court found it to be ambiguous because the exclusion there focused on the act of pollution rather than the resulting personal injury or property damage and because the historical context of the exclusion suggests that its purpose was to bar coverage for environmental pollution, not a faulty furnace that resulted in a leak of carbon monoxide.</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(c)</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Is There an Ambiguity?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Insurer says that claims for damage caused by fire are covered, but pollution is not. However, from a literal reading of the pollution exclusion it is not at all apparent that fire is, in fact, covered. "Pollution" is defined very widely in the exclusion: it includes smoke, soot, or any liquid or thermal "irritant or contaminant". Literally construed, smoke damage from a fire would be excluded, as would water damage ("liquid...contaminant"), or soot or heat ("thermal") damage. These things are part and parcel of most fires.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Counsel for the Insurer informed the Court that the insurer would not take this position if fire damage (in its narrow sense) were at issue. Instead, he submitted, what was at issue was environmental damage. In this regard, he relied on a statement in Mico Stankovic's affidavit that firefighters told him the sprinklers continued to run after the fire was extinguished, and it was water from the sprinklers that caused the vats to overflow. I will return to this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While the assurance about the Insurer's position is fine so far as it goes, it also means that the defence and indemnity of an insured in a case involving a fire may depend on the Insurer relenting from the application of the literal meaning of the pollution exclusion. This raises an ambiguity in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To put it another way, it is open to the Insurer to rely on the literal meaning of the exclusion to deny coverage for damage caused by things almost inevitably associated with fires, one of the very perils an insured would expect to be covered.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This is not an idle concern. In the action brought by Golden Trading Ltd. the plaintiff alleges that, among other things, a fire and chemical spill occurred, "causing the release of smoke, chemical fumes and other poisonous and noxious materials". The plaintiff does not distinguish between the release of things (including smoke) caused directly by the fire and those caused less directly by the fire, that is, by reason of the fire-activated sprinklers releasing water and causing vats to overflow.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As noted earlier, counsel for the Insurer relied on firefighters' statements (as reported by Mico Stankovic) that the sprinklers continued to operate after the fire was extinguished, to argue that the underlying cause was not a fire but instead was the escape of pollutants. There are two problems with this: (1) the information is hearsay and is inadmissible because this is a summary trial application where the normal trial rules of evidence apply; and (2) the authorities are clear that the question of coverage for the defence of third party claims is to be determined from the pleadings. This is not the time to make factual determinations about the underlying event that gives rise to the lawsuits.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pleadings of the third party claimants do not separate the fire from the resulting events. All of the actions plead that a fire occurred and that damage occurred after or as a result of the fire. For that reason I conclude it is incorrect to view the escape of smoke, fumes, chemicals and other substances as an event separate from the fire, as submitted by the Insurer. Reading the third party claims as they have been pleaded I conclude that they are at least in part claims for damage caused by a fire.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Given that the Insurer concedes that fire damage would be covered (despite the apparently overbroad wording of the pollution exclusion), this conclusion could and perhaps should be the end of the analysis. However, the Insurer argues that even if it is determined that the third parties' lawsuits are for damage caused by fire, the wording of the pollution exclusion still operates to exclude coverage. The Insurer does not explain how this reconciles with its assurance that if this were ordinary fire damage then coverage would be conceded. Take, for example, the Golden Trading Ltd. claim. Looking at it at its very narrowest, it pleads that "a fire ... [caused] the release of smoke", as many fires do. The Insurer says it would respond if the third party claims were for ordinary fire damage, yet does not in this case despite the pleadings that raise that very sort of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This serves to illustrate the difficulties that are associated with the Insurer's elastic approach to the pollution exclusion.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For the reasons expressed earlier I conclude that there is ambiguity in the coverage in this case, not perhaps in the wording of the exclusion so much as in its application in the circumstances.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(d)</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Consequences of Ambiguity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An excerpt from the earlier-quoted passage from </w:t>
      </w:r>
      <w:r>
        <w:rPr>
          <w:rFonts w:ascii="arial" w:eastAsia="arial" w:hAnsi="arial" w:cs="arial"/>
          <w:i/>
          <w:color w:val="000000"/>
          <w:sz w:val="20"/>
          <w:lang w:val="en-US" w:eastAsia="en-US" w:bidi="ar-SA"/>
        </w:rPr>
        <w:t>Consolidated-Bathurst</w:t>
      </w:r>
      <w:r>
        <w:rPr>
          <w:rFonts w:ascii="arial" w:eastAsia="arial" w:hAnsi="arial" w:cs="arial"/>
          <w:color w:val="000000"/>
          <w:sz w:val="20"/>
          <w:lang w:val="en-US" w:eastAsia="en-US" w:bidi="ar-SA"/>
        </w:rPr>
        <w:t xml:space="preserve"> bears repeating: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It is trite to observe that an interpretation of an ambiguous contractual provision which would render the endeavour on the part of the insured to obtain insurance protection nugatory, should be avoided. Said another way, the courts should be loath to support a construction which would either enable the insurer to pocket the premium without risk or the insured to achieve a recovery which could neither be sensibly sought nor anticipated at the time of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Reid Crowther &amp; Partners Ltd. v. Simcoe &amp; Erie General Insurance Co.</w:t>
      </w:r>
      <w:r>
        <w:rPr>
          <w:rFonts w:ascii="arial" w:eastAsia="arial" w:hAnsi="arial" w:cs="arial"/>
          <w:color w:val="000000"/>
          <w:sz w:val="20"/>
          <w:lang w:val="en-US" w:eastAsia="en-US" w:bidi="ar-SA"/>
        </w:rPr>
        <w:t xml:space="preserve">, </w:t>
      </w:r>
      <w:hyperlink r:id="rId830" w:history="1">
        <w:r>
          <w:rPr>
            <w:rFonts w:ascii="arial" w:eastAsia="arial" w:hAnsi="arial" w:cs="arial"/>
            <w:i/>
            <w:color w:val="0077CC"/>
            <w:sz w:val="20"/>
            <w:u w:val="single"/>
            <w:shd w:val="clear" w:color="auto" w:fill="FFFFFF"/>
            <w:lang w:val="en-US" w:eastAsia="en-US" w:bidi="ar-SA"/>
          </w:rPr>
          <w:t>[1993] 1 S.C.R. 252</w:t>
        </w:r>
      </w:hyperlink>
      <w:r>
        <w:rPr>
          <w:rFonts w:ascii="arial" w:eastAsia="arial" w:hAnsi="arial" w:cs="arial"/>
          <w:color w:val="000000"/>
          <w:sz w:val="20"/>
          <w:lang w:val="en-US" w:eastAsia="en-US" w:bidi="ar-SA"/>
        </w:rPr>
        <w:t xml:space="preserve"> at 271,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turn to the third relevant principle of construction, the reasonable expectations of the parties. Without pronouncing on the reach of this doctrine, it is settled that where the policy is ambiguous, the courts should consider the reasonable expectations of the parties: </w:t>
      </w:r>
      <w:r>
        <w:rPr>
          <w:rFonts w:ascii="arial" w:eastAsia="arial" w:hAnsi="arial" w:cs="arial"/>
          <w:i/>
          <w:color w:val="000000"/>
          <w:sz w:val="20"/>
          <w:lang w:val="en-US" w:eastAsia="en-US" w:bidi="ar-SA"/>
        </w:rPr>
        <w:t>Wigle v. Allstate Insurance Co. of Canada</w:t>
      </w:r>
      <w:r>
        <w:rPr>
          <w:rFonts w:ascii="arial" w:eastAsia="arial" w:hAnsi="arial" w:cs="arial"/>
          <w:color w:val="000000"/>
          <w:sz w:val="20"/>
          <w:lang w:val="en-US" w:eastAsia="en-US" w:bidi="ar-SA"/>
        </w:rPr>
        <w:t xml:space="preserve">, </w:t>
      </w:r>
      <w:hyperlink r:id="rId831" w:history="1">
        <w:r>
          <w:rPr>
            <w:rFonts w:ascii="arial" w:eastAsia="arial" w:hAnsi="arial" w:cs="arial"/>
            <w:i/>
            <w:color w:val="0077CC"/>
            <w:sz w:val="20"/>
            <w:u w:val="single"/>
            <w:shd w:val="clear" w:color="auto" w:fill="FFFFFF"/>
            <w:lang w:val="en-US" w:eastAsia="en-US" w:bidi="ar-SA"/>
          </w:rPr>
          <w:t>(1984), 49 O.R. (2d) 101</w:t>
        </w:r>
      </w:hyperlink>
      <w:r>
        <w:rPr>
          <w:rFonts w:ascii="arial" w:eastAsia="arial" w:hAnsi="arial" w:cs="arial"/>
          <w:color w:val="000000"/>
          <w:sz w:val="20"/>
          <w:lang w:val="en-US" w:eastAsia="en-US" w:bidi="ar-SA"/>
        </w:rPr>
        <w:t xml:space="preserve"> (C.A.), leave to appeal to S.C.C. refused, </w:t>
      </w:r>
      <w:hyperlink r:id="rId832" w:history="1">
        <w:r>
          <w:rPr>
            <w:rFonts w:ascii="arial" w:eastAsia="arial" w:hAnsi="arial" w:cs="arial"/>
            <w:i/>
            <w:color w:val="0077CC"/>
            <w:sz w:val="20"/>
            <w:u w:val="single"/>
            <w:shd w:val="clear" w:color="auto" w:fill="FFFFFF"/>
            <w:lang w:val="en-US" w:eastAsia="en-US" w:bidi="ar-SA"/>
          </w:rPr>
          <w:t>[1985] 1 S.C.R. v</w:t>
        </w:r>
      </w:hyperlink>
      <w:r>
        <w:rPr>
          <w:rFonts w:ascii="arial" w:eastAsia="arial" w:hAnsi="arial" w:cs="arial"/>
          <w:color w:val="000000"/>
          <w:sz w:val="20"/>
          <w:lang w:val="en-US" w:eastAsia="en-US" w:bidi="ar-SA"/>
        </w:rPr>
        <w:t>. The insured's reasonable expectation is, at a minimum, that the insurance plan will provide coverage for legitimate claims on an ongoing basis. The presumption must be that the intention of the parties is to provide and obtain coverage for all legitimate claims on an ongoing basis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Weston Ornamental Iron Works Ltd. v. Continental Insurance Co.</w:t>
      </w:r>
      <w:r>
        <w:rPr>
          <w:rFonts w:ascii="arial" w:eastAsia="arial" w:hAnsi="arial" w:cs="arial"/>
          <w:color w:val="000000"/>
          <w:sz w:val="20"/>
          <w:lang w:val="en-US" w:eastAsia="en-US" w:bidi="ar-SA"/>
        </w:rPr>
        <w:t xml:space="preserve">, </w:t>
      </w:r>
      <w:hyperlink r:id="rId819" w:history="1">
        <w:r>
          <w:rPr>
            <w:rFonts w:ascii="arial" w:eastAsia="arial" w:hAnsi="arial" w:cs="arial"/>
            <w:i/>
            <w:color w:val="0077CC"/>
            <w:sz w:val="20"/>
            <w:u w:val="single"/>
            <w:shd w:val="clear" w:color="auto" w:fill="FFFFFF"/>
            <w:lang w:val="en-US" w:eastAsia="en-US" w:bidi="ar-SA"/>
          </w:rPr>
          <w:t>[1981] O.J. No. 78</w:t>
        </w:r>
      </w:hyperlink>
      <w:r>
        <w:rPr>
          <w:rFonts w:ascii="arial" w:eastAsia="arial" w:hAnsi="arial" w:cs="arial"/>
          <w:color w:val="000000"/>
          <w:sz w:val="20"/>
          <w:lang w:val="en-US" w:eastAsia="en-US" w:bidi="ar-SA"/>
        </w:rPr>
        <w:t xml:space="preserve"> (Ont. C.A.) [</w:t>
      </w:r>
      <w:r>
        <w:rPr>
          <w:rFonts w:ascii="arial" w:eastAsia="arial" w:hAnsi="arial" w:cs="arial"/>
          <w:i/>
          <w:color w:val="000000"/>
          <w:sz w:val="20"/>
          <w:lang w:val="en-US" w:eastAsia="en-US" w:bidi="ar-SA"/>
        </w:rPr>
        <w:t>Weston Ornamental</w:t>
      </w:r>
      <w:r>
        <w:rPr>
          <w:rFonts w:ascii="arial" w:eastAsia="arial" w:hAnsi="arial" w:cs="arial"/>
          <w:color w:val="000000"/>
          <w:sz w:val="20"/>
          <w:lang w:val="en-US" w:eastAsia="en-US" w:bidi="ar-SA"/>
        </w:rPr>
        <w:t>],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[16] ... The exclusion clause should not be interpreted in a way which is repugnant to or inconsistent with the main purpose of the insurance coverage but so as to give effect to it. Thus, even if the exemption clause were found to be clear and unambiguous it should not be enforced by the courts when the result would be to defeat the main object of the contract or virtually nullify the coverage sought for protection from anticipated risks.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This statement was endorsed by the same Court in </w:t>
      </w:r>
      <w:r>
        <w:rPr>
          <w:rFonts w:ascii="arial" w:eastAsia="arial" w:hAnsi="arial" w:cs="arial"/>
          <w:i/>
          <w:color w:val="000000"/>
          <w:sz w:val="20"/>
          <w:lang w:val="en-US" w:eastAsia="en-US" w:bidi="ar-SA"/>
        </w:rPr>
        <w:t>Zurich</w:t>
      </w:r>
      <w:r>
        <w:rPr>
          <w:rFonts w:ascii="arial" w:eastAsia="arial" w:hAnsi="arial" w:cs="arial"/>
          <w:color w:val="000000"/>
          <w:sz w:val="20"/>
          <w:lang w:val="en-US" w:eastAsia="en-US" w:bidi="ar-SA"/>
        </w:rPr>
        <w:t xml:space="preserv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[28] From </w:t>
      </w:r>
      <w:r>
        <w:rPr>
          <w:rFonts w:ascii="arial" w:eastAsia="arial" w:hAnsi="arial" w:cs="arial"/>
          <w:i/>
          <w:color w:val="000000"/>
          <w:sz w:val="20"/>
          <w:lang w:val="en-US" w:eastAsia="en-US" w:bidi="ar-SA"/>
        </w:rPr>
        <w:t>Weston Ornamental Iron Works</w:t>
      </w:r>
      <w:r>
        <w:rPr>
          <w:rFonts w:ascii="arial" w:eastAsia="arial" w:hAnsi="arial" w:cs="arial"/>
          <w:color w:val="000000"/>
          <w:sz w:val="20"/>
          <w:lang w:val="en-US" w:eastAsia="en-US" w:bidi="ar-SA"/>
        </w:rPr>
        <w:t xml:space="preserve"> it is clear that this court has concluded that even though an exclusion clause may be clear and unambiguous, it will not be applied where: (1) it is inconsistent with the main purpose of the insurance coverage and where the result would be to virtually nullify the coverage provided by the policy; and (2) where to apply it would be contrary to the reasonable expectations of the ordinary person as to the coverage purchased.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I digress to address one point. Sigurdson J. in </w:t>
      </w:r>
      <w:r>
        <w:rPr>
          <w:rFonts w:ascii="arial" w:eastAsia="arial" w:hAnsi="arial" w:cs="arial"/>
          <w:i/>
          <w:color w:val="000000"/>
          <w:sz w:val="20"/>
          <w:lang w:val="en-US" w:eastAsia="en-US" w:bidi="ar-SA"/>
        </w:rPr>
        <w:t>Corbould</w:t>
      </w:r>
      <w:r>
        <w:rPr>
          <w:rFonts w:ascii="arial" w:eastAsia="arial" w:hAnsi="arial" w:cs="arial"/>
          <w:color w:val="000000"/>
          <w:sz w:val="20"/>
          <w:lang w:val="en-US" w:eastAsia="en-US" w:bidi="ar-SA"/>
        </w:rPr>
        <w:t xml:space="preserve"> observed (at paras. 101 and 102) that the comments of the Ontario Court of Appeal in both </w:t>
      </w:r>
      <w:r>
        <w:rPr>
          <w:rFonts w:ascii="arial" w:eastAsia="arial" w:hAnsi="arial" w:cs="arial"/>
          <w:i/>
          <w:color w:val="000000"/>
          <w:sz w:val="20"/>
          <w:lang w:val="en-US" w:eastAsia="en-US" w:bidi="ar-SA"/>
        </w:rPr>
        <w:t>Weston Ornamental</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Zurich</w:t>
      </w:r>
      <w:r>
        <w:rPr>
          <w:rFonts w:ascii="arial" w:eastAsia="arial" w:hAnsi="arial" w:cs="arial"/>
          <w:color w:val="000000"/>
          <w:sz w:val="20"/>
          <w:lang w:val="en-US" w:eastAsia="en-US" w:bidi="ar-SA"/>
        </w:rPr>
        <w:t xml:space="preserve">, to the effect that remedial measures may be invoked even where the exclusion is unambiguous, are </w:t>
      </w:r>
      <w:r>
        <w:rPr>
          <w:rFonts w:ascii="arial" w:eastAsia="arial" w:hAnsi="arial" w:cs="arial"/>
          <w:i/>
          <w:color w:val="000000"/>
          <w:sz w:val="20"/>
          <w:lang w:val="en-US" w:eastAsia="en-US" w:bidi="ar-SA"/>
        </w:rPr>
        <w:t>obiter dicta</w:t>
      </w:r>
      <w:r>
        <w:rPr>
          <w:rFonts w:ascii="arial" w:eastAsia="arial" w:hAnsi="arial" w:cs="arial"/>
          <w:color w:val="000000"/>
          <w:sz w:val="20"/>
          <w:lang w:val="en-US" w:eastAsia="en-US" w:bidi="ar-SA"/>
        </w:rPr>
        <w:t xml:space="preserve"> because in both cases the Court found the exclusions to be ambiguous. While I agree with that observation, since I have found ambiguity in the coverage in the case at bar the principles stated in those cases are directly applicable.</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(e)</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Application of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cases indicate that an exclusion will not be applied where to do so would nullify coverage provided by the policy and would be contrary to the reasonable expectations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Insurer submits that even with pollution coverage ousted by reason of the exclusion (whether or not caused by fire) there are still other liability risks covered by the Policy and so coverage is not nullified altogether. The Insureds submit that the literal reading of the exclusion nullifies most of the consequences of fire, thus largely negating fire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I was not favoured with authorities that directly address the extent to which coverage must be negated in order to cause the Court to intervene. All we have are examples. In </w:t>
      </w:r>
      <w:r>
        <w:rPr>
          <w:rFonts w:ascii="arial" w:eastAsia="arial" w:hAnsi="arial" w:cs="arial"/>
          <w:i/>
          <w:color w:val="000000"/>
          <w:sz w:val="20"/>
          <w:lang w:val="en-US" w:eastAsia="en-US" w:bidi="ar-SA"/>
        </w:rPr>
        <w:t>Weston Ornamental</w:t>
      </w:r>
      <w:r>
        <w:rPr>
          <w:rFonts w:ascii="arial" w:eastAsia="arial" w:hAnsi="arial" w:cs="arial"/>
          <w:color w:val="000000"/>
          <w:sz w:val="20"/>
          <w:lang w:val="en-US" w:eastAsia="en-US" w:bidi="ar-SA"/>
        </w:rPr>
        <w:t xml:space="preserve"> the Court spoke of "defeat[ing] the main object of the contract or virtually nullify[ing] the coverage sought", though in that case coverage clearly remained outside of the exclusion. There, the insured was a welding and repair shop. A bulldozer being repaired away from the shop was destroyed by fire, evidently caused by the work. The impugned exclusion related to work done away from the shop. The Ontario Court of Appeal held: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 ... In entering into what was described as a comprehensive general liability insuring agreement, it could not have been the intention of the parties to practically render nugatory the "away from shop" liability coverage for the most obviously inherent risk of the appellant's business.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It is plain that only part of the liability coverage was in issue in that case, though it was a significant part. All in-shop coverage remained.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Corbould</w:t>
      </w:r>
      <w:r>
        <w:rPr>
          <w:rFonts w:ascii="arial" w:eastAsia="arial" w:hAnsi="arial" w:cs="arial"/>
          <w:color w:val="000000"/>
          <w:sz w:val="20"/>
          <w:lang w:val="en-US" w:eastAsia="en-US" w:bidi="ar-SA"/>
        </w:rPr>
        <w:t xml:space="preserve">, Sigurdson J. held, </w:t>
      </w:r>
      <w:r>
        <w:rPr>
          <w:rFonts w:ascii="arial" w:eastAsia="arial" w:hAnsi="arial" w:cs="arial"/>
          <w:i/>
          <w:color w:val="000000"/>
          <w:sz w:val="20"/>
          <w:lang w:val="en-US" w:eastAsia="en-US" w:bidi="ar-SA"/>
        </w:rPr>
        <w:t>obiter</w:t>
      </w:r>
      <w:r>
        <w:rPr>
          <w:rFonts w:ascii="arial" w:eastAsia="arial" w:hAnsi="arial" w:cs="arial"/>
          <w:color w:val="000000"/>
          <w:sz w:val="20"/>
          <w:lang w:val="en-US" w:eastAsia="en-US" w:bidi="ar-SA"/>
        </w:rPr>
        <w:t>, that a denial of coverage in that case would not "virtually nullify" the insured's overall coverage and thus even if he had felt it open to him to apply the "reasonable expectations" doctrine, he would not have done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In the present case a literal application of the exclusion clause would bar coverage against third party claims arising out of many of the usual consequences of fires. While some other coverage remains, I conclude that the literal application of the exclusion clause largely eliminates or nullifies fire coverage, obviously an important peril. I see it as reasonably equivalent to the extent of coverage nullification at issue in </w:t>
      </w:r>
      <w:r>
        <w:rPr>
          <w:rFonts w:ascii="arial" w:eastAsia="arial" w:hAnsi="arial" w:cs="arial"/>
          <w:i/>
          <w:color w:val="000000"/>
          <w:sz w:val="20"/>
          <w:lang w:val="en-US" w:eastAsia="en-US" w:bidi="ar-SA"/>
        </w:rPr>
        <w:t>Weston Ornamental</w:t>
      </w:r>
      <w:r>
        <w:rPr>
          <w:rFonts w:ascii="arial" w:eastAsia="arial" w:hAnsi="arial" w:cs="arial"/>
          <w:color w:val="000000"/>
          <w:sz w:val="20"/>
          <w:lang w:val="en-US" w:eastAsia="en-US" w:bidi="ar-SA"/>
        </w:rPr>
        <w:t xml:space="preserve"> and conclude that it is sufficient to warrant a resort to the reasonable expectations doctrine.</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(f)</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Reasonable Expectations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What were the reasonable expectations of the parties in this case? In his affidavit Mico Stankovic said he expected coverage for loss caused by fire. The Insurer argues otherwise.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In its submissions on this point the Insurer points to the </w:t>
      </w:r>
      <w:r>
        <w:rPr>
          <w:rFonts w:ascii="arial" w:eastAsia="arial" w:hAnsi="arial" w:cs="arial"/>
          <w:color w:val="000000"/>
          <w:sz w:val="20"/>
          <w:u w:val="single"/>
          <w:lang w:val="en-US" w:eastAsia="en-US" w:bidi="ar-SA"/>
        </w:rPr>
        <w:t>original</w:t>
      </w:r>
      <w:r>
        <w:rPr>
          <w:rFonts w:ascii="arial" w:eastAsia="arial" w:hAnsi="arial" w:cs="arial"/>
          <w:color w:val="000000"/>
          <w:sz w:val="20"/>
          <w:lang w:val="en-US" w:eastAsia="en-US" w:bidi="ar-SA"/>
        </w:rPr>
        <w:t xml:space="preserve"> pollution exclusion (reproduced at para. 10, above), where an exception was made to the pollution exclusion for, among other things, property damage arising out of an "uncontrollable fire". That exception was deleted and the current exclusion inserted. The Insurer submits that this demonstrates an intentional change to the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This argument might have carried weight if it had been shown that this was a change carried out with the knowledge of, or on notice to, the Insureds, but there is no evidence to this effect. The affidavit evidence of Mr. Stankovic is simply that he asked for coverage through his broker, he was told coverage had been placed, and after the fire he obtained a full copy of the Policy. In short, the evidence does not show that a </w:t>
      </w:r>
      <w:r>
        <w:rPr>
          <w:rFonts w:ascii="arial" w:eastAsia="arial" w:hAnsi="arial" w:cs="arial"/>
          <w:color w:val="000000"/>
          <w:sz w:val="20"/>
          <w:u w:val="single"/>
          <w:lang w:val="en-US" w:eastAsia="en-US" w:bidi="ar-SA"/>
        </w:rPr>
        <w:t>change</w:t>
      </w:r>
      <w:r>
        <w:rPr>
          <w:rFonts w:ascii="arial" w:eastAsia="arial" w:hAnsi="arial" w:cs="arial"/>
          <w:color w:val="000000"/>
          <w:sz w:val="20"/>
          <w:lang w:val="en-US" w:eastAsia="en-US" w:bidi="ar-SA"/>
        </w:rPr>
        <w:t xml:space="preserve"> was made in the Insureds' coverage; it seems merely to be the way the Insurer chose to document coverage from the start.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I return to </w:t>
      </w:r>
      <w:r>
        <w:rPr>
          <w:rFonts w:ascii="arial" w:eastAsia="arial" w:hAnsi="arial" w:cs="arial"/>
          <w:i/>
          <w:color w:val="000000"/>
          <w:sz w:val="20"/>
          <w:lang w:val="en-US" w:eastAsia="en-US" w:bidi="ar-SA"/>
        </w:rPr>
        <w:t>Zurich</w:t>
      </w:r>
      <w:r>
        <w:rPr>
          <w:rFonts w:ascii="arial" w:eastAsia="arial" w:hAnsi="arial" w:cs="arial"/>
          <w:color w:val="000000"/>
          <w:sz w:val="20"/>
          <w:lang w:val="en-US" w:eastAsia="en-US" w:bidi="ar-SA"/>
        </w:rPr>
        <w:t xml:space="preserve"> to quote (and to some extent, repeat)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[37] ... In my view, in construing contracts of insurance, dictionary literalism is often a poor substitute for connotative contextual construction. When the full panoply of insurance contract construction tools is brought to bear on the pollution exclusion, defective maintenance of a furnace giving rise to carbon monoxide poisoning, like related business torts such as temporarily strong odours produced by floor resurfacing or painting, fail the common sense test for determining what is "pollution". These represent claims long covered by CGL insurance policies. To apply an exclusion intended to bar coverage for claims arising from environmental pollution to carbon monoxide poisoning from a faulty furnace, is to deny the history of the exclusion, the purpose of CGL insurance, and the reasonable expectations of policyholders in acquiring the insurance.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[38] There is nothing in this case to suggest that the respondent's regular business activities place it in the category of an active industrial polluter of the natural environment. Put simply, the respondent did not discharge or release carbon monoxide from its furnace as a manufacturer discharges effluent, overheated water, spent fuel and the like into the natural environment. It was discharged or released as a result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alleged in the underlying claims, which remains to be proved. As I have pointed out, the history of the exclusion demonstrates that it would produce an unfair and unintended result to conclude, in the context of a CGL policy, that defective machinery maintenance constitutes "pollution", even when it gives rise to carbon monoxide poisoning. In this regard, it is necessary to understand that the exclusion focuses on the act of pollution, rather than the resulting personal injury or property damage.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[39] Accepting for the purpose of my conclusion that carbon monoxide is a "pollutant" within the meaning of the exclusion, although it is arguably clear in its plain and ordinary meaning, the exclusion is overly broad and subject to more than one compelling interpretation, as is evident from its construction by American courts. Given that the exclusion is capable of more than one reasonable interpretation, it is ambiguous and should be interpreted in favour of the respondent. The historical context of the exclusion suggests that its purpose is to bar coverage for damages arising from environmental pollution, and not the circumstances of this case in which a faulty furnace resulted in a leak of carbon monoxide. Based on the coverage provided by a CGL policy, a reasonable policyholder would expect that the policy insured the very risk that occurred in this case. A reasonable policyholder would, therefore, have understood the clause to exclude coverage for damage caused by certain forms of industrial pollution, but not damages caused by the leakage of carbon monoxide from a faulty furnace. In my view, the policy provisions should be construed to give effect to the purpose for which the policy was acquired.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Adopting a similar approach and tracking the same language, I conclude:</w:t>
      </w:r>
      <w:r>
        <w:rPr>
          <w:rFonts w:ascii="arial" w:eastAsia="arial" w:hAnsi="arial" w:cs="arial"/>
          <w:sz w:val="20"/>
          <w:lang w:val="en-US" w:eastAsia="en-US" w:bidi="ar-SA"/>
        </w:rPr>
        <w:cr/>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pollution that is caused by a fire fails the common sense notion of "pollution" in its ordinary sense;</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apply an exclusion intended to bar coverage for claims arising from environmental pollution to the escape of substances caused by a fire, is to deny the history of the exclusion, the purpose of CGL insurance, and the reasonable expectations of policyholders in acquiring the insurance;</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nothing in this case to suggest that the damage claimed by the third parties resulted from business activities of the Insureds that made it an active industrial polluter of the natural environment. Put simply, the Insureds did not discharge or release smoke, fumes or chemicals as a manufacturer discharges effluent, overheated water, spent fuel and the like into the natural environment. It was discharged or released as a result of a fire. The history of the exclusion demonstrates that it would produce an unfair and unintended result to conclude, in the context of a CGL policy, that substances that escape due to fire constitute "pollution".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For these reasons I conclude that it cannot have been in the objectively reasonable expectations of the parties to exclude coverage for third party claims arising from the escape of substances caused by a fire.</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(g)</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Insurer submits that the third party claims at issue do not plead any separate and discrete claims for damages resulting from fire and, instead, they plead the escape of chemicals, which falls squarely within the pollution exclusion.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Resort to the pleadings in the Golden Trading Ltd. action reveals this to be an incorrect statement. As noted earlier, the Golden Trading Ltd. notice of civil claim alleges "a fire and chemical spill of acid and chromium" occurred on the defendants' premises, "causing the release of smoke, chemical fumes and other poisonous and noxious materials to be discharged". </w:t>
      </w:r>
      <w:r>
        <w:rPr>
          <w:rFonts w:ascii="arial" w:eastAsia="arial" w:hAnsi="arial" w:cs="arial"/>
          <w:color w:val="000000"/>
          <w:sz w:val="20"/>
          <w:u w:val="single"/>
          <w:lang w:val="en-US" w:eastAsia="en-US" w:bidi="ar-SA"/>
        </w:rPr>
        <w:t>Both</w:t>
      </w:r>
      <w:r>
        <w:rPr>
          <w:rFonts w:ascii="arial" w:eastAsia="arial" w:hAnsi="arial" w:cs="arial"/>
          <w:color w:val="000000"/>
          <w:sz w:val="20"/>
          <w:lang w:val="en-US" w:eastAsia="en-US" w:bidi="ar-SA"/>
        </w:rPr>
        <w:t xml:space="preserve"> the fire and the spill are said to have caused the discharge of smoke, fumes and noxious materials.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other third party claims are more general, but all plead that a fire occurred and that the fire activated the sprinklers and caused an overflow or release of chemicals or substances.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In these circumstances I consider it artificial for the Insurer to argue that fire damage is not pleaded.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case, in essence, comes down to a relatively simple question. Damage caused by fire is covered (as conceded by the Insurer, despite the literal wording of the exclusion), but pollution is not. But what about polluting substances that have escaped because of a fire? I conclude that the Insurer has not discharged its burden to show that the pollution exclusion operates to exclude coverage for the escape of polluting substances caused by fire.</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(h)</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Other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The Insureds submit in the alternative that the pollution exclusion should be not be binding on them because it is "unjust or unreasonable", pursuant to s. 32 of the </w:t>
      </w:r>
      <w:r>
        <w:rPr>
          <w:rFonts w:ascii="arial" w:eastAsia="arial" w:hAnsi="arial" w:cs="arial"/>
          <w:i/>
          <w:color w:val="000000"/>
          <w:sz w:val="20"/>
          <w:lang w:val="en-US" w:eastAsia="en-US" w:bidi="ar-SA"/>
        </w:rPr>
        <w:t>Insurance Act</w:t>
      </w:r>
      <w:r>
        <w:rPr>
          <w:rFonts w:ascii="arial" w:eastAsia="arial" w:hAnsi="arial" w:cs="arial"/>
          <w:color w:val="000000"/>
          <w:sz w:val="20"/>
          <w:lang w:val="en-US" w:eastAsia="en-US" w:bidi="ar-SA"/>
        </w:rPr>
        <w:t>, which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32 If a contract contains any term or condition, other than an exclusion prescribed by regulation for the purposes of section 33 (1) or established by section 34 (2) or (3), that is or may be material to the risk, including, but not restricted to, a provision in respect of the use, condition, location or maintenance of the insured property, the term or condition is not binding on the insured if it is held to be unjust or unreasonable by the court before which a question relating to it is tried.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Given my earlier conclusions I do not propose to discuss this in detail. Suffice it to say that for the same reasons as already discussed I find the pollution exclusion to be unjust or unreasonable insofar as it purports to exclude coverage for most of the consequences of fires in circumstances where the Insurer has conceded the exclusion does not apply to typical fire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Insureds also argue that coverage is afforded by the tenant's legal liability coverage. I would not give effect to this argument, largely for the reasons submitted by the Insurer. I agree that the risk insured is limited to the strata unit leased by Precision Plating and does not extend to the other strata units or the building as a whole.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There will be a declaration that the Insurer is obliged to defend the plaintiffs against the third party claims that have been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Costs to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M.B. BLOK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78" style="position:absolute;z-index:25188147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33"/>
          <w:headerReference w:type="default" r:id="rId834"/>
          <w:footerReference w:type="even" r:id="rId835"/>
          <w:footerReference w:type="default" r:id="rId836"/>
          <w:headerReference w:type="first" r:id="rId837"/>
          <w:footerReference w:type="first" r:id="rId83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39" w:history="1">
        <w:r>
          <w:rPr>
            <w:rFonts w:ascii="arial" w:eastAsia="arial" w:hAnsi="arial" w:cs="arial"/>
            <w:b/>
            <w:bCs/>
            <w:i/>
            <w:color w:val="0077CC"/>
            <w:kern w:val="32"/>
            <w:sz w:val="28"/>
            <w:szCs w:val="32"/>
            <w:u w:val="single"/>
            <w:shd w:val="clear" w:color="auto" w:fill="FFFFFF"/>
            <w:lang w:val="en-US" w:eastAsia="en-US" w:bidi="ar-SA"/>
          </w:rPr>
          <w:t>Qualizza v. Lee, [2007] B.C.J. No. 429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Masuhara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22 and 23,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3,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M054235</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[2007] B.C.J. No. 429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840" w:history="1">
        <w:r>
          <w:rPr>
            <w:rFonts w:ascii="arial" w:eastAsia="arial" w:hAnsi="arial" w:cs="arial"/>
            <w:i/>
            <w:color w:val="0077CC"/>
            <w:sz w:val="20"/>
            <w:u w:val="single"/>
            <w:shd w:val="clear" w:color="auto" w:fill="FFFFFF"/>
            <w:lang w:val="en-US" w:eastAsia="en-US" w:bidi="ar-SA"/>
          </w:rPr>
          <w:t>2007 BCSC 303</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Lora Mercado Qualizza, Plaintiff, and Yuk Chen Lee and MacQuarie Mushroom Farm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79" style="position:absolute;z-index:2516910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22" w:name="Keywords_31"/>
      <w:bookmarkEnd w:id="222"/>
      <w:r>
        <w:rPr>
          <w:rFonts w:ascii="arial" w:eastAsia="arial" w:hAnsi="arial" w:cs="arial"/>
          <w:b/>
          <w:color w:val="000000"/>
          <w:sz w:val="20"/>
          <w:lang w:val="en-US" w:eastAsia="en-US" w:bidi="ar-SA"/>
        </w:rPr>
        <w:t>Damages — General damages — For personal injuries — Non-pecuniary damages, including pain and suffering — Plaintiff awarded $12,000 in damages for soft tissue injuries to back and shoulder and headaches resulting from motor vehicle accident.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Special damages — Loss of income — Medical expenses — Plaintiff awarded $1,400 for loss of income and $1,244 for substantiated special expenses for medical treatments and related expenses, following accident in which she sustained soft tissue injuries to back and shoulder and headaches.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Physical injuries — Arm injuries — Body injuries — Back — Head injuries — Headaches — Age of claimant — 26 to 35 — Non-pecuniary award — $5,001 to $20,000 — Plaintiff, 34 years old, awarded $12,000 in damages for soft tissue injuries to back and shoulder and headaches resulting from motor vehicle accident.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 — Liability of driver — Rules of the road — Defendant driver who waived plaintiff into intersection, then collided with plaintiff when he attempted to pass her, liable for accident — After granting plaintiff right of way, defendant should have waited as long as necessary for plaintiff to make her turn.</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Transportation law — Motor vehicles — Traffic regulation — Rights of way — Turning — Defendant driver who waived plaintiff into intersection, then collided with plaintiff when he attempted to pass her, liable for accident — After granting plaintiff right of way, defendant should have waited as long as necessary for plaintiff to make her turn.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23" w:name="Case Summary_31"/>
            <w:bookmarkEnd w:id="22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Qualizza against Lee for damages for soft tissue injuries sustained in motor vehicle accident -- Qualizza, 34-year-old woman, worked as executive administrator with construction company -- At time of accident, Qualizza worked as customer service clerk -- Qualizza was driving son to work in their Honda CRV on morning of accident -- Qualizza stopped at stop sign, waiting to turning left in front of very slow moving traffic -- Lee had stopped to permit Qualizza's turn, waving her in -- Qualizza moved forward somewhat, then waited for five to ten minutes to complete turn -- Lee tried to move around Qualizza's car at same time Qualizza started to make turn -- Two cars collided at very low speed -- Furlong witnessed accident -- Lee, Qualizza and Furlong stopped, parties exchanged information and left scene -- Lee's van dented, requiring $1,694 in repairs -- Qualizza's vehicle required repairs of $2,870 -- Qualizza claimed she sustained headaches, spine and shoulder injuries and hip misalignment from accident -- Qualizza prescribed Tylenol 3s after accident -- Qualizza did not do stretches or attend physiotherapy as suggested by family doctor -- Qualizza attended for massage therapy and acupuncture -- Qualizza advised to take time off from work -- Employer terminated Qualizza's employment in second week of her absence -- Qualizza obtained new position through employment agency -- Qualizza testified she was unable to continue recreation pursuits, household chores, family activities for some time after accident -- Claimed headaches lasted two months after accident, claimed back pain lasted one month, and claimed shoulder pain resolved several months prior to trial -- Claimed stiffness remained, preventing her from standing or sitting for prolonged periods and limiting her ability to do heavy lifting -- Medical records showed Qualizza had history of headaches, neck, shoulder and back pain caused by several other accidents, dating back to 1994 -- Qualizza sought no treatment from family doctor subsequent to April 2004 until February 2005, date of accident with Lee -- Qualizza's family doctor concluded her injuries from accident resolved by March 2005 -- Lee's medical expert, who conducted examination of Qualizza, gave opinion her injuries from other accidents had not resolved at time of accident with Lee, based on evidence she was still attending massage therapy and filled prescription for Tylenol 3 prior to accident -- Lee's expert disagreed with Qualizza's family doctor regarding Qualizza's increased susceptibility to repetitive injuries due to injuries sustained in accident with Lee -- Qualizza sought non-pecuniary damages of $15,000 to $35,000 -- Lee submitted $3,500 to $5,000 was appropriate range -- HELD: Action allowed -- Lee invited Qualizza to enter intersection in front of her -- Lee became impatient and drove forward without regard to Qualizza's right of way -- Lee's van subservient to Qualizza's, once Lee permitted Qualizza to commence turn in front of Lee's van -- Lee's evidence less credible than Qualizza's, as her testimony evolved throughout legal proceedings -- Medical evidence supported Qualizza's claims she sustained headaches, spine and shoulder injuries related to accident -- Hip misalignment not related to accident -- Lee's medical expert's evidence preferred, where he had more specific practice in injuries sustained by Qualizza -- Qualizza's non-pecuniary damages assessed at $12,000 -- Qualizza awarded $1,400 for past income loss -- Some of Qualizza's special expenses allowed totaling $1,244, while unsubstantiated expenses for mileage and parking to attend medical appointments, gym membership not allowed.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24" w:name="Legislation Cited_19"/>
      <w:bookmarkEnd w:id="22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80" style="position:absolute;z-index:2517422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Rules of Court, Rule 66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Motor Vehicle Act, </w:t>
      </w:r>
      <w:hyperlink r:id="rId841" w:history="1">
        <w:r>
          <w:rPr>
            <w:rFonts w:ascii="arial" w:eastAsia="arial" w:hAnsi="arial" w:cs="arial"/>
            <w:i/>
            <w:color w:val="0077CC"/>
            <w:sz w:val="20"/>
            <w:u w:val="single"/>
            <w:shd w:val="clear" w:color="auto" w:fill="FFFFFF"/>
            <w:lang w:val="en-US" w:eastAsia="en-US" w:bidi="ar-SA"/>
          </w:rPr>
          <w:t>R.S.B.C. 1996, c. 318, s. 175</w:t>
        </w:r>
      </w:hyperlink>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25" w:name="Counsel_31"/>
      <w:bookmarkEnd w:id="22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81" style="position:absolute;z-index:2517934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D.J. Sinnott.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B.D. Home.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26" w:name="Judgment_31"/>
      <w:bookmarkEnd w:id="226"/>
      <w:r>
        <w:pict>
          <v:line id="_x0000_s1182" style="position:absolute;z-index:25184358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27" w:name="MASUHARA J."/>
            <w:bookmarkEnd w:id="227"/>
            <w:r>
              <w:rPr>
                <w:rFonts w:ascii="arial" w:eastAsia="arial" w:hAnsi="arial" w:cs="arial"/>
                <w:b/>
                <w:color w:val="000000"/>
                <w:sz w:val="30"/>
                <w:lang w:val="en-US" w:eastAsia="en-US" w:bidi="ar-SA"/>
              </w:rPr>
              <w:t>MASUHARA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Ms. Qualizza, seeks damages for soft tissue injuries suffered in a motor vehicle collision on February 21, 2005, at the intersection of 159th Street and 88th Avenue in Surrey, British Columbia. The plaintiff was driving a 2003 Honda CRV. The defendant, Ms. Lee, was driving a 1999 Honda Odyssey van owned by her husband's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Ms. Qualizza is 34 years old. She is an executive administrator with a construction company. At the time of the accident she was a customer service clerk at a Mailbox Etc. outlet.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On the day in question, the plaintiff, as per her usual routine, left her home on 159th Street to drive her son to school. The weather was clear and dry. Her son was sitting in a booster seat in the rear of the car and she was wearing a lap/shoulder belt with a headrest adjusted for her height. Ms. Lee also was driving her son to school along 88th 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At about 8:30 a.m., Ms. Qualizza, who was travelling north on 159th Street, came to a stop sign at the intersection of 159th Street and 88th Ave. 88th Ave. is the terminus of 159th Street; a vehicle reaching this point has only an option to turn left or right. She stopped and then entered into the intersection in a gap in very slow moving traffic. Ms. Lee, who was to her immediate left facing eastward on 88th Ave., had stopped to permit Ms. Qualizza to enter this intersection. Mr. Furlong was in his van immediately behind Ms. Lee and witnessed the actions of the Qualizza and Lee vehicles. Having crossed into the eastbound lane on 88th Ave., Ms. Qualizza stopped some 5 to 10 minutes, waiting for the opportunity to turn left onto 88th Ave. Ms. Lee for some reason decided to advance and drive around the car driven by Ms. Qualizza at the same time that Ms. Qualizza started to move forward to turn onto 88th Ave. The two cars collided. The parties agree that they were moving at very low speeds when the impact occurred. After the collision, Ms. Qualizza backed out of the intersection onto 159th St. Ms. Lee also drove onto 159th St. Mr. Furlong also came by to speak to the parties. The parties exchanged information and then left the scene.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primary damage to the defendant's vehicle was denting to the exterior body on its right side around the back of the right front wheel well, with some to the fender and door hinge pillar. The total cost of repair was $1,693.99.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primary damage to the plaintiff's vehicle was at the left front corner of the vehicle. The reinforcing bar had buckled from the collision and had bent into the air conditioning condenser immediately behind the bar. The total cost of the repair was $2,869.89.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As a result of the collision Ms. Qualizza alleges in her statement of claim that she sustained the following injuries:</w:t>
      </w:r>
      <w:r>
        <w:rPr>
          <w:rFonts w:ascii="arial" w:eastAsia="arial" w:hAnsi="arial" w:cs="arial"/>
          <w:sz w:val="20"/>
          <w:lang w:val="en-US" w:eastAsia="en-US" w:bidi="ar-SA"/>
        </w:rPr>
        <w:cr/>
      </w:r>
    </w:p>
    <w:p>
      <w:pPr>
        <w:numPr>
          <w:numId w:val="1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headaches;</w:t>
      </w:r>
    </w:p>
    <w:p>
      <w:pPr>
        <w:numPr>
          <w:numId w:val="1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musculo-ligamentous injury to the cervical region of the spine;</w:t>
      </w:r>
    </w:p>
    <w:p>
      <w:pPr>
        <w:numPr>
          <w:numId w:val="1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musculo-ligamentous injury to the thoracic region of the spine;</w:t>
      </w:r>
    </w:p>
    <w:p>
      <w:pPr>
        <w:numPr>
          <w:numId w:val="1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musculo-ligamentous injury to the lumbar region of the spine;</w:t>
      </w:r>
    </w:p>
    <w:p>
      <w:pPr>
        <w:numPr>
          <w:numId w:val="1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injury to the left shoulder predominately to the left side; and</w:t>
      </w:r>
    </w:p>
    <w:p>
      <w:pPr>
        <w:numPr>
          <w:numId w:val="1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hip misalignment.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This action was subject to Rule 66 Fast Track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issues for this case are:</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defendant is at fault for the collision;</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as a result of the collision the plaintiff suffered the injuries claimed;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plaintiff suffered injuries, what is the damage quantum.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plaintiff submits that the defendant is entirely at fault for the subject collision. The plaintiff relies upon section 175 of the </w:t>
      </w:r>
      <w:r>
        <w:rPr>
          <w:rFonts w:ascii="arial" w:eastAsia="arial" w:hAnsi="arial" w:cs="arial"/>
          <w:b/>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which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175(1) If a vehicle that is about to enter a through highway has stopped in compliance with section 186,</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driver of the vehicle must yield the right of way to traffic that has entered the intersection on the through highway or is approaching so closely on it that it constitutes an immediate hazard, and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having yielded, the driver may proceed with caution.</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a vehicle is entering a through highway in compliance with subsection (1), traffic approaching the intersection on the highway must yield the right of way to the entering vehicle while it is proceeding into or across the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defendant submits that section 175 is not applicable. Counsel for the defence argues that notwithstanding the fact that Ms. Lee permitted Ms. Qualizza to enter into the intersection in front of her to cross over and turn left into the westbound lane, the plaintiff should have been vigilante that given the time she spent in the intersection that Ms. Lee would attempt to pass by her eastward. Defence counsel provided no authority for this proposition and I do not accept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 fact is that the defendant invited the plaintiff to enter into the intersection in front of her. The plaintiff testified that the defendant had waved her forward to cross into the intersection. The plaintiff was provided the right of way. The defendant at first testified in chief that she did not think that she had waved Ms. Qualizza forward but then on follow up denied that she had. Ms. Lee also testified that Ms. Qualizza had only moved 1/3 into the east bound lane of 88th Ave. and that she had enough room to move by Ms. Qualizza's car without crossing the centre into the westbound lane of 88th Ave. Mr. Furlong who witnessed the entire accident stated that Ms. Lee had permitted Ms. Qualizza to move into the intersection and that Ms. Qualizza had moved some 3/4 of the way into the intersection. He also testified that Ms. Lee had travelled into the westbound lane in order to drive around Ms. Qualizza. Where the testimony of Ms. Lee conflicts with that of Mr. Furlong and Ms. Qualizza, I prefer that of the latter two over Ms. Lee's. I say this based upon the evolving nature of Ms. Lee's evidence; the hesitancy in which she provided her testimony under cross examination; and the absence of any relationship of Mr. Furlong with either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Ms. Lee's evolving position can be seen by comparing the written statement that she provided to her insurer one week after the accident on February 28, 2005. In that statement she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saw that there was a vehicle stopped at the stop sign on 159th Street and I think that it had the left turn signal on but it was still stopped at the stop sign when I passed. I was travelling very slowly at about 10-20 k.p.h. at the time. As I passed the vehicle stopped at the stop sign I felt a bang and I was hit on the right front wheel area. The vehicle that hit me was a black CRV. That was the vehicle that was stopped at the stop sign.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read the above statement and it is true and correct to the best of my knowledge.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At trial, Ms. Lee recalled providing a statement but could not recall the contents of the statement or if she was telling the truth when she gave the statement. She then attempted to distance herself from the statement by claiming that some parts of the statement had to be translated to her by her husband who was with her at the time. Her husband was not called as a witness. In my view, the statement is simple and straight forward. There is little room for misunderstanding. Though Ms. Lee testified through an interpreter, as her primary language is Cantonese, she does speak English and I noted that during her questioning under cross examination she understood the questions that were put to her in English but would wait for the interpreter to pose the question and then she would answer in Cantonese. I do not find her explanation credible. Further, Ms. Lee was hesitant at key points in her testimony, including whether she had waved Ms. Qualizza into the intersection in front of her. She also seemed to mull over her responses to questions posed in cross examination and asked to have simple questions repeated.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At trial, Ms. Lee testified that the Qualizza car after having stopped at the stop sign moved ahead into the intersection by 1/3 over the southern white line of the eastbound lane. Ms. Lee stated that there was enough room for her to pass in front of the Qualizza car without her having to pass over into the westbound lane of 88th Ave. However, she agreed that she had to steer her car to the left to go around the Qualizza car. She said at the time of impact her car was facing parallel to the lane she was in and that she was travelling between 5 to 10 k.p.h. She agreed in cross examination that the Qualizza car was partially blocking her car. She stated that she moved forward because she could not understand why Ms. Qualizza wasn't moving and that as traffic was moving eastward ahead of her Ms. Lee decided to move ahead. Additionally, Ms. Lee said that there was traffic coming westward so that she knew Ms. Qualizza could not move to turn. It is my view that Ms. Lee became impatient with waiting and drove forward without regard to the right of way that Ms. Qualizza had in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Ms. Qualizza testified that she made eye contact with Ms. Lee at the stop sign and that Ms. Lee waved with her hand to permit her into the intersection to turn left. Ms. Qualizza says that she moved halfway into the eastbound lane to see when she could enter into the westbound lane. When it appeared clear, Ms. Qualizza began to advance forward to turn left. However, before she was able to commence turning, Ms. Lee attempted to drive around the front of her car causing Ms. Qualizza to collide into the front right area of the Lee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Furlong witnessed the collision. He was travelling eastbound and was taking his daughter to school. He was positioned immediately behind Ms. Lee's vehicle and could see the car driven by Ms. Qualizza. He could see the back portion of her car directly and the forward portion through the windshield of Ms. Lee's vehicle. He testified that Ms. Qualizza had advanced 3/4 of the way into the eastbound lane on 88th Ave. and was stopped for some 3 to 4 minutes to wait for a gap in the westbound traffic to turn left. He observed that the Lee vehicle had stopped to allow Ms. Qualizza into the intersection and that the Lee vehicle was positioned in the middle of the eastbound lane. After some 3 to 4 minutes he observed that there was a gap in westbound traffic and that as the Qualizza car was moving forward to enter into the westbound traffic, the Lee vehicle moved over the centre line of 88th Ave. into the westbound lane in order to drive around the Qualizza car. Mr. Furlong testified that Ms. Lee had advanced over into the westbound lane to travel around Ms. Qualizza. I accept his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difference between her written statement and her testimony at trial reveals that her evidence has been evolving. Her evidence therefore was not as reliable as that of Ms. Qualizza and Mr. Furlong. The latter two witnesses were forthright and related testimony that was plausible and made sense. Mr. Furlong had a clear view of the event in question and had no connection with the parties that could influence his impartiality. I find that Ms. Qualizza had clear opening in westbound traffic to enter into that lane. In any event, even from the testimony of Ms. Lee at trial, it is clear that Ms. Lee had yielded the right of way to Ms. Qualizza in order for her to turn left into the westbound lane. I accept the testimony of Ms. Qualizza that she was waved into the intersection by Ms. Lee and that was to allow her to cross and turn into the westbound lane of 88th Ave. The evidence of the witnesses is that 88th Ave. is a busy thoroughfare. Caution is required by a vehicle attempting to cross into the westbound lane and that the ability to turn onto the westbound lane could take some time. Ms. Lee at that point was in the subservient position; she had allowed Ms. Qualizza to advance in front of her to cross the intersection into the westbound lane and was required to provide Ms. Qualizza the opportunity to cross. Ms. Qualizza had the right of way. I conclude that Ms. Lee is fully liable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 essential purpose of tort law is that the plaintiff must be placed in the position she would have been, absent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However, the plaintiff must not be placed in position better than her original position. In this case, since liability has been established, the issue becomes one of causation in relation to the injuries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Causation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cases is established where the injury of the plaintiff would not have happened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or where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found to have "materially contributed" to the injury: </w:t>
      </w:r>
      <w:r>
        <w:rPr>
          <w:rFonts w:ascii="arial" w:eastAsia="arial" w:hAnsi="arial" w:cs="arial"/>
          <w:b/>
          <w:i/>
          <w:color w:val="000000"/>
          <w:sz w:val="20"/>
          <w:lang w:val="en-US" w:eastAsia="en-US" w:bidi="ar-SA"/>
        </w:rPr>
        <w:t>Athey v. Leonarti</w:t>
      </w:r>
      <w:r>
        <w:rPr>
          <w:rFonts w:ascii="arial" w:eastAsia="arial" w:hAnsi="arial" w:cs="arial"/>
          <w:color w:val="000000"/>
          <w:sz w:val="20"/>
          <w:lang w:val="en-US" w:eastAsia="en-US" w:bidi="ar-SA"/>
        </w:rPr>
        <w:t xml:space="preserve">, </w:t>
      </w:r>
      <w:hyperlink r:id="rId13"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[paragraph] 14-15. Therefore, the plaintiff bears the onus of proving that the defendant caused or contributed to the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plaintiff submits that the subject motor vehicle accident caused the physical injuries claimed. She supported this position with reports from her family physician and her registered massage therapist.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position of the defence is that the plaintiff was not injured in the accident given the low speed of the impact and the absence of objective signs to support the plaintiff's evidence. In the alternative, the defence argued that the plaintiff suffered only minimal injury. The position of no injury was undermined by the defence's own expert report which was authored by Dr. Schweigel, an orthopaedic surgeon. Dr. Schweigel opined that the plaintiff "sustained a minor soft tissue injury and/or a minor aggravation of a chronic problem to the cervical, thoracic and lumbar spine because of the MVA of February 21/05."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Given the medical reports, I find that the plaintiff suffered soft tissue injuries in the subject motor vehicle accident. I am satisfied that the subject motor vehicle accident was a cause of her headaches, and soft tissue injury to her neck, shoulders, upper and lower back. However, the hip misalignment claimed was not substantiated as being related to the accident. There is no medical finding of this. Further, the plaintiff stated in chief regarding the alleged hip injury that any pain she felt was not significant, that it was an ache that she would feel sometimes', that she no longer feels the ache in her hips, and that she did not know if it was related to the subject car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Ms. Qualizza testified that some hours after the accident she felt stiffness and achiness in her neck and sharp pains from the base of her neck down to her left shoulder. She also had a constant headache, upper back pain and achiness from the base of her neck to her shoulder blades, and stiffness and achiness in her lower back. She saw her family doctor, Dr. Nakai, who advised her to do stretches, consider physiotherapy, which the plaintiff rejected, and to see her registered massage therapist, Mr. Hayka. Her doctor also prescribed Tylenol 3 and discussed anti-inflammatory medications but did not recommend them as Ms. Qualizza was seeking to become pregnant.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Dr. Nakai also recommended that the plaintiff take some time off from her job as a customer service attendant at Mailboxes Etc. Ms. Qualizza took two weeks off. It appears that as a result of her absence from work the plaintiff was terminated during the second week of her absence. As a result, in March 2005, Ms. Qualizza went to an employment agency which placed her in a temporary job as an administrative assistant that started March 25, 2005, with a construction company. This job later converted to a permanent position. The plaintiff has had continuous full-time employment since her return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Prior to the subject motor vehicle accident, Ms. Qualizza testified that her social and recreational activities included going to the gym, golfing and hitting balls at the driving range, horseback riding, roller blading, and playing generally at the park with her family. She testified that she had to stop these activities for "some time". She and her husband also testified that prior to her accident she and her husband shared most household chores such as cooking, vacuuming, and laundry and that after the accident her husband was required to help more during the first few months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Ms. Qualizza testified that her headaches were constant for a few weeks after the accident, that during that time she felt nauseous and took Tylenol 3 and had to sleep. Her condition gradually improved over the course of a couple of months.' She testified that currently her headaches are not really bad' and that they are extremely infrequent and have no impact on her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terms of her low back pain, she described this injury initially as stiffness and an ache that occurred intermittently. She stated that her condition improved within a month and that it no longer posed a problem for her and did not interfere with her daily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terms of her shoulder pain, she stated that her last recall of any pain was months ago', and that she still had some "achiness" and stiffness around her neck.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terms of the pain between the base of her neck and shoulder blades, the upper back injury, she stated that she experienced recovery a few months after the accident; though she stated that she experiences occasional stiffness if she sits or stands too long. She also states that she knows her limitations and avoids heavy or awkward lifting.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Ms. Qualizza attended message therapy sessions for her injuries with Mr. Hayka. She also undertook two acupuncture sessions for her back pain which did not yield success so she did not continue with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Under cross examination Ms. Qualizza was not sure if she was noticing improvement by June 2005 some four months after the accident. She stated that she was not sure but agreed she was noticing improvement and agreed that it was possible that she had returned to her pre-accident 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A feature of Ms. Qualizza's medical history that requires consideration in this assessment is the fact that she had been in several accidents in the past for which she has received treatment for soft tissue injuries that have resulted in headaches, neck, shoulder and back pain. She has received treatment for such injuries since 1997, though she has had chiropractic treatment for her back as early as 1994. Dr. Sweigel in his report chronicles much of the treatment history of the plaintiff and opines that the plaintiff has chronic neck, thoracic and low back pain. He notes: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lady has had a history of chronic cervical, thoracic and lumbar discomfort dating back to 1994 (Dr Maxwell, Tab 1). If one reviews the MSP printout, one can see she had physiotherapy, massage treatment and chiropractic treatment from 1996 right through to 2001 almost on a monthly basis. In some months she would just have physiotherapy, and some months she would have physio and massage, and/or chiropractic, etc. These treatments were to the cervical, thoracic and lumbar spine, perhaps more often to the cervical and thoracic, but the lumbar spine was treated also throughout this period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Dr. Sweigel also noted that though Dr. Nakai reported that the plaintiff was last seen for neck, upper back and low back problems in April 2004, which implied that the plaintiff no longer had problems prior to her accident in February 2005, the clinical notes of Mr. Hayka reveal that Ms. Qualizza "was seen throughout 2003 repeatedly from February through December because of cervical, thoracic and lumbar spine problems requiring massage treatment." Further, he noted that the plaintiff received massage treatment for headache, and problems with her cervical, thoracic and lumbar area throughout 2004. It appears that she received massage treatments every two to three weeks for at least the year prior to the accident. Ms. Qualizza characterized these sessions pre-accident as maintenance treatments. There is also an indication that the plaintiff obtained a prescription for and purchased Tylenol 3 which she said was possibly for headaches in August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Following the accident, Ms. Qualizza, on the recommendation of her massage therapist, Mr. Hayka, attended two visits per week. The frequency does not appear to have lasted long; rather the average frequency appears to have been about once or twice per week to June 20, 2005, when the frequency then changed to one treatment every two to three weeks. This would appear to be a return to the plaintiff's pre-accident frequency despite Mr. Hayka's opinion that the plaintiff as of the date of his testimony had not returned to her pre-accident condition and required a further six months of treatment once every two to three weeks.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Non-pecuniary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Dr. Nakai and Mr. Hayka were presented as experts for the plaintiff. Defence counsel agreed that the two were qualified to provide the opinions contained in their reports. The defence entered the expert report of Dr. Sweigel, an orthopaedic surgeon, who conducted an independent medical examination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Dr. Nakai has been the family physician for the plaintiff for some 17 years. She treated the plaintiff for the injuries sustained in the subject motor vehicle accident starting February 22, 2005. The complaints she recorded were occipital headaches, neck and upper back pain, low back stiffness. On exam she found tenderness over the paravertebral muscles of the neck and upper back and tenderness over the C5 to approximately T5 vertebrae. She found normal range of motion of the neck but noted pain at the extremes of the range of motion. Dr. Nakai opined that the plaintiff as a result of the subject motor vehicle accident that sustained soft tissue strains involving her neck and upper to low back as well as muscular-type headaches. She stated that she expected the plaintiff to continue to improve and that she expected the plaintiff not to have any permanent functional impairment. Dr. Nakai also opined that the plaintiff's history of repeated trauma to her spine may also place her at higher risk in the future of degenerative osteoarthritic vertebral changes as she ages. Dr. Nakai agreed in cross examination that the injuries suffered were mild and not severe or moderate. This is similar to the characterization of the plaintiff's injuries by Dr. Schweigel.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Under cross examination, Dr. Nakai was questioned as to when the plaintiff had substantially recovered from her injuries. In response to several questions along this line, Dr. Nakai's agreed that in her view the plaintiff had recovered from the bulk of her problems by the time the plaintiff had returned to work which would have been around March 25, 2005, and that by this time she was functional. She agreed that substantial recovery could be equated to the plaintiff's return to work. This view is in line with that of Dr. Sweigel. Dr. Nakai also agreed that while she stated in her report that the plaintiff "was not seen for any musculo-skeletal complaints after April 204 until her most recent MVA on February 21, 2005", she had signed an insurance form for Ms. Qualizza dated May 17, 2004, wherein she wrote that the plaintiff was recovering from soft tissue strains to her neck and back secondary to a previous motor vehicle accident. It is also of note that Dr. Nakai was not aware that Ms. Qualizza had been undergoing massage therapy treatments regularly up to January 2005. When asked in cross examination if her opinion would change with this added information, she stated that she was unsure. Given this, I am led to favour the view of Dr. Sweigel of chronic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Dr. Sweigel also did not agree with Dr. Nakai's comments that because of the plaintiff's history of repeated soft tissue strains involving the same musculo-skeletal areas as in the instant case, "the patient is susceptible to a longer rehabilitative course due to the accumulative effects of repetitive injuries" and that the plaintiff, "is at a higher risk of degenerative arthritis of the spine" which he took as an implication that the February 2005 motor vehicle accident put the plaintiff at higher risk. In regard to the first comment Dr. Sweigel stated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cannot agree with that suggestion. She had no severe soft tissue injuries and therefore she would not be more susceptible to repetitive injuries. Minor to moderate soft tissue injuries heal. This is fairly obvious if one thinks of the number of times people have sprains of the ankle, sprains of the wrists, sprains of the shoulders, etc, they heal. The[y] are not more susceptible to injuries thereafter. The same holds true of the spinal column.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regard to the second comment, Dr. Schweigel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no evidence in the literature in controlled studies that a soft tissue injury of the cervical spine or thoracic, or lumbar spine has a greater chance of developing degeneration and/or arthritis. Soft tissue injuries do not damage the joints and therefore the joints do not develop degeneration and/or arthritis.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Dr. Nakai did not take significant issue with Dr. Sweigel's comments and given his more specific practice in injuries as suffered by the plaintiff, I prefer his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The plaintiff submits that the plaintiff is entitled to non-pecuniary damages within a range of $15,000 to $35,000 and argues that a mid to higher mid figure within this range is appropriate. The cases relied upon by the plaintiff are: </w:t>
      </w:r>
      <w:r>
        <w:rPr>
          <w:rFonts w:ascii="arial" w:eastAsia="arial" w:hAnsi="arial" w:cs="arial"/>
          <w:b/>
          <w:i/>
          <w:color w:val="000000"/>
          <w:sz w:val="20"/>
          <w:lang w:val="en-US" w:eastAsia="en-US" w:bidi="ar-SA"/>
        </w:rPr>
        <w:t>Bartley v. Buckley</w:t>
      </w:r>
      <w:r>
        <w:rPr>
          <w:rFonts w:ascii="arial" w:eastAsia="arial" w:hAnsi="arial" w:cs="arial"/>
          <w:color w:val="000000"/>
          <w:sz w:val="20"/>
          <w:lang w:val="en-US" w:eastAsia="en-US" w:bidi="ar-SA"/>
        </w:rPr>
        <w:t xml:space="preserve">, </w:t>
      </w:r>
      <w:hyperlink r:id="rId842" w:history="1">
        <w:r>
          <w:rPr>
            <w:rFonts w:ascii="arial" w:eastAsia="arial" w:hAnsi="arial" w:cs="arial"/>
            <w:i/>
            <w:color w:val="0077CC"/>
            <w:sz w:val="20"/>
            <w:u w:val="single"/>
            <w:shd w:val="clear" w:color="auto" w:fill="FFFFFF"/>
            <w:lang w:val="en-US" w:eastAsia="en-US" w:bidi="ar-SA"/>
          </w:rPr>
          <w:t>2005 BCSC 1374</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Kenny v. Leveson-Gowe</w:t>
      </w:r>
      <w:r>
        <w:rPr>
          <w:rFonts w:ascii="arial" w:eastAsia="arial" w:hAnsi="arial" w:cs="arial"/>
          <w:color w:val="000000"/>
          <w:sz w:val="20"/>
          <w:lang w:val="en-US" w:eastAsia="en-US" w:bidi="ar-SA"/>
        </w:rPr>
        <w:t xml:space="preserve">, </w:t>
      </w:r>
      <w:hyperlink r:id="rId843" w:history="1">
        <w:r>
          <w:rPr>
            <w:rFonts w:ascii="arial" w:eastAsia="arial" w:hAnsi="arial" w:cs="arial"/>
            <w:i/>
            <w:color w:val="0077CC"/>
            <w:sz w:val="20"/>
            <w:u w:val="single"/>
            <w:shd w:val="clear" w:color="auto" w:fill="FFFFFF"/>
            <w:lang w:val="en-US" w:eastAsia="en-US" w:bidi="ar-SA"/>
          </w:rPr>
          <w:t>2005 BCSC 447</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Rubino v. Lerfold</w:t>
      </w:r>
      <w:r>
        <w:rPr>
          <w:rFonts w:ascii="arial" w:eastAsia="arial" w:hAnsi="arial" w:cs="arial"/>
          <w:color w:val="000000"/>
          <w:sz w:val="20"/>
          <w:lang w:val="en-US" w:eastAsia="en-US" w:bidi="ar-SA"/>
        </w:rPr>
        <w:t xml:space="preserve">, </w:t>
      </w:r>
      <w:hyperlink r:id="rId844" w:history="1">
        <w:r>
          <w:rPr>
            <w:rFonts w:ascii="arial" w:eastAsia="arial" w:hAnsi="arial" w:cs="arial"/>
            <w:i/>
            <w:color w:val="0077CC"/>
            <w:sz w:val="20"/>
            <w:u w:val="single"/>
            <w:shd w:val="clear" w:color="auto" w:fill="FFFFFF"/>
            <w:lang w:val="en-US" w:eastAsia="en-US" w:bidi="ar-SA"/>
          </w:rPr>
          <w:t>2004 BCSC 282</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Cossalter v. Roque,</w:t>
      </w:r>
      <w:r>
        <w:rPr>
          <w:rFonts w:ascii="arial" w:eastAsia="arial" w:hAnsi="arial" w:cs="arial"/>
          <w:color w:val="000000"/>
          <w:sz w:val="20"/>
          <w:lang w:val="en-US" w:eastAsia="en-US" w:bidi="ar-SA"/>
        </w:rPr>
        <w:t xml:space="preserve"> </w:t>
      </w:r>
      <w:hyperlink r:id="rId845" w:history="1">
        <w:r>
          <w:rPr>
            <w:rFonts w:ascii="arial" w:eastAsia="arial" w:hAnsi="arial" w:cs="arial"/>
            <w:i/>
            <w:color w:val="0077CC"/>
            <w:sz w:val="20"/>
            <w:u w:val="single"/>
            <w:shd w:val="clear" w:color="auto" w:fill="FFFFFF"/>
            <w:lang w:val="en-US" w:eastAsia="en-US" w:bidi="ar-SA"/>
          </w:rPr>
          <w:t>[1998] B.C.J. No. 732</w:t>
        </w:r>
      </w:hyperlink>
      <w:r>
        <w:rPr>
          <w:rFonts w:ascii="arial" w:eastAsia="arial" w:hAnsi="arial" w:cs="arial"/>
          <w:color w:val="000000"/>
          <w:sz w:val="20"/>
          <w:lang w:val="en-US" w:eastAsia="en-US" w:bidi="ar-SA"/>
        </w:rPr>
        <w:t xml:space="preserve"> (B.C.S.C.); and </w:t>
      </w:r>
      <w:r>
        <w:rPr>
          <w:rFonts w:ascii="arial" w:eastAsia="arial" w:hAnsi="arial" w:cs="arial"/>
          <w:b/>
          <w:i/>
          <w:color w:val="000000"/>
          <w:sz w:val="20"/>
          <w:lang w:val="en-US" w:eastAsia="en-US" w:bidi="ar-SA"/>
        </w:rPr>
        <w:t>White v. Stonestreet,</w:t>
      </w:r>
      <w:r>
        <w:rPr>
          <w:rFonts w:ascii="arial" w:eastAsia="arial" w:hAnsi="arial" w:cs="arial"/>
          <w:color w:val="000000"/>
          <w:sz w:val="20"/>
          <w:lang w:val="en-US" w:eastAsia="en-US" w:bidi="ar-SA"/>
        </w:rPr>
        <w:t xml:space="preserve"> </w:t>
      </w:r>
      <w:hyperlink r:id="rId201" w:history="1">
        <w:r>
          <w:rPr>
            <w:rFonts w:ascii="arial" w:eastAsia="arial" w:hAnsi="arial" w:cs="arial"/>
            <w:i/>
            <w:color w:val="0077CC"/>
            <w:sz w:val="20"/>
            <w:u w:val="single"/>
            <w:shd w:val="clear" w:color="auto" w:fill="FFFFFF"/>
            <w:lang w:val="en-US" w:eastAsia="en-US" w:bidi="ar-SA"/>
          </w:rPr>
          <w:t>2006 BCSC 801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The defendant submits that the plaintiff is entitled to non-pecuniary damages within a range of $3,500 to $5,000. The cases relied upon by the defendant are: </w:t>
      </w:r>
      <w:r>
        <w:rPr>
          <w:rFonts w:ascii="arial" w:eastAsia="arial" w:hAnsi="arial" w:cs="arial"/>
          <w:b/>
          <w:i/>
          <w:color w:val="000000"/>
          <w:sz w:val="20"/>
          <w:lang w:val="en-US" w:eastAsia="en-US" w:bidi="ar-SA"/>
        </w:rPr>
        <w:t>King v. Buccini</w:t>
      </w:r>
      <w:r>
        <w:rPr>
          <w:rFonts w:ascii="arial" w:eastAsia="arial" w:hAnsi="arial" w:cs="arial"/>
          <w:color w:val="000000"/>
          <w:sz w:val="20"/>
          <w:lang w:val="en-US" w:eastAsia="en-US" w:bidi="ar-SA"/>
        </w:rPr>
        <w:t xml:space="preserve">, </w:t>
      </w:r>
      <w:hyperlink r:id="rId846" w:history="1">
        <w:r>
          <w:rPr>
            <w:rFonts w:ascii="arial" w:eastAsia="arial" w:hAnsi="arial" w:cs="arial"/>
            <w:i/>
            <w:color w:val="0077CC"/>
            <w:sz w:val="20"/>
            <w:u w:val="single"/>
            <w:shd w:val="clear" w:color="auto" w:fill="FFFFFF"/>
            <w:lang w:val="en-US" w:eastAsia="en-US" w:bidi="ar-SA"/>
          </w:rPr>
          <w:t>2006 BCSC 1587</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Al-Mandlawi v. Gara,</w:t>
      </w:r>
      <w:r>
        <w:rPr>
          <w:rFonts w:ascii="arial" w:eastAsia="arial" w:hAnsi="arial" w:cs="arial"/>
          <w:color w:val="000000"/>
          <w:sz w:val="20"/>
          <w:lang w:val="en-US" w:eastAsia="en-US" w:bidi="ar-SA"/>
        </w:rPr>
        <w:t xml:space="preserve"> </w:t>
      </w:r>
      <w:hyperlink r:id="rId755" w:history="1">
        <w:r>
          <w:rPr>
            <w:rFonts w:ascii="arial" w:eastAsia="arial" w:hAnsi="arial" w:cs="arial"/>
            <w:i/>
            <w:color w:val="0077CC"/>
            <w:sz w:val="20"/>
            <w:u w:val="single"/>
            <w:shd w:val="clear" w:color="auto" w:fill="FFFFFF"/>
            <w:lang w:val="en-US" w:eastAsia="en-US" w:bidi="ar-SA"/>
          </w:rPr>
          <w:t>2005 BCSC 740</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Gill v. Mansour</w:t>
      </w:r>
      <w:r>
        <w:rPr>
          <w:rFonts w:ascii="arial" w:eastAsia="arial" w:hAnsi="arial" w:cs="arial"/>
          <w:color w:val="000000"/>
          <w:sz w:val="20"/>
          <w:lang w:val="en-US" w:eastAsia="en-US" w:bidi="ar-SA"/>
        </w:rPr>
        <w:t xml:space="preserve">, </w:t>
      </w:r>
      <w:hyperlink r:id="rId754" w:history="1">
        <w:r>
          <w:rPr>
            <w:rFonts w:ascii="arial" w:eastAsia="arial" w:hAnsi="arial" w:cs="arial"/>
            <w:i/>
            <w:color w:val="0077CC"/>
            <w:sz w:val="20"/>
            <w:u w:val="single"/>
            <w:shd w:val="clear" w:color="auto" w:fill="FFFFFF"/>
            <w:lang w:val="en-US" w:eastAsia="en-US" w:bidi="ar-SA"/>
          </w:rPr>
          <w:t>2004 BCSC 1537</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Nichollson v. Armstrong</w:t>
      </w:r>
      <w:r>
        <w:rPr>
          <w:rFonts w:ascii="arial" w:eastAsia="arial" w:hAnsi="arial" w:cs="arial"/>
          <w:color w:val="000000"/>
          <w:sz w:val="20"/>
          <w:lang w:val="en-US" w:eastAsia="en-US" w:bidi="ar-SA"/>
        </w:rPr>
        <w:t xml:space="preserve">, </w:t>
      </w:r>
      <w:hyperlink r:id="rId847" w:history="1">
        <w:r>
          <w:rPr>
            <w:rFonts w:ascii="arial" w:eastAsia="arial" w:hAnsi="arial" w:cs="arial"/>
            <w:i/>
            <w:color w:val="0077CC"/>
            <w:sz w:val="20"/>
            <w:u w:val="single"/>
            <w:shd w:val="clear" w:color="auto" w:fill="FFFFFF"/>
            <w:lang w:val="en-US" w:eastAsia="en-US" w:bidi="ar-SA"/>
          </w:rPr>
          <w:t>2003 BCSC 1988</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Mangat v. Jackson</w:t>
      </w:r>
      <w:r>
        <w:rPr>
          <w:rFonts w:ascii="arial" w:eastAsia="arial" w:hAnsi="arial" w:cs="arial"/>
          <w:color w:val="000000"/>
          <w:sz w:val="20"/>
          <w:lang w:val="en-US" w:eastAsia="en-US" w:bidi="ar-SA"/>
        </w:rPr>
        <w:t xml:space="preserve">, </w:t>
      </w:r>
      <w:hyperlink r:id="rId848" w:history="1">
        <w:r>
          <w:rPr>
            <w:rFonts w:ascii="arial" w:eastAsia="arial" w:hAnsi="arial" w:cs="arial"/>
            <w:i/>
            <w:color w:val="0077CC"/>
            <w:sz w:val="20"/>
            <w:u w:val="single"/>
            <w:shd w:val="clear" w:color="auto" w:fill="FFFFFF"/>
            <w:lang w:val="en-US" w:eastAsia="en-US" w:bidi="ar-SA"/>
          </w:rPr>
          <w:t>2004 BCSC 319</w:t>
        </w:r>
      </w:hyperlink>
      <w:r>
        <w:rPr>
          <w:rFonts w:ascii="arial" w:eastAsia="arial" w:hAnsi="arial" w:cs="arial"/>
          <w:color w:val="000000"/>
          <w:sz w:val="20"/>
          <w:lang w:val="en-US" w:eastAsia="en-US" w:bidi="ar-SA"/>
        </w:rPr>
        <w:t>. Defence counsel, however, agrees that the limit would increase to $7,500 if the injury is found to be a new injury as opposed the aggravation of an existing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These cases can be useful as a rough guide however each case comes with its own unique set of considerations.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Based on the evidence which including the opinions of Dr. Nakai and Dr. Sweigel and Ms. Qualizza's history of ongoing treatment for neck, upper back and lower back issues including headaches over many years, I conclude that the plaintiff suffered minor soft tissue injury to her neck, upper and lower back that was additional to, rather than, an aggravation of an existing injury and that she substantially recovered from these injuries by the time she returned to work in late March 2005. She suffered some residual ongoing pains but it is difficult to separate this from her chronic neck and back pains pre-accident and the activities that she had resumed undertaking such as dancing, working out at the gym, golf, tennis, roller blading and general activities with her family. However, recognizing this, the evidence leads me to conclude that the residual pains carried on gradually improved and resolved over 18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Based on the foregoing, the injuries suffered appear to be somewhere between the higher end of the cases relied upon by the defendant and the lower end of the cases relied upon by the plaintiff. The plaintiff's cases reference injuries that relate to moderate or mild-moderate injuries. The injuries in this case can be classified as minor. My assessment of the injuries suffered by the plaintiff is $12,000.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Past Income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parties agree that the loss of income suffered by the plaintiff on a gross basis is $1,690 and that the net loss is $1,400.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plaintiff submits that she has incurred reasonable and necessary out of pocket expenses totalling $2,912.46. These expenses relate to massage therapy; acupuncture; gym membership; mileage &amp; parking; prescription; and miscellaneous.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defendant argues that certain of the expenses are unwarranted, excessive, or unsubstantiated. The defendant however on inquiry did not take serious issue with acupuncture treatments. The defence noted Dr. Sweigel's report, wherein he stated that based on his finding of a minor soft tissue injury and/or a minor aggravation of a chronic problem "[m]inor soft tissue injuries require treatment for 1 to 3 months and after that, treatment becomes redundant." Dr. Nakai agreed that the most significant benefits accrue from massage therapy within 1 to 3 months and stated that she gives the patient the choice to continue but that she does not push it upon the patient. I take from her comment that it was not necessary to continue beyond 3 months in this case but that she considered it reasonable for a period of time beyond three months in the circumstance of the plaintiff. I note in this regard that Mr. Hayka recommended in his report of June 12, 2006, that the plaintiff continue for a further six months of treatment at a frequency of one treatment every two to three weeks.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 terms of acupuncture, Dr. Nakai stated that she did not recommend acupuncture for the plaintiff as the plaintiff rejected physiotherapy. However, she noted that it is her normal practice to recommend physiotherapy with an acupuncture treatment attached to it. Her view was that acupuncture may produce some benefit but should be noticeable within two visits. While Dr. Nakai did not recommend this course to Ms. Qualizza, she noted that she could very well have done so in the past given the plaintiff's history. Defence counsel did not object in any serious way to the reasonableness of this treatment being sought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terms of the claim for a gym membership, the defence submits that the gym membership and activities attached to it formed part of the plaintiff's lifestyle prior to the accident and remained so after it. The plaintiff received a note from her physician to extend her membership for 3 months to recognize that she had been injured in an accident and then later a further note recommending a continued membership.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plaintiff also has submitted a schedule of payments for mileage and parking, an unspecified prescription, an unspecified miscellaneous expense, and for various massage treatments. It seems that the expenses under mileage and parking are for attendances for medical appointments. However, the prescription and miscellaneous expense was not substantiated.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Of these foregoing expenses, I find that the massage therapy sessions, extending from February 2005 through September 2005 being $1,000, the acupuncture sessions of $90, and mileage and parking of $154, are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In conclusion the plaintiff is awarded $12,000 for non-pecuniary damages; $1,244 for special damages; $1,400 for net past income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parties have indicated that they wish to address costs subsequent to my determination of the issues. I will await their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MASUHARA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83" style="position:absolute;z-index:25188249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49"/>
          <w:headerReference w:type="default" r:id="rId850"/>
          <w:footerReference w:type="even" r:id="rId851"/>
          <w:footerReference w:type="default" r:id="rId852"/>
          <w:headerReference w:type="first" r:id="rId853"/>
          <w:footerReference w:type="first" r:id="rId85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55" w:history="1">
        <w:r>
          <w:rPr>
            <w:rFonts w:ascii="arial" w:eastAsia="arial" w:hAnsi="arial" w:cs="arial"/>
            <w:b/>
            <w:bCs/>
            <w:i/>
            <w:color w:val="0077CC"/>
            <w:kern w:val="32"/>
            <w:sz w:val="28"/>
            <w:szCs w:val="32"/>
            <w:u w:val="single"/>
            <w:shd w:val="clear" w:color="auto" w:fill="FFFFFF"/>
            <w:lang w:val="en-US" w:eastAsia="en-US" w:bidi="ar-SA"/>
          </w:rPr>
          <w:t>Roy v. Canada (Attorney General), [2002] B.C.J. No. 1587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Neilson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2 - 5, 8 - 10,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9,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C993804</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[2002] B.C.J. No. 1587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2002 BCSC 1021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114 A.C.W.S. (3d) 1121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[2002] B.C.T.C. 1021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Viviane Roy, Eric Segbefia, Stephane Segbefia and Tania Segbefia, plaintiffs, and The Attorney General of Canada, Her Majesty the Queen in Right of Canada, the Attorney General of British Columbia, Constable Duncan MacInnes, Constable Jeffrey Ausmus, Constable Robert Smith, Constable Steve Strike, James Andison,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(191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84" style="position:absolute;z-index:2516920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28" w:name="Keywords_32"/>
      <w:bookmarkEnd w:id="228"/>
      <w:r>
        <w:rPr>
          <w:rFonts w:ascii="arial" w:eastAsia="arial" w:hAnsi="arial" w:cs="arial"/>
          <w:b/>
          <w:color w:val="000000"/>
          <w:sz w:val="20"/>
          <w:lang w:val="en-US" w:eastAsia="en-US" w:bidi="ar-SA"/>
        </w:rPr>
        <w:t xml:space="preserve">Torts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Standard of care, particular persons and relationships — Police officers — Causation — Causal connection — Damage awards — Injury and death — Fatal accidents — Wife — Daughter — Son — Loss of guidance, care and companionship — Loss of housekeeping services — Special damages (including funeral expenses).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29" w:name="Case Summary_32"/>
            <w:bookmarkEnd w:id="22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Roy family against the federal attorney general claiming that actions or failures of officers of the Royal Canadian Mounted Police caused the death of Roy while he was in their custody. Roy was overweight with health problems arising from a motor vehicle accident. He received disability payments which he sometimes spent on alcohol. On one occasion a few months before the events in question, he was found to have a blood-alcohol level of more than three times the legal limit. A few months later, he was charged with impaired driving after a breathalyzer test produced readings of 210 and 220 milligrams. On the day in question, a dentist saw him fall and experience difficulty getting into his vehicle. She noted that he seemed to be very drunk and called the RCMP. When she returned, Roy was lying on the ground and seemed to be asleep. The police arrived and the officers could not get any coherent response from Roy. They did not describe him as unconscious, however, although for most of the time until they placed him in the local drunk tank he seemed to be asleep. Their professional policy required that, where detainees were unconscious or their consciousness was questionable, a medical examination was required. Roy was unable to walk to the police cruiser or to the cells, such that the officers, who arrested him for public drunkenness, finally dragged him on a blanket. The duty officer noted that Roy stopped breathing while in the drunk tank, and physicians in a hospital emergency ward were unable to revive him. The cause of death seemed to be acute alcohol poisoning. His spouse and grown children, now aged 23, 24, and 25, sought damages for loss of guidance, financial support and household services. Because of the loss of Roy's income, the family lost their condominium.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30" w:name="Holdings of Court_26"/>
            <w:bookmarkEnd w:id="230"/>
            <w:r>
              <w:rPr>
                <w:rFonts w:ascii="arial" w:eastAsia="arial" w:hAnsi="arial" w:cs="arial"/>
                <w:color w:val="000000"/>
                <w:sz w:val="20"/>
                <w:lang w:val="en-US" w:eastAsia="en-US" w:bidi="ar-SA"/>
              </w:rPr>
              <w:t>HELD: Action allowed in part; the Attorney General was to pay 50 per cent of damages of :$7,500 for loss of guidance regarding each plaintiff; a to-be-determined amount for loss of support to age 72; $56,259 for loss of financial support; a to-be-determined amount for loss of financial support to age 72, reduced by five per cent for contingencies; and $59,813 for loss of household services reduced by 15 per cent for contingencies; travel costs were not included as funeral expenses under the British Columbia Family Compensation Act.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conduct of the police fell below the requisite standard of care. The thought did not even occur to them that it was necessary to assess Roy's significantly-reduced level of awareness with a view to the possibility of seeking a medical examination. He might well have lived had police met the standard of care and had him properly assessed. However, Roy was 50 per cent contributorily negligent.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31" w:name="Legislation Cited_20"/>
      <w:bookmarkEnd w:id="23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85" style="position:absolute;z-index:2517432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Family Compensation Act, </w:t>
      </w:r>
      <w:r>
        <w:rPr>
          <w:rFonts w:ascii="arial" w:eastAsia="arial" w:hAnsi="arial" w:cs="arial"/>
          <w:i/>
          <w:color w:val="000000"/>
          <w:sz w:val="20"/>
          <w:lang w:val="en-US" w:eastAsia="en-US" w:bidi="ar-SA"/>
        </w:rPr>
        <w:t>R.S.B.C. 1996, c. 126</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Police Act, </w:t>
      </w:r>
      <w:hyperlink r:id="rId856" w:history="1">
        <w:r>
          <w:rPr>
            <w:rFonts w:ascii="arial" w:eastAsia="arial" w:hAnsi="arial" w:cs="arial"/>
            <w:i/>
            <w:color w:val="0077CC"/>
            <w:sz w:val="20"/>
            <w:u w:val="single"/>
            <w:shd w:val="clear" w:color="auto" w:fill="FFFFFF"/>
            <w:lang w:val="en-US" w:eastAsia="en-US" w:bidi="ar-SA"/>
          </w:rPr>
          <w:t>R.S.B.C. 1996, c. 367, s. 14</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32" w:name="Counsel_32"/>
      <w:bookmarkEnd w:id="23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86" style="position:absolute;z-index:2517944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Michael D. Murphy and Brian Poston, for the plaintiffs. Helen J. Roberts and Rodney Yamanouchi, for the defendant, the Attorney General of British Columbia.</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33" w:name="Judgment_32"/>
      <w:bookmarkEnd w:id="233"/>
      <w:r>
        <w:pict>
          <v:line id="_x0000_s1187" style="position:absolute;z-index:25184460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34" w:name="NEILSON J."/>
            <w:bookmarkEnd w:id="234"/>
            <w:r>
              <w:rPr>
                <w:rFonts w:ascii="arial" w:eastAsia="arial" w:hAnsi="arial" w:cs="arial"/>
                <w:b/>
                <w:color w:val="000000"/>
                <w:sz w:val="30"/>
                <w:lang w:val="en-US" w:eastAsia="en-US" w:bidi="ar-SA"/>
              </w:rPr>
              <w:t>NEILSON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is an action brought under the Family Compensation Act </w:t>
      </w:r>
      <w:r>
        <w:rPr>
          <w:rFonts w:ascii="arial" w:eastAsia="arial" w:hAnsi="arial" w:cs="arial"/>
          <w:i/>
          <w:color w:val="000000"/>
          <w:sz w:val="20"/>
          <w:lang w:val="en-US" w:eastAsia="en-US" w:bidi="ar-SA"/>
        </w:rPr>
        <w:t>R.S.B.C. 1996, c. 126</w:t>
      </w:r>
      <w:r>
        <w:rPr>
          <w:rFonts w:ascii="arial" w:eastAsia="arial" w:hAnsi="arial" w:cs="arial"/>
          <w:color w:val="000000"/>
          <w:sz w:val="20"/>
          <w:lang w:val="en-US" w:eastAsia="en-US" w:bidi="ar-SA"/>
        </w:rPr>
        <w:t xml:space="preserve"> by the wife and stepchildren of Germain Roy, who died while he was in the custody of the White Rock RCMP on December 17, 1998. The plaintiffs claim that the RCMP were negligent in failing to seek medical treatment for Mr. Roy. They seek damages for loss of guidance, loss of financial support, and loss of household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only remaining defendant is the Attorney General of British Columbia, who is the responsible party for the actions of the individual officers pursuant to s. 14 of the Police Act </w:t>
      </w:r>
      <w:r>
        <w:rPr>
          <w:rFonts w:ascii="arial" w:eastAsia="arial" w:hAnsi="arial" w:cs="arial"/>
          <w:i/>
          <w:color w:val="000000"/>
          <w:sz w:val="20"/>
          <w:lang w:val="en-US" w:eastAsia="en-US" w:bidi="ar-SA"/>
        </w:rPr>
        <w:t>R.S.B.C. 1996, c. 367</w:t>
      </w:r>
      <w:r>
        <w:rPr>
          <w:rFonts w:ascii="arial" w:eastAsia="arial" w:hAnsi="arial" w:cs="arial"/>
          <w:color w:val="000000"/>
          <w:sz w:val="20"/>
          <w:lang w:val="en-US" w:eastAsia="en-US" w:bidi="ar-SA"/>
        </w:rPr>
        <w:t xml:space="preserve">. The Attorney General denies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police.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EVIDENCE RELATED TO LIABILITY</w:t>
      </w:r>
      <w:r>
        <w:rPr>
          <w:rFonts w:ascii="arial" w:eastAsia="arial" w:hAnsi="arial" w:cs="arial"/>
          <w:sz w:val="20"/>
          <w:lang w:val="en-US" w:eastAsia="en-US" w:bidi="ar-SA"/>
        </w:rPr>
        <w:cr/>
      </w:r>
    </w:p>
    <w:p>
      <w:pPr>
        <w:numPr>
          <w:numId w:val="1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Background of the plaintiffs and Mr. Roy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Viviane Roy is 49 years old, and the mother of the other three plaintiffs: Eric Segbefia, born February 10, 1977, Stephane Segbefia, born March 24, 1978, and Tania Segbefia, born July 1, 1979. The plaintiffs are a close family, who have strongly supported each other through the ups and downs that life has presented for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Ms. Roy emigrated to Canada from Egypt in 1967, and settled in Montreal. She married her first husband in 1974. That was an abusive relationship, and ended in 1981. Neither she nor her children have had any contact with her first husband since.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During the 1980s, Ms. Roy was a single parent, who struggled to support her three young children. In 1989, her difficulties increased when she lost her job due to injuries in a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Ms. Roy met Mr. Roy in March 1990. He was 48 years old, and worked as an insurance broker. In 1984, he had been seriously injured in a motor vehicle accident. This interrupted his work and placed him in financial difficulty. However, by the early 1990s he had regained success, and the plaintiffs' material circumstances improved substantially with the arrival of Mr. Roy in their lives. He rented a large house for them in July 1990, and assisted them financially, although he did not move in with them until he married Ms. Roy in April 1992.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plaintiffs and Mr. Roy became a close family unit. The children adapted well to his presence, and he participated in many aspects of their lives. By all accounts, they were a happy family. The plaintiffs and family friends described Mr. Roy as fun-loving and affectionate. He liked cooking and helped with household duties. They went on family trips together, and in February 1993 they bought a house in Montreal. He and Ms. Roy were both members of the Jehovah Witness faith, and shared a number of friends and activities in that community.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September 1993, Mr. Roy suffered a relapse related to his injuries in the 1984 motor vehicle accident. As a result, he lost his job in November 1994. They had to sell their house, and he ultimately declared bankruptcy in 1995. Ms. Roy returned to work, and Eric and Stephane got paper routes, to help support the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May 1995, they decided to move to Vancouver. Ms. Roy came first to pursue a job opportunity a friend had found for her. That did not work out, however, and she remained unemployed until 1996, when she obtained part-time work with the federal government. The children each finished high school in British Columbia and took jobs to help support the family. They lived in a small apartment in Coquitlam.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Roy remained in Montreal until November 1996 to pursue a claim with the Société de L'Assurance Automobile du Quebec ("SAAQ") in connection with his recurrent injuries from the 1984 accident. He then joined the family in Coquitlam.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August 1997, Mr. Roy's claim for income replacement indemnity was accepted by SAAQ. He received a lump sum of approximately $80,000 in retroactive payments, and a continuing monthly pension of just over $2,000. The family's circumstances again improved. By this time, the children had all moved away from home and were self-supporting. Mr. and Ms. Roy used a large part of the retroactive payment for a downpayment on a condominium in White Rock, where they moved in November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Ms. Roy quit her job, and they had a happy life together, enjoying leisure activities and regular visits from the children and a grandson. They had an active social life, centered in the Jehovah Witness community. In July 1998, Tania moved back in with them to save money to travel. In September 1998, Ms. Roy enrolled in a three month bookkeeping course with a view to returning to work part-time to supplement their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They both had health problems, although these were not debilitating. Mr. Roy suffered from high blood pressure, and was prescribed Vasotec for this. He was also overweight.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Roy's alcohol use sounded the only note of discord in the otherwise happy life described by the plaintiffs and their friends. Ms. Roy said her husband was a "bon vivant", who enjoyed wine and drinks at restaurants, and would sometimes bring liquor home, usually for guests. She acknowledged he bought a mickey once in a while, and agreed she kept an eye on his drinking and encouraged him to stop. She believed that his injuries from the motor vehicle accident made him react more quickly to alcohol, and he would sometimes fall asleep or become dizzy. She denied that they argued about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Eric, however, said he sometimes heard his mother and Mr. Roy argue about his alcohol consumption, although he described it as more of a discussion than an argument. He said that when Mr. Roy was pressured, his outlet was drinking.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On the evening of March 11, 1997, Mr. Roy was found by his family lying on the sidewalk outside their apartment in Coquitlam, and was taken to hospital and admitted overnight. His blood alcohol levels were measured at the hospital as 268 mg. and 283 mg. in 100 millilitres of blood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On October 16, 1997, Mr. Roy was arrested and charged with impaired driving. His breathalyzer readings were 210 and 220 mg. of alcohol in 100 millilitres of blood. This charge was outstanding when he died.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There was evidence about two occasions over the years when Mr. Roy had fallen, but I find it insufficient to link these to alcohol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Roy's bank account records in 1998 show fairly regular withdrawals to purchase liquor. In particular, on Tuesday, December 15, 1998, Mr. Roy bought a mickey of whiskey. Stephane testified that he was visiting that day and drank some of it with Mr. Roy. Ms. Roy said that Mr. Roy finished it on December 16. The bank records indicate that he then bought a 26-ounce bottle of hard liquor on December 16 or 17. Ms. Roy testified that he also bought a mickey of hard liquor on the evening of December 17, 1998.</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Roy's activities on December 17, 1998 prior to his involvement with the police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On the morning of December 17, 1998, Mr. and Ms. Roy did some errands, returning home at about 11:30 a.m. Mr. Roy had a cold and was not feeling well. Ms. Roy and Tania went out to have lunch and shop. When they returned about 5:00 p.m., Mr. Roy was asleep. Ms. Roy drove Tania to work, and returned at about 5:30. She woke Mr. Roy, who went and bought groceries for supper and the mickey of whiskey. Ms. Roy said that, when he returned, she became upset with him as she did not want him to drink when he was not well. They argued, and Mr. Roy left in the car to go for a walk. She made him leave the mickey behind. She said that when he left home, he did not appear to have been drinking alcohol.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next information about Mr. Roy's activities comes from Dr. Leslie Williams, an orthodontist, who arrived at a restaurant in White Rock to meet friends for dinner at about 7:00 p.m. She testified that she saw Mr. Roy standing by his parked car. He was neatly and appropriately dressed. He stumbled and fell back to a sitting position. She crossed the street to ensure he was all right. He was standing again as she approached, and she asked if he was okay. He said he was. She asked if he needed help, and he said no. She then asked if he intended to drive and he indicated that he did. She offered to call a cab or his family to help him get home without driving, and he declined.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Dr. Williams said that she could understand his speech, but it was slurred. He was very unsteady on his feet, and was having difficulty putting the car key into the door. He smelled of alcohol. She concluded that Mr. Roy was significantly intoxicated, and she was concerned that he would drive, so she went to the restaurant and called the police. She said she did not consider calling for an ambulance or medical assistance because he was ambulatory and responsive. She did not think he needed anything except a ride home and an opportunity to sober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transcript of Dr. Williams' telephone call to the police dispatcher was entered by consent, and Dr. Williams agreed it was an accurate record of the call. It was received at 7:14 p.m., and Dr. Williams describes Mr. Roy as "drunk" and "hammered". She reports that he couldn't get his keys in the car door, and that she saw him "topple" as he was trying to get into his car. She says that her concern is that he may drive, and that she was thinking about taking his keys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Dr. Williams said that, after the call, she returned to Mr. Roy to await the arrival of the police. She found him lying on his back between two parked cars. He was less responsive than before. She said that she was not an expert in determining level of consciousness, and would look to expert medical assistance to assess this, but in her view Mr. Roy was not unconscious. She checked his breathing and pulse, which were both fine. She tried to rouse him by scraping her key on his nail bed, shouting, and shaking him. He responded to this. She then rolled him on his side to protect him from aspirating if he vomited.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She agreed she described Mr. Roy as "almost unconscious" in her evidence at the inquest, but at trial said she would have expected him to be unresponsive if he was unconscious. Instead, when she ran her key on his nail bed, he moaned and withdrew his hand. She agreed he said no articulate words.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Dr. Williams testified that if she had seen Mr. Roy in this condition initially, she would have had medical concerns, but that at this point she passed him on to the RCMP to do their assessment. However, she also said that she did not tell the police that she thought Mr. Roy needed medical attention, because she did not think he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To put Dr. Williams' observations in context, she said that her training included two years of the same basic science courses as medical students, followed by seven years of dental and orthodontic training. As an orthodontist, she said she does assessments of overall medical health with respect to matters which might lead to problems while undergoing dental treatment. She also had her CPR certification in December 1998.</w:t>
      </w:r>
      <w:r>
        <w:rPr>
          <w:rFonts w:ascii="arial" w:eastAsia="arial" w:hAnsi="arial" w:cs="arial"/>
          <w:sz w:val="20"/>
          <w:lang w:val="en-US" w:eastAsia="en-US" w:bidi="ar-SA"/>
        </w:rPr>
        <w:cr/>
      </w:r>
    </w:p>
    <w:p>
      <w:pPr>
        <w:numPr>
          <w:numId w:val="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Mr. Roy's dealings with the police on December 17,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Corporal MacInnes was dispatched to deal with Mr. Roy. He has been with the RCMP since 1987. He has basic first aid and CPR training.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He arrived shortly after 7:15 p.m. The transcript of his discussion with the dispatcher en route indicates he was told that Mr. Roy was drunk, had tripped over something, and was staggering as he tried to get to his vehicle. However, at his discovery and initially in his evidence at trial, Corporal MacInnes denied that he knew Mr. Roy had fallen.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He said that he had a brief conversation with Dr. Williams on arrival. She showed him where Mr. Roy was, and he went to him. He then came back to Dr. Williams to ensure that she had given information to the dispatcher, thanked her, and told her she could leave. He said that they had no discussion about whether Mr. Roy needed medical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Dr. Williams agreed that she had a brief conversation with Corporal MacInnes, but testified that she had no clear recollection of what she told him. She agreed that in a statement she gave to the police on December 18, 1998, she said that while she did not remember a lot of what Corporal MacInnes did, she saw him lean over Mr. Roy, shake him, and speak to him in a fairly loud voice. She also said that she told Corporal MacInnes that Mr. Roy had stumbled. She agreed as well that at the inquest she testified that she had told Corporal MacInnes that Mr. Roy's condition deteriorated while she had observed him. She could not recall any conversation with him about whether Mr. Roy needed medical help.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Corporal MacInnes initially testified that, when he arrived, Mr. Roy was sitting on the ground leaning against the door of another vehicle. He was cross-examined and said that he was not mistaken in this recollection. However, he then acknowledged that at his examination for discovery, at the inquest, and in his own notes made at the time, he had reported that Mr. Roy was lying on his side between two vehicles when he arrived. He then agreed these earlier statements were 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He said he asked Mr. Roy if he was okay, and got no response. He checked his head for injuries by looking for blood with his flashlight. He said that Mr. Roy appeared intoxicated. His eyes were open, and he looked at him and muttered something under his breath, but Corporal MacInnes did not understand him. He had a very strong odour of liquor. He said he could see Mr. Roy was breathing, and did not check his pulse or anything else. His assessment took 30 to 60 seconds, and he made no notes of his observations.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Corporal MacInnes then checked Mr. Roy on the police computer, and learned he had an outstanding charge for impaired driving. He decided to place him in the police cells until he was sober, pursuant to his powers under the Liquor Control and Licensing Act. He agreed that one reason for this decision was a concern for Mr. Roy's safety, as he appeared unable to care for himself.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discovery evidence read in by the plaintiffs, Corporal MacInnes said he concluded Mr. Roy was severely intoxicated. He agreed that he did not ask Mr. Roy if he had had anything to drink, and did no tests to confirm that he was intoxicated by alcohol.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Corporal MacInnes acknowledged that he gave a statement to Corporal Shaw about these events later the same night which reads in 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When you saw him initially, when he was on the ground. Did he, you said he looked at you. Did he seem to recognize who you were? Did he ...</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couldn't really tell if he recognized me or not. It's just that I had my flashlight and I was shining it on his face. Looking around the general area and stuff. Just asking basic questions. Are you O.K. And that type of thing and he was just staring at me like, I don't know how you would describe it. It was just like looking at somebody without actually seeing somebody. He didn't. He was blinking his eyes. He was breathing normally. He didn't seem to be in any pain or distress or anything. He just, he just didn't answer.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Corporal MacInnes also agreed he gave the following evidence at the inquest: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 how would you rate his situation at that time in terms of consciousness?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would say that he was semi-conscious at best. He was - appeared to be extremely intoxicated. He had trouble responding.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Constable Ausmus was dispatched to assist Corporal MacInnes in transporting Mr. Roy. He has been with the R.C.M.P. since 1997, and had current basic first aid and CPR training. He testified that he found Corporal MacInnes outside his vehicle next to Mr. Roy, who was sitting on the pavement with his back against another vehicle. Mr. Roy smelled strongly of liquor, and Constable Ausmus said he could hear him snoring loudly. He assumed Mr. Roy was highly intoxicated.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Corporal MacInnes testified that as the first officer on the scene, it was his decision to arrest Mr. Roy. He did not discuss this with Constable Ausmus. Constable Ausmus agreed that they had no discussion about Mr. Roy's condition, and said that he made no inquiries of Mr. Roy himself. He did not physically assess Mr. Roy, and did not know if Corporal MacInnes had done so. He understood that Mr. Roy was being taken to the police cells for his own safety, to be held until he was sober.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Corporal MacInnes asked Mr. Roy to get up and walk to the car, and he did not respond. The two officers then picked him up, carried him to the police vehicle, and placed him on the back seat. Corporal MacInnes said that Mr. Roy was not responsive during this process. Constable Ausmus testified that Mr. Roy looked at them and moaned or mumbled something before they got him to go to the vehicle, and again as they carried him to the vehicle. He said this was not responsive to anything he or Corporal MacInnes had said. Both officers agreed that once Mr. Roy was in the car, he appeared to be sleeping and snoring loudly. Corporal MacInnes said he did not try to speak to Mr. Roy again, and Mr. Roy did not say anything. He snored all the way back to the police station, where they arrived just before 7:30 p.m.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Roy did not assist them in getting him out of the car, and so the officers transported him to the cells by placing him on a blanket, and then dragging him on the blanket to cell 3, which is the drunk tank. Constable Ausmus said that as they placed Mr. Roy on the blanket, he looked at them and mumbled something. He agreed this was no more than a quick opening of his eyes and a grunt.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Corporal MacInnes' description of Mr. Roy's state of responsiveness at the police station varied. At trial, he testified that, as they removed Mr. Roy from the vehicle and put him on the blanket, he stopped snoring and briefly opened his eyes. He said he was not sure if he was awake or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Corporal MacInnes then agreed that when Corporal Shaw asked him later that evening if Mr. Roy woke up at all coming out of the car, he had said, "No". He also agreed that, although he could not recall this portion of his statement, he gave Corporal Shaw this description of Mr. Roy when he arrived at the cells: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was, an absolute blob type of thing.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was just like he had no no control, no no strength of anything whatsoever. He just seemed to be totally passed out. His eyes would open and his eyes would close again but he offered no help whatsoever.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Corporal MacInnes also acknowledged that he gave the following evidence at his discovery about Mr. Roy's condition when he was taken to the cells: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You'll agree with me that Mr. Roy in the circumstances was placed into the cell when he was unconscious?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Mr. Roy had his eyes open when we put him in the cell.</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When is it that he closed his eyes again, do you recall?</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believe it was when he was put in the recovery position and covered with a blanket and started snoring again.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from the moment that you and Constable Ausmus took him out of the car his eyes were open,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Correct.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Until he was put in the recovery position?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Corporal MacInnes also agreed that he gave this evidence at the inquest: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just so I'm clear and the members of the jury are clear, Mr. Roy was unconscious from the moment you put him in the back of the car until you got to put him in the cell and left him there?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He had his eyes open and was responsive until he got in the car. When he laid down in the back seat of the car, he began to snore.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from that point forward he was unconscious?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right.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Didn't wake up when you took him out of the car?</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when you took him into the lockup?</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Corporal MacInnes was unable to provide a satisfactory explanation for these variations in his description of Mr. Roy's level of awareness as he was taken to the cell. He denied that he had exaggerated Mr. Roy's responsiveness in his discovery evidence to cover up the fact he had made a mistake. At trial, he maintained that Mr. Roy opened his eyes only briefly when he was removed from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At his discovery, Corporal MacInnes agreed that from the time Mr. Roy was placed in the car, until he was put in the cell, no medical check was done on him. No one checked his pulse or breathing.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Corporal MacInnes testified that Mr. Roy was not easily roused at the cells, that he was drowsy, had difficulty communicating, and had very limited physical reaction to his surroundings. Asked if he was unconscious in the cell, Corporal MacInnes said he believed Mr. Roy was sleeping. He said he did not think to seek medical help, and it was his view that departmental policy did not require him to do so in the circumstances as he observed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Once Mr. Roy was placed in the cell, Corporal MacInnes filled out a document called a Prisoner Report. In it, he lists the nature of the event as "Drunk, public place" and indicates Mr. Roy is to be released when sober. He describes the action taken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Call received of male, staggering, and trying to get into his vehicle. Members attended, found male passed out along side his vehicle. Held until sober. Male was unable to walk, and had to be carried to cells.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Corporal MacInnes agreed that on arrival at the scene, he had also described Mr. Roy to the dispatcher as "passed out". However, when cross-examined about that description, he said that it was not accurate. He had no explanation for why he used the term "passed out" if it was not appropriate. On re-examination, he was asked what "passed out" meant to him, and said that it means someone has had too much to drink and has gone to sleep.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Corporal MacInnes said that after he completed the Prisoner Report, he left the cell area to resume other duties. He did not see Mr. Roy again, but could hear him snoring in the cell as he left.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Constable Ausmus accompanied Mr. Roy into the cell to remove his personal effects with Mr. Andison, the jail guard on duty. They then rolled him onto his right side in the recovery position in case he vomited. Constable Ausmus returned to other duties shortly after this, and said that as he left the cell area, he heard Mr. Roy snoring loudly and could see him lying on his right side. At his discovery, Constable Ausmus agreed that he could not recall if anyone tried to rouse Mr. Roy before he left the cell.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Corporal MacInnes and Constable Ausmus agreed they could have taken Mr. Roy to the hospital or called an ambulance. Corporal MacInnes said he has sought medical help for prisoners in the past, and the hospital has always been receptive, although they sometimes had to wait for treatment, depending on the problem. Constable Ausmus said they do not normally do this for intoxicated people.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Mr. Andison observed Mr. Roy after the officers left. He had over ten years experience as a jail guard, and said that over 50% of the prisoners in the cells are brought in for being drunk in a public place. On this evening, Mr. Roy was the only prisoner in the drunk tank.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Mr. Andison said that when he went into the cell with Constable Ausmus, Mr. Roy was on his back on the blanket snoring loudly. There was a strong smell of alcohol. He appeared to be in a deep sleep, and might have mumbled although Mr. Andison was not sure. He said he did not talk to the officers about Mr. Roy's level of consciousness, and he did not assess it. Nor was there any discussion about obtaining medical attention for Mr. Roy. Mr. Andison felt that the fact Mr. Roy was snoring distracted them into believing that he was asleep.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Mr. Andison explained that he observes the cells almost constantly by watching monitors in the guard station that are linked to cameras mounted in each cell. As well, he is required to check the prisoners visually, approximately every 15 minutes, and report their condition in a log book.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After Mr. Roy was booked in at about 7:30 p.m., Mr. Andison did his first visual check at 7:47 p.m. His note in the log book describes Mr. Roy as secure, and resting or sleeping. He said Mr. Roy was snoring at the same volume as before.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Mr. Andison did his next check sooner than required, at 7:53 p.m. When he checked Cell 3, he noted Mr. Roy's snoring had stopped, and he could not see him breathing. He sought help, and other officers arrived and started CPR. An ambulance was called, and Constable Ausmus and Corporal MacInnes also returned to the cells to offer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Mr. Roy was taken to hospital at 8:18 p.m. Doctors there were unable to resuscitate him, and he was pronounced dead.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Senior officers were notified, and the RCMP commenced an investigation into the matter that evening. Two officers went to the Roy home at about 10:30 p.m., and told Ms. Roy and Tania that Mr. Roy had died. This meeting was very unsatisfactory from the plaintiffs' point of view. The information they received was at odds in some respects with the events that had occurred. As well, the officers would not respond to their questions about how Mr. Roy had died. They asked the police if they could see him, and were told this was not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When the police left, Ms. Roy and Tania called Stephane and Eric, who came immediately. The plaintiffs testified that further efforts to obtain information from the police about the events were futile, and they only discovered what had transpired many months later during the inquest.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On December 18, 1998, Dr. Charlesworth, a forensic pathologist, performed an autopsy on Mr. Roy. Among other findings, the toxicology analysis showed alcohol levels of 370 mg. in his blood, and 380 mg. in the vitreous fluid of his eye.</w:t>
      </w:r>
      <w:r>
        <w:rPr>
          <w:rFonts w:ascii="arial" w:eastAsia="arial" w:hAnsi="arial" w:cs="arial"/>
          <w:sz w:val="20"/>
          <w:lang w:val="en-US" w:eastAsia="en-US" w:bidi="ar-SA"/>
        </w:rPr>
        <w:cr/>
      </w:r>
    </w:p>
    <w:p>
      <w:pPr>
        <w:numPr>
          <w:numId w:val="4"/>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Evidence concerning RCMP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National RCMP Operational policy includes the following provision concerning medical treatment for prisoners and mentally disturbed persons: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E.3.a. If there is any indication that a person in your custody is ill, suspected of acute alcohol poisoning or a drug overdose, injured or not fully conscious, even if the person denies same, ensure that he/she:</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is examined by a qualified medical practitioner;</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receives immediate medical treatment; and</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is not placed in a cell unless a medical examination finds him/her fit to be incarcerated.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R.C.M.P. policy for British Columbia that deals with medical treatment for prisoners and mentally disturbed persons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Questionable Consciousness</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who is ill, injured, unconscious or of questionable consciousness at the time of arrest shall not be placed in a cell UNLESS medically examined and found fit to be incarcerated.</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Questionable Consciousness means:</w:t>
      </w: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is either conscious or questionable. If questionable, medical attention is needed immediately. Members will not attempt to determine the degree of consciousness of a person who appears to be less than fully conscious.</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Chronic Alcoholics</w:t>
      </w:r>
    </w:p>
    <w:p>
      <w:pPr>
        <w:numPr>
          <w:numId w:val="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Chronic alcoholics may suffer from Subdural Hematoma (hemorrhage of the brain or bleeding of the brain, between it and the skull). This condition is caused by a deterioration of the blood vessels due to the abuse of alcohol and can be set off by a slight blow to the head.</w:t>
      </w:r>
    </w:p>
    <w:p>
      <w:pPr>
        <w:numPr>
          <w:numId w:val="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Members should familiarize themselves with symptoms related to Subdural Hematoma as early medical treatment could prevent a needless death. Symptoms are recognized in persons who:</w:t>
      </w:r>
    </w:p>
    <w:p>
      <w:pPr>
        <w:numPr>
          <w:numId w:val="1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cannot easily be aroused from sleep;</w:t>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have difficulty communicating;</w:t>
      </w:r>
    </w:p>
    <w:p>
      <w:pPr>
        <w:numPr>
          <w:numId w:val="1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are drowsy; or</w:t>
      </w:r>
    </w:p>
    <w:p>
      <w:pPr>
        <w:numPr>
          <w:numId w:val="1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have little or no reaction to parts of their body.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White Rock Detachment Operational Policy includes the following with respect to prisoners and mentally disturbed persons: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MEDICAL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If there is any indication that a person in the care or custody of the R.C.M.P. is sick, injured or of questionable consciousness, immediately obtain medical aid. Any medical treatment administered is to be noted on C-13. (i.e. taken to hospital/given pain killers, etc.)</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1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who is ill, injured, unconscious or of questionable consciousness at the time of arrest shall not be placed in a cell unless medically examined and found fit to be incarcerated.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Corporal MacInnes and Constable Ausmus both testified that in December 1998 they were aware that RCMP policy required them to seek a medical examination for a prisoner of questionable consciousness, before incarcerating him or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Corporal MacInnes testified that this did not apply to Mr. Roy based on his observations and opinion at the time. He said he believed Mr. Roy was conscious based on his personal experience. He did not testify as to the basis for these conclusions. He agreed that the policy gives no discretion and does not take into account personal experience. He agreed as well that one reason for this policy is that officers are not medically trained and cannot identify the need for medical care. He said it was his understanding that medical treatment was to be sought for prisoners who showed any indication of injury or illness.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Constable Ausmus testified that he did not believe he had the discretion to make a determination of the level of consciousness of a prisoner if he believed the person was unconscious. In this case, he said he believed Mr. Roy was conscious and did not fit the definition of "questionable consciousness". He was not asked to give the basis for that opinion. He agreed that the policies with respect to medical treatment were to protect prisoners from harm, and that he was not qualified to diagnose or treat people.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In discovery evidence read in by the plaintiffs, Constable Ausmus said that when Mr. Roy was in the police car, he believed he was so inebriated that he had passed out and was asleep, and that remained his condition when he was placed in the cell. He assessed Mr. Roy as having a high level of intoxication. He did not discuss his level of consciousness, or taking him for medical treatment, with Corporal MacInnes. He said that the question of whether Mr. Roy was of questionable consciousness did not cross his mind.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CAUSE OF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evidence raises two potential causes of Mr. Roy's death: a fatal cardiac arrhythmia, or respiratory arrest due to acute alcohol ingestion. Which it was has a direct bearing on what, if any, actions the police could or should have taken to prevent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If Mr. Roy died due to a cardiac event, the evidence indicates his death would have been sudden, and impossible for the police to predict or prevent.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evidence describing death from alcohol toxicity established that alcohol acts as a central nervous system depressant, and consumption in large amounts leads progressively to coma, respiratory depression, and ultimately respiratory arrest. This progression can be detected, and averted if timely medical intervention is sought, and the patient intubated to protect his airway.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Three experts gave evidence relevant to the cause of death. Dr. Charlesworth, the forensic pathologist who performed the autopsy, and Mr. Shijani, a chemist with particular expertise in alcohol analysis, both of whom were called by the plaintiffs, were of the view that Mr. Roy died of acute alcohol ingestion. Dr. Baker, an expert in addiction medicine called by the defendants, provided an opinion supporting a cardiac event as the cause of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Having considered their evidence, I find that acute alcohol ingestion was the more likely cause of death for the following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First, where the views of these experts diverge, I prefer the evidence of Dr. Charlesworth. As a forensic pathologist with over 10 years of experience, he has significantly greater training and experience in determining cause of death than either of the other experts. The fact that he became involved in the matter through the performance of his regular professional duties indicates he approached it with complete objectivity, unclouded by the spectre of litigation. As well, his conclusions are based on personal observations made during the autopsy. Dr. Baker, on the other hand, formulated his views entirely on written material, some of which was not in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Second, I find Dr. Baker's opinion tentative. In his report, he sets out factors that lead him to eliminate alcohol toxicity as the cause of death, and then appears to choose fatal cardiac arrhythmia as a possible cause based primarily on a lack of other alternatives. For example, his report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would make me </w:t>
      </w:r>
      <w:r>
        <w:rPr>
          <w:rFonts w:ascii="arial" w:eastAsia="arial" w:hAnsi="arial" w:cs="arial"/>
          <w:color w:val="000000"/>
          <w:sz w:val="20"/>
          <w:u w:val="single"/>
          <w:lang w:val="en-US" w:eastAsia="en-US" w:bidi="ar-SA"/>
        </w:rPr>
        <w:t>suspect</w:t>
      </w:r>
      <w:r>
        <w:rPr>
          <w:rFonts w:ascii="arial" w:eastAsia="arial" w:hAnsi="arial" w:cs="arial"/>
          <w:color w:val="000000"/>
          <w:sz w:val="20"/>
          <w:lang w:val="en-US" w:eastAsia="en-US" w:bidi="ar-SA"/>
        </w:rPr>
        <w:t xml:space="preserve"> that an unpredictable event </w:t>
      </w:r>
      <w:r>
        <w:rPr>
          <w:rFonts w:ascii="arial" w:eastAsia="arial" w:hAnsi="arial" w:cs="arial"/>
          <w:color w:val="000000"/>
          <w:sz w:val="20"/>
          <w:u w:val="single"/>
          <w:lang w:val="en-US" w:eastAsia="en-US" w:bidi="ar-SA"/>
        </w:rPr>
        <w:t>may</w:t>
      </w:r>
      <w:r>
        <w:rPr>
          <w:rFonts w:ascii="arial" w:eastAsia="arial" w:hAnsi="arial" w:cs="arial"/>
          <w:color w:val="000000"/>
          <w:sz w:val="20"/>
          <w:lang w:val="en-US" w:eastAsia="en-US" w:bidi="ar-SA"/>
        </w:rPr>
        <w:t xml:space="preserve"> have happened, such as a fatal cardiac arrhythmia.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I am unable, with certainty, to state the cause of death in this man.</w:t>
      </w:r>
      <w:r>
        <w:rPr>
          <w:rFonts w:ascii="arial" w:eastAsia="arial" w:hAnsi="arial" w:cs="arial"/>
          <w:color w:val="000000"/>
          <w:sz w:val="20"/>
          <w:lang w:val="en-US" w:eastAsia="en-US" w:bidi="ar-SA"/>
        </w:rPr>
        <w:t xml:space="preserve"> Because of this man's likely high tolerance to alcohol, I believe it is unlikely that he died from respiratory depression due to alcohol overdose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Dr. Baker gave five reasons for these conclusions. The first was his belief that Mr. Roy's alcohol level peaked some time before he stopped breathing, and his level of central nervous system depression would have therefore been decreasing, making respiratory arrest from alcohol unlikely.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In reaching that conclusion, he depended heavily on the higher level of alcohol found in the vitreous of the eye than the blood. However, Mr. Shijani used the same information to reach the opposite conclusion: that Mr. Roy's alcohol level was increasing at the time of death. I can find nothing in the evidence to assist me in determining which of these disparate theories is 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Moreover, both Dr. Baker and Mr. Shijani testified that, while absorption of alcohol usually peaks 30 minutes after a person stops drinking, that time frame can be prolonged if a large amount of alcohol has been consumed in a short time. I find the evidence supports a finding that Mr. Roy had consumed a substantial amount of liquor in less than an hour. The description of his activities shows he left home at 6 p.m. at the earliest. While he may have been drinking before he left home, I find that he had not had enough alcohol at that point for it to have a discernible effect. He had recently purchased a 26 ounce bottle of hard liquor which has not been accounted for. He was severely intoxicated when Dr. Williams saw him at 7 p.m. His blood alcohol level at death, about an hour and a quarter later was 370 mgs., which the experts say is in the toxic range. As well, the evidence demonstrates deterioration in his condition from 7:00 p.m. onward.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 find that these factors shed doubt on Dr. Baker's conclusion that Mr. Roy's blood alcohol level had peaked prior to his death without endangering his respiratory 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Second, Dr. Baker relies on Mr. Roy's history of high blood pressure, his obesity, and findings reported by Dr. Charlesworth at autopsy with respect to his cardiovascular system. These included an enlarged heart, narrowing of coronary arteries, a scar from an old heart attack, and the failure of the toxicology results to record Vasotec, his blood pressure medication, in Mr. Roy's system, indicating he was not regularly taking the drug as prescribed. Dr. Baker says all of these are consistent with a cardiac event as the cause of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Dr. Charlesworth agreed that these presented risk factors for a fatal cardiac event, and referred to Mr. Roy as a "walking time bomb" in that context. However, given the factual background, Dr. Charlesworth remained strongly of the view that Mr. Roy was progressing rapidly through stages of acute alcohol intoxication, and a cardiac event was a most unlikely cause of his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Dr. Baker's third point was that respiratory depression due to alcohol toxicity is generally characterized by progressive deterioration. The person's breathing slows and becomes shallow. He said these changes would be observable, and that progression from being asleep with loud snoring to death would take at least half an hour. Since those observing Mr. Roy did not report such progression, Dr. Baker concludes his death was from some other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Dr. Charlesworth's opinion differed from Dr. Baker's on several points. First, he said progression from sleeping to respiratory depression can be rapid, depending on how much alcohol has been ingested and with what speed. He believed Mr. Roy showed a rapid progression through the significant stages of alcohol depression on his central nervous system. Dr. Charlesworth also testified that he would not expect a lay person to recognize this, or to be able to tell the difference between snoring and the more laboured breathing characteristic of coma and increasing respiratory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Fourth, Dr. Baker ruled out death from alcohol toxicity because he characterized Mr. Roy as a person with long-standing alcohol dependence, and a resulting high tolerance to alcohol. Although he agreed that Mr. Roy was very intoxicated, Dr. Baker believed he would be unlikely to suffer long term ill effects from a level of 370 mg. due to that tolerance.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 find the evidence insufficient to support a conclusion that Mr. Roy had a high tolerance to alcohol. I accept that "chronic" alcoholism is defined by the duration of alcohol dependence, and that by that definition, Mr. Roy may have been a chronic alcoholic. However, I accept Dr. Charlesworth's evidence that not all chronic alcoholics regularly drink large amounts of alcohol that lead to a high tolerance to it. A chronic alcoholic can also be a binge drinker, who drinks large amounts irregularly, between periods of limited use or abstinence. Such binge drinking does not create a high tolerance to alcohol.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Mr. Roy's pattern of alcohol consumption reveals only two earlier incidents in which excessive drinking was clearly established. In March, 1997 Mr. Roy was found drunk on the sidewalk outside his home and hospitalized. His blood alcohol levels were 268 and 283 mg. Dr. Charlesworth points out that his symptoms as that time were consistent with an average person at that level of intoxication, and did not demonstrate a high tolerance for alcohol. The other incident was in October, 1997, when Mr. Roy was arrested for impaired driving and his blood alcohol levels were 210 and 220 mg. I do not find these two incidents sufficient to establish regular heavy drinking by Mr. Roy. I also note Mr. Shijani's evidence that Mr. Roy's rapid deterioration on December 17, 1998 does not support a high tolerance to alcohol.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Mr. Roy's bank records do show frequent purchases of liquor from June to September 1998. However, it is not known how much of this liquor Mr. Roy drank. Moreover, the purchases decreased dramatically after September, with only two in October, none in November, and then the three in mid December immediately before his death. I find that this pattern does not establish regular consumption of large amounts of alcohol in the months preceding his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 accept that his drinking was an issue with Ms. Roy, but the evidence indicates her concern was the amount he drank, rather than the frequency with which he drank. Moreover, the evidence falls far short of establishing Dr. Baker's theory that alcohol was responsible for Mr. Roy's job loss, financial collapse, and marital and family dysfunction. There is no evidence to support such a conclusion, and I find that this supposition significantly detracts from his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Finally, Dr. Baker claimed that the findings at autopsy indicated Mr. Roy was a chronic drinker with a high tolerance to alcohol. However, on cross-examination, he agreed with Dr. Charlesworth's view that these findings were, in fact, non-specific, and could be explained by other medical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For all of these reasons, I reject Dr. Baker's thesis that Mr. Roy died from a cardiac event, rather than alcohol toxicity.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As well, I find that several factors support Dr. Charlesworth's conclusion that the cause of death was acute alcohol ingestion. Chief among these is that Mr. Roy's blood alcohol level of 370 mg was in the potentially lethal range. Dr. Charlesworth noted that his blood alcohol level may have been even higher at his death, as resuscitation attempts can cause dilution.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 expert evidence established that Mr Roy would have had to drink up to 26 ounces of hard liquor to reach that level. I have found that Mr. Roy drank most of that in less than an hour, between 6:00 and 7:00 p.m. The expert testimony indicated that absorption of alcohol in the blood usually peaks half an hour after the last drink, but that rapid consumption of a large amount can result in absorption continuing up to an hour after the last drink. I find that is what occurred in Mr. Roy's case, and his blood alcohol level continued to increase while he was in police custody. I find that the deterioration in his condition from the time Dr. Williams saw him to his death supports this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For all of these reasons, I conclude it is more probable than not that Mr. Roy died from acute alcohol ingestion, which caused depression of his central nervous system, and ultimately respiratory arrest.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ANALYSIS ON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The parties agree that the RCMP owe a duty of care to prisoners in their custody: Funk v. Clapp </w:t>
      </w:r>
      <w:hyperlink r:id="rId857" w:history="1">
        <w:r>
          <w:rPr>
            <w:rFonts w:ascii="arial" w:eastAsia="arial" w:hAnsi="arial" w:cs="arial"/>
            <w:i/>
            <w:color w:val="0077CC"/>
            <w:sz w:val="20"/>
            <w:u w:val="single"/>
            <w:shd w:val="clear" w:color="auto" w:fill="FFFFFF"/>
            <w:lang w:val="en-US" w:eastAsia="en-US" w:bidi="ar-SA"/>
          </w:rPr>
          <w:t>(1986), 35 B.C.L.R (2d) 222</w:t>
        </w:r>
      </w:hyperlink>
      <w:r>
        <w:rPr>
          <w:rFonts w:ascii="arial" w:eastAsia="arial" w:hAnsi="arial" w:cs="arial"/>
          <w:color w:val="000000"/>
          <w:sz w:val="20"/>
          <w:lang w:val="en-US" w:eastAsia="en-US" w:bidi="ar-SA"/>
        </w:rPr>
        <w:t xml:space="preserve"> (C.A.). Paragraph E.1.a of the National RCMP policy acknowledges that "the RCMP is responsible for the well-being and protection of persons in its custody", a provision that the B.C. Court of Appeal has found to be a recognition of the common law duty of care: Fortey (Guardian ad litem of) v. Canada (Attorney General), </w:t>
      </w:r>
      <w:hyperlink r:id="rId858" w:history="1">
        <w:r>
          <w:rPr>
            <w:rFonts w:ascii="arial" w:eastAsia="arial" w:hAnsi="arial" w:cs="arial"/>
            <w:i/>
            <w:color w:val="0077CC"/>
            <w:sz w:val="20"/>
            <w:u w:val="single"/>
            <w:shd w:val="clear" w:color="auto" w:fill="FFFFFF"/>
            <w:lang w:val="en-US" w:eastAsia="en-US" w:bidi="ar-SA"/>
          </w:rPr>
          <w:t>[1999] B.C.J. No. 1102</w:t>
        </w:r>
      </w:hyperlink>
      <w:r>
        <w:rPr>
          <w:rFonts w:ascii="arial" w:eastAsia="arial" w:hAnsi="arial" w:cs="arial"/>
          <w:color w:val="000000"/>
          <w:sz w:val="20"/>
          <w:lang w:val="en-US" w:eastAsia="en-US" w:bidi="ar-SA"/>
        </w:rPr>
        <w:t xml:space="preserve"> at para. 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That duty has been described as one of "greatest care" when the prisoner is intoxicated, due to his vulnerability: Socha (Public Trustee of) v. Millar, </w:t>
      </w:r>
      <w:hyperlink r:id="rId859" w:history="1">
        <w:r>
          <w:rPr>
            <w:rFonts w:ascii="arial" w:eastAsia="arial" w:hAnsi="arial" w:cs="arial"/>
            <w:i/>
            <w:color w:val="0077CC"/>
            <w:sz w:val="20"/>
            <w:u w:val="single"/>
            <w:shd w:val="clear" w:color="auto" w:fill="FFFFFF"/>
            <w:lang w:val="en-US" w:eastAsia="en-US" w:bidi="ar-SA"/>
          </w:rPr>
          <w:t>[1994] O.J. No. 1223</w:t>
        </w:r>
      </w:hyperlink>
      <w:r>
        <w:rPr>
          <w:rFonts w:ascii="arial" w:eastAsia="arial" w:hAnsi="arial" w:cs="arial"/>
          <w:color w:val="000000"/>
          <w:sz w:val="20"/>
          <w:lang w:val="en-US" w:eastAsia="en-US" w:bidi="ar-SA"/>
        </w:rPr>
        <w:t xml:space="preserve">, (Ont. C.J. - Gen. Div.) at para. 67-68, 73, aff'd </w:t>
      </w:r>
      <w:hyperlink r:id="rId860" w:history="1">
        <w:r>
          <w:rPr>
            <w:rFonts w:ascii="arial" w:eastAsia="arial" w:hAnsi="arial" w:cs="arial"/>
            <w:i/>
            <w:color w:val="0077CC"/>
            <w:sz w:val="20"/>
            <w:u w:val="single"/>
            <w:shd w:val="clear" w:color="auto" w:fill="FFFFFF"/>
            <w:lang w:val="en-US" w:eastAsia="en-US" w:bidi="ar-SA"/>
          </w:rPr>
          <w:t>[1998] O.J. No. 2006</w:t>
        </w:r>
      </w:hyperlink>
      <w:r>
        <w:rPr>
          <w:rFonts w:ascii="arial" w:eastAsia="arial" w:hAnsi="arial" w:cs="arial"/>
          <w:color w:val="000000"/>
          <w:sz w:val="20"/>
          <w:lang w:val="en-US" w:eastAsia="en-US" w:bidi="ar-SA"/>
        </w:rPr>
        <w:t xml:space="preserve"> (C.A.). This is reinforced by the fact that one reason the police detain a person who is drunk in a public place is due to concerns for the person's safety.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The standard of care to which the police are held is that of "a reasonable police officer, acting reasonably and within the statutory powers imposed upon him or her, according to the circumstances of the case": Doern v. Phillips Estate </w:t>
      </w:r>
      <w:hyperlink r:id="rId861" w:history="1">
        <w:r>
          <w:rPr>
            <w:rFonts w:ascii="arial" w:eastAsia="arial" w:hAnsi="arial" w:cs="arial"/>
            <w:i/>
            <w:color w:val="0077CC"/>
            <w:sz w:val="20"/>
            <w:u w:val="single"/>
            <w:shd w:val="clear" w:color="auto" w:fill="FFFFFF"/>
            <w:lang w:val="en-US" w:eastAsia="en-US" w:bidi="ar-SA"/>
          </w:rPr>
          <w:t>(1994), 2 B.C.L.R. (3d) 349</w:t>
        </w:r>
      </w:hyperlink>
      <w:r>
        <w:rPr>
          <w:rFonts w:ascii="arial" w:eastAsia="arial" w:hAnsi="arial" w:cs="arial"/>
          <w:color w:val="000000"/>
          <w:sz w:val="20"/>
          <w:lang w:val="en-US" w:eastAsia="en-US" w:bidi="ar-SA"/>
        </w:rPr>
        <w:t xml:space="preserve"> (S.C.), aff'd. </w:t>
      </w:r>
      <w:hyperlink r:id="rId862" w:history="1">
        <w:r>
          <w:rPr>
            <w:rFonts w:ascii="arial" w:eastAsia="arial" w:hAnsi="arial" w:cs="arial"/>
            <w:i/>
            <w:color w:val="0077CC"/>
            <w:sz w:val="20"/>
            <w:u w:val="single"/>
            <w:shd w:val="clear" w:color="auto" w:fill="FFFFFF"/>
            <w:lang w:val="en-US" w:eastAsia="en-US" w:bidi="ar-SA"/>
          </w:rPr>
          <w:t>(1997), 43 B.C.L.R. (3d) 53</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The plaintiffs argue that the standard of care in this case is established definitively by the national, provincial, and White Rock RCMP policies that I have set out in paragraphs 63-65, which deal with the obligation to seek medical treatment for prisoners. Each of these requires the police to have a person medically examined before he is incarcerated if he is "not fully conscious" (the national policy), or "of questionable consciousness" (the provincial and White Rock policies).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 plaintiffs say that Mr. Roy was in a state of "questionable consciousness" when Corporal MacInnes and Constable Ausmus detained him, and they were obliged to seek medical attention for him before placing him in a cell. The RCMP policies afford them no discretion. Their failure to act in accord with those policies was a breach of the standard of care, and that lapse had disastrous consequences. Had Mr. Roy had medical attention, the plaintiffs argue that his increasing respiratory depression would have been recognized, and appropriate treatment would have prevented his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The defendant replies that these RCMP policies do not definitively establish the standard of care. It says that it would not be reasonable in terms of either police or medical resources to require the police to take every intoxicated prisoner whose level of consciousness is diminished due to alcohol for a medical examination. It says that Mr. Roy exhibited no more than the usual signs and symptoms of impairment, and it was reasonable for the officers to treat this as a routine case of intoxication. There was no means by which they could reasonably know or suspect that Mr. Roy had rapidly consumed a dangerously large amount of alcohol, placing him at risk of respiratory depression and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The parties referred to a number of authorities in which police policy manuals have been used in determining the standard of care of police officers. In Funk v. Clapp, supra, Seaton J.A. reviewed the relevant police policy and found that it "might" afford a standard of reasonable care. This statement has subsequently been interpreted as meaning that police manuals may, but not must, provide the standard of care: Fortey, supra, at para. 34; Lipcsie v. Central Saanich (District), </w:t>
      </w:r>
      <w:hyperlink r:id="rId863" w:history="1">
        <w:r>
          <w:rPr>
            <w:rFonts w:ascii="arial" w:eastAsia="arial" w:hAnsi="arial" w:cs="arial"/>
            <w:i/>
            <w:color w:val="0077CC"/>
            <w:sz w:val="20"/>
            <w:u w:val="single"/>
            <w:shd w:val="clear" w:color="auto" w:fill="FFFFFF"/>
            <w:lang w:val="en-US" w:eastAsia="en-US" w:bidi="ar-SA"/>
          </w:rPr>
          <w:t>[1994] B.C.J. No. 3017</w:t>
        </w:r>
      </w:hyperlink>
      <w:r>
        <w:rPr>
          <w:rFonts w:ascii="arial" w:eastAsia="arial" w:hAnsi="arial" w:cs="arial"/>
          <w:color w:val="000000"/>
          <w:sz w:val="20"/>
          <w:lang w:val="en-US" w:eastAsia="en-US" w:bidi="ar-SA"/>
        </w:rPr>
        <w:t xml:space="preserve"> (S.C.) at paragraph 39; Doern, supra, at page 57.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xml:space="preserve">  The plaintiffs say that Fortey is particularly apposite, as there the Court of Appeal found that the identical national RCMP policy did establish the standard of care, and affirmed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police in failing to seek medical attention for a prisoner.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The defendant, however, points to what I agree is an important distinction between the facts in Fortey and those before me. In that case, the police were dealing with an intoxicated prisoner who had a visible head injury. They tried to take him to hospital but he refused. He was then incarcerated, and ultimately suffered brain damage. The officers were found negligent in failing to realize that the prisoner was too drunk to make a reasoned decision about receiving medical care, and in not insisting on seeking medical attention for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The defendant argues that it would be inappropriate to accept the RCMP policies as the standard of care here, as the phrase "questionable consciousness" imports a more subjective or ambiguous element than a clear physical injury, and requires the officers to exercise some discretion in determining whether medical examination is required. In particular, they say that an appropriate standard must permit the officers to exercise some discretion when the prisoner's diminished level of consciousness is related solely to intoxication, and he simply needs to be taken to the cells to sleep it off in a secure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I agree that the phrase "questionable consciousness" introduces a subjective element to the policy, and that whether the policy represents a reasonable standard of care will depend on how that term is interpreted. In Doern, supra, the Court observed that where a police policy contains qualitative words or subjective language, whose interpretation and application by officers in the field would be unfamiliar to a lay person such as a judge, evidence from experts or those experienced in the field is of considerable assistance in reaching a correct interpretation of the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In fact, in all of the cases I have referred to dealing with the role of police manuals in setting the standard of care, there was evidence in addition to the manual to assist in establishing the standard. In most, expert evidence was called from experienced police officers. In all, there was evidence from the officers involved as to how they normally carried out their duties in the context of the policy. As well, there was often evidence of general police practices.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I find the absence of such evidence in this case a considerable handicap in attempting to determine the appropriate standard of care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A significant consideration in deciding if the policies represent a reasonable standard is the meaning of "questionable consciousness", and whether it applies to people whose level of awareness is diminished by alcohol.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The British Columbia policy is the only one that offers a definition of the term: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Questionable Consciousness means: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person is either conscious or questionable. If questionable, medical attention is needed immediately. Members will not attempt to determine the degree of consciousness of a person who appears to be less than fully conscious.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Thus the policy places prisoners in two categories: conscious or questionable, and it implies that anyone who is "less than fully conscious" is questionable. This does not assist in defining the condition with precision, or in determining if it is intended to apply to intoxicated prisoners.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Nor did the testimony led at trial offer a clear definition of the state of "questionable consciousness". Both lay and expert witnesses used a variety of terms to describe states of diminished awareness, from alcohol or otherwise, without defining or distinguishing them. These included "unconsciousness", "stupor", "coma", "sleep", "passed out", "sedated", and "depressed consciousness", to name a few. Some used these terms interchangeably, and some inconsistently.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Dr. Charlesworth did describe a continuum through which a seriously intoxicated person will pass. This starts at somnolence or stupor, and progresses to sleepiness, passing out, unconsciousness, coma with increasingly laboured breathing, and finally to respiratory depression and death. However, he did not state where on that continuum he would place the condition of "questionable consciousness".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Dr. Baker testified that alcohol-induced sleep makes people harder to rouse, due to depression of the central nervous system. He said that their level of consciousness will fluctuate, depending on the level of stimulation, and will diminish with the amount of alcohol they drink. It was his view that in assessing the extent of central nervous system depression due to alcohol, the key is whether the person is rousable, meaning whether they respond to stimulation. However, he did not say how rousability relates to "questionable consciousness."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Dr. Williams testified that, in her view, a person is unconscious if he is unresponsive.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During argument, counsel provided dictionary definitions from Stedmans Medical Dictionary, 27th ed., of these terms: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consciousness The state of being aware, or perceiving physical facts or mental concepts; a state of general wakefulness and responsiveness to environment; a functioning sensorium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sleep A physiologic state of relative unconsciousness and inaction of the voluntary muscles, the need for which recurs periodically.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stupor A state of impaired consciousness in which the individual shows a marked diminution in reactivity to environmental stimuli and can be aroused only by continual stimulation.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coma A state of profound unconsciousness from which one cannot be roused; may be due to the action of an ingested toxic substance or of one formed in the body, to trauma, or to disease.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None of these assist in precisely defining "questionable consciousness". I conclude from all of these sources that it denotes a state of reduced awareness, in which a person is not readily responsive. Nothing about the term implies the source of the condition, be it intoxication or otherwise. The question therefore remains whether it is a reasonable standard of care to require the police to take all prisoners in this state of reduced awareness for medical assessment before they are incarcerated.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The consideration of the reasonableness of a standard of care is based on risk analysis. In A.M. Linden, Canadian Tort Law, 6th ed. (Toronto: Butterworths, 1997) at p. 116, the author makes the point that a reasonable standard of care seeks to prevent only actions that produce an unreasonable risk of harm. In assessing that risk, he says the courts look at four components: the chance that the action will occur, the severity of the potential harm that may ensue if it does, the purpose of the action, and the cost to the actor to eliminate the hazard.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In that context, there are a number of policy reasons that favour a standard of care requiring the police to secure a medical assessment for all persons of questionable consciousness. As previously noted, prisoners in police custody are vulnerable, and entirely dependent on the police to obtain medical assistance for them. A state of reduced mental awareness may well preclude them from being able to communicate their symptoms to police, or request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Moreover, the police are not qualified to accurately assess a prisoner's medical state themselves. As Rowles J.A. stated at para. 36 of Fortey: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[P]olice officers are not in a position to make a medical assessment of the seriousness of an injury or the consequences that may flow from it, or to determine whether treatment is urgently required. Having an injured prisoner examined by a qualified medical practitioner is obviously one of the ways in which the police can guard against creating an unreasonable risk of harm to those in their custody.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In my view, these considerations apply with equal force to a prisoner's diminished state of awareness. This is evident in the policy itself, which discourages the police from attempting to assess the prisoner's state of consciousness.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As well, diminished awareness in a prisoner may mask other serious conditions, and prevent their detection. The British Columbia policy, which outlines concerns related to detection of subdural hematoma in alcoholics, acknowledges that symptoms typical of intoxication may mask this serious condition. This concern was reflected as well in the evidence of the experts, particularly Mr. Shijani, who pointed out that other medical conditions may mimic the symptoms of alcohol intoxication.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All of these factors support the adoption of a high standard of care in obtaining medical assessment of prisoners whose level of awareness is reduced, regardless of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The defendant says, however, that such a standard is not reasonable with respect to prisoners whose depressed level of consciousness is due solely to the ingestion of alcohol. Neither the police nor the hospital have the resources to arrange medical assessment of all of those arrested for being drunk in a public place before they are incarcerated.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I accept that the police detain a number of people for being drunk in a public place whose level of awareness is reduced by their alcohol consumption, but who are in no medical danger. They are taken into custody just to permit them to "sleep it off" in a safe environment. I agree it would be unreasonable to impose a standard of care that clogs medical and police resources by requiring medical examinations of each of these prisoners before they can be incarcerated. The problem is, by what means can the police ensure these prisoners are not in medical danger, given the concerns I have outlined previously?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Having weighed these respective risks and burdens, I conclude that a reasonable standard of care must be conservative, and err on the side of caution, due to the significant harm that may befall a prisoner if a police officer, with no medical training, misjudges the situation. If there is any doubt about a prisoner's level of awareness, he should be assessed medically. However, the standard should also permit prisoners who are intoxicated, but still consistently responsive to their environment, to be incarcerated without an 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Such a standard necessarily imports a requirement that the officer dealing with the prisoner conduct an appropriate investigation in making a determination as to the prisoner's level of awareness.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I have no evidence of what RCMP practices are or should be in making such assessments. However, I note that in both Fortey at paras. 24 and 28 and Lipscei at paras. 31-33, and 46, the police were found negligent in part because of their failure to adequately assess and investigate the prisoner's medical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Given the concerns I have outlined, I would expect such an assessment to include, at a minimum, an attempt to converse with the person about how much he or she has had to drink, and what other causes there may be for his or her condition. I would expect some attempt to make him or her respond to basic commands to assess the level of awareness. I would expect the officer to do a basic physical examination to determine if the person has suffered any injuries, and whether the vital signs such as pulse and breathing are stable. I would also expect the officer to investigate the circumstances in which he or she was found, including speaking to available witnesses about their observations.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If these enquiries show the prisoner's responsiveness is minimal, or if they do not reveal sufficient information for a police officer to reach a conclusion that the prisoner is conscious and not in jeopardy, the standard of care requires the officer to err on the side of caution and take the prisoner for a medical examination before he or she is incarcerated.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Was there a breach of the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I find that when the police dealt with Mr. Roy on December 17, 1998, he was in a state of questionable consciousness. I also find that he showed signs of severe intoxication. It was therefore incumbent on Corporal MacInnes and Constable Ausmus to assess Mr. Roy, in accordance with the standard of care, to determine whether this was due to his having imbibed a safe amount of alcohol, or whether the circumstances pointed to more serious concerns, requiring medical examination before incarceration.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I find that their dealings with Mr. Roy fell short of that standard.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First, when Corporal MacInnes arrived at the scene he did not ask Dr. Williams for any information about her observations of Mr. Roy. He did not ask for details of his fall. He did not discover that Mr. Roy's condition had deteriorated during the time she had observed him. Dr. Williams' evidence was inconsistent about whether she thought Mr. Roy needed medical care, but she was clear that she thought the police would assess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Second, Corporal MacInnes' examination of Mr. Roy was cursory. He said it took 30 to 60 seconds. He shone a flashlight over his head, and noticed he was breathing. At the inquest, Corporal MacInnes described Mr. Roy as extremely intoxicated and "semi-conscious at best". However, he did nothing to test Mr. Roy's level of awareness. Mr. Roy did not talk, and could not walk. He testified that Mr. Roy's eyes were open, but said he was just staring without actually seeing. He was not responsive to Corporal MacInnes' questions. He smelled of liquor, and the police computer showed he had an outstanding charge for impaired driving. However, Corporal MacInnes did not make any attempt to find out how much alcohol he had consumed.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Constable Ausmus also concluded that Mr. Roy was severely intoxicated, but conducted no investigation or assessment of him at the scene.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I find that at that point Mr. Roy was exhibiting significantly reduced awareness of his surroundings. I find that the officers' assessment at the scene was insufficient to permit them to conclude that Mr. Roy's mental state was due solely to the ingestion of a safe amount of alcohol, and that he did not require medical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The officers conducted no subsequent assessment of Mr. Roy. He was increasingly unresponsive as he was placed in the vehicle, and remained so until he was placed in the cells, with the possible exception of one point as he was taken out of the car when he opened his eyes briefly and grunted, although Corporal MacInnes' evidence about this was inconsistent.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I find that there was no attempt to rouse Mr. Roy in a manner to assess his responsiveness, and eliminate concerns about a deteriorating mental state. The pattern of dealings with Mr. Roy from the time the police arrived on the scene shows deterioration in his level of responsiveness. Had the police been aware that Dr. Williams had also observed deterioration, this may have alerted them to the need for medical attention.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Underlying these observations is Corporal MacInnes' own testimony about Mr. Roy's level of consciousness. He said he concluded that he was severely intoxicated. He described his state at the scene as "semi-conscious at best". He said Mr. Roy was not responsive. From the time he was placed in the vehicle, Corporal MacInnes described him as apparently sleeping. At the inquest, Corporal MacInnes described Mr. Roy as "unconscious" from the time he got in the car until he was in the cell. He told Corporal Shaw that when they arrived at the cells, Mr. Roy was an "absolute blob type of thing", with no control, and no strength, who seemed to be "totally passed out". He also described Mr. Roy to the dispatcher as "passed out", and used that term in the prisoner report. However, under cross-examination, he said that "passed out" was not an accurate description of Mr. Roy's condition. Somewhat perplexingly, when he was asked what "passed out" meant to him, he said it referred to someone who has had too much to drink and has gone to sleep. Finally, Corporal MacInnes testified that at the cells Mr. Roy was drowsy, had difficulty communicating, and had very limited physical reaction to his surroundings. These are precisely the symptoms to which officers are alerted, by paragraph 3 of the British Columbia RCMP policy, as indicating a possible subdural hematoma.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These varying descriptions of Mr. Roy's condition make it difficult to assess exactly what Corporal MacInnes believed Mr. Roy's level of awareness was. At trial, he testified that he believed that Mr. Roy was conscious based on his "personal experience". He did not explain the basis for that conclusion, or how it related to his earlier descriptions of Mr. Roy, set out in the preceding paragraph. He said he was aware of the RCMP policy, but that it was his understanding medical treatment was to be sought only when prisoners exhibited injury or illness.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I find Corporal MacInnes' testimony about Mr. Roy's level of consciousness inconsistent and confused. I recognize that it is not all slanted in a manner to support the defence, but it reinforces my impression that, although he was aware of the RCMP policies, at no time did he make any real effort to assess Mr. Roy's level of consciousness.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Constable Ausmus testified that Mr. Roy was not awake at any time when he dealt with him, except when he moaned or mumbled something as they took him to the vehicle. He was snoring and smelled of liquor. He concluded he was highly intoxicated, and had passed out and gone to sleep. He said he believed Mr. Roy was conscious, and that the question of whether he was of questionable consciousness did not cross his mind. He gave no basis for these statements.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I conclude that throughout his dealings with the police, Mr. Roy was in a state of questionable consciousness, and his level of awareness was diminishing. He was unresponsive to verbal stimuli, and did not speak, other than to moan incoherently. He was not able to stand or move. He had no control and no strength, and demonstrated symptoms consistent with a subdural hematoma.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Dr. Baker testified that the fact Mr. Roy opened his eyes briefly as he was carried into the cells on the blanket showed he was rousable and could be safely observed. I do not find that brief opening of his eyes, which was not in response to any deliberate attempt to assess his mental state, sufficient to negate a need for medical assessment. Really, what Dr. Baker is saying is that Mr. Roy was not unconscious. However, the standard is not to wait until a prisoner is unconscious before taking him for medical assessment. It requires medical assessment before that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Corporal MacInnes and Constable Ausmus clearly attributed Mr. Roy's reduced awareness solely to his inebriation and did not consider other causes, or that he may have ingested alcohol in dangerous amounts. I appreciate that their actions cannot be judged with the benefit of hindsight. There was no means by which they could know that he had drunk a large quantity of liquor in less than an hour, nor that his blood alcohol level was reaching a toxic level.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However, I find they did not perform any adequate assessment or investigation into Mr. Roy's state of consciousness or its cause. The thought that it was necessary to assess his significantly reduced level of awareness with a view to the possibility of seeking medical examination did not even occur to them. I find that failure to be a breach of the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The defendant argues that even if the officers had assessed Mr. Roy, their assessment would not have revealed sufficient concerns about his condition to take him for a medical examination. I disagree. Given the policy considerations outlined previously, it is my view that Mr. Roy's level of consciousness was such that the police should have properly been concerned about him. He was minimally responsive to his environment, he was deteriorating, and the police did not have the medical skills to definitively determine the cause of this, or to decide that he could be safely lodged in the cells.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The defendant also argues that the evidence falls short of establishing that Mr. Roy would have lived had he been taken for medical examination. It says that there is no evidence as to how quickly he would have been triaged at the hospital, or received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I disagree. Corporal MacInnes testified that the hospital is always receptive when the police bring prisoners for assessment, although they may have to wait their turn, depending on the severity of the problem. Dr. Charlesworth testified that Mr. Roy was progressing rapidly through stages of increasing central nervous system depression that would ultimately threaten his airway. Dr. Charlesworth also said that this process can be detected and averted by timely medical intervention. Both he and Dr. Baker testified that he could survive by being intubated to keep his airway open.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Had he been taken to the hospital and immediately assessed, I find that Mr. Roy's increasing respiratory distress would have been identified. If he was still waiting to be assessed when he stopped breathing, I find that the medical staff would have treated this as an emergency, and he would have received immediate assistance. In either case, he would have been intubated in time to save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Contributory </w:t>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Mr. Roy was not a passive participant in this tragedy. By ingesting a large amount of alcohol in a short time, he put himself at substantial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xml:space="preserve">  Self-induced intoxication has been the basis for a finding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other cases in which prisoners suffered injury while in police custody. In Fortey, the plaintiff was held to be 40 per cent liable for his injuries because of his intoxication. In Lipscei, the plaintiff was found 60 per cent liable for injuries he sustained because his level of intoxication made him unable to communicate his condition to the police.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In my view, similar considerations apply here. I find that Mr. Roy's self-induced intoxication was a significant contributing factor to his death, and I conclude it is appropriate to find him 50 per cent responsible for the tragic outcome.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After Mr. Roy's death, his SAAQ payments ceased, and Ms. Roy encountered significant financial problems. She asked the three children to live with her in the condominium for both emotional and financial support, and they did so. They were unable to meet the ongoing expenses, however, and the condominium ultimately had to be sold through foreclosure proceedings. This resulted in a personal judgment against Ms. Roy of over $63,000.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The plaintiffs moved to a small apartment in Vancouver, which they continue to share. Each of them has had periods of unemployment since Mr. Roy's death, but as of the trial all were working.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Stephane, Eric, and Tania seek damages for loss of guidance. Ms. Roy claims damages for past and future loss of support and loss of household services. There is also a small claim related to funeral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Loss of Guidance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Eric, Stephane, and Tania each seek an award for loss of guidance arising from Mr. Roy's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The defendant points out that they were ages 21, 20, and 19 when Mr. Roy died, and argues that, as adults, they are not entitled to such an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The parties provided a range of cases dealing with this issue, some of which support the defence position, and others in which awards of up to $20,000 have been made to adult children of the deceased. It is difficult to discern any guiding principles from these, given their disparity. It does appear, however, that modest awards are more likely to be given to younger adult children who maintained a close relationship with the deceased.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I am satisfied that these three plaintiffs fall in that category, and are each entitled to an award for loss of guidance. Mr. Roy was the only father they knew. He completed their close family, and provided them with both financial and emotional support. Although they became increasingly independent, they maintained significant contact with him, and still depended on him for guidance and advice as they entered their adult lives. He provided intermittent financial assistance to them, even when they were not living at home. Each of them testified to a close relationship with their stepfather, and described the significant loss that his death represented to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I award $7,500 to each of these plaintiffs for loss of guidance. In my view, that amount fairly reflects the ongoing relationship they had with Mr. Roy, as well as their increasing independence.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Loss of Support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When Mr. Roy died, he was receiving an annual income from SAAQ of $26,729.95. These payments represented the primary source of family income, and Ms. Roy claims loss of past and future support as a result of their cessation.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An essential element to these claims is the determination of Mr. Roy's life expectancy. The defendant introduced a report from Dr. Chambers, an epidemiologist, in which he states that normal life expectancy for a 57 year old man is 21.8 years, meaning that, statistically, Mr. Roy could expect to live to age 78 or 79.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However, Dr. Chambers concludes that in view of Mr. Roy's medical history, and in particular, his chronic use of alcohol, his life expectancy should be discounted to 14.7 years, or 71-72 years. Dr. Chambers also pointed out that Mr. Roy had other risk factors related to reduced life expectancy such as obesity and cardiac problems. However, he noted that these overlap to some extent with risks due to alcoholism, and so he made no further deduction with respect to them. His says, however, that even his reduced estimate of life expectancy may be somewhat optimistic.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I note that some of the facts which Dr. Chambers relied on from Mr. Roy's past history were not in accord with the evidence led at trial. Nevertheless, I accept that Mr. Roy's health problems, including his alcohol dependence, resulted in a diminished life expectancy. I also find support for that conclusion from Dr. Charlesworth's evidence that Mr. Roy was a "walking time bomb" with respect to potential cardiac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Accordingly, I find it appropriate to approach the calculation of damages on the basis of a life expectancy of 71-72 years. Reports and testimony from Mr. Hildebrand, an economist called by the plaintiff, provide the necessary assistance to calculate these claims on that basis.</w:t>
      </w:r>
      <w:r>
        <w:rPr>
          <w:rFonts w:ascii="arial" w:eastAsia="arial" w:hAnsi="arial" w:cs="arial"/>
          <w:sz w:val="20"/>
          <w:lang w:val="en-US" w:eastAsia="en-US" w:bidi="ar-SA"/>
        </w:rPr>
        <w:cr/>
      </w:r>
    </w:p>
    <w:p>
      <w:pPr>
        <w:numPr>
          <w:numId w:val="15"/>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Past Loss of Financial Support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The first step in this calculation is to determine the annual family disposable income, had the accident not occurred. As set out above, Mr. Roy was earning $26,729.95 at the time of his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Ms. Roy's contribution to family income is more difficult to discern. Her past employment history has been sporadic. At the time Mr. Roy died, she had just completed a bookkeeping course, with a view to supplementing the family income, and had worked at a new job as a bookkeeper for about two weeks. She testified that she expected to earn $400 to $800 per month as a book-keeper, and there was the promise of higher income in the long term.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When Mr. Roy died, she quit that job. Since his death, she has been only sporadically employed. She worked for three months part-time in 2000 for an unknown income. In January 2002, she began working part-time as a receptionist, a job that she testified she enjoys, and hopes will continue. This pays her approximately $1,000 per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It is nevertheless necessary to assign to her some income level that represents her likely contribution to the family income, had Mr. Roy not died. Based on her new book-keeping qualifications, her intent to contribute to the family income, and her lack of a regular employment history I attribute an arbitrary amount of $5,000 per year as her likely contribution to family income up to the trial date. This produces total disposable family income of $31,729.95, had the accident not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It is then necessary to apply a dependency rate to that amount that isolates the family's disposable income, less Mr. Roy's personal consumption. Mr. Hildebrand testified that a dependency rate of two-thirds is often applicable to a household with two adults. Ms. Roy argues, however, that this fails to recognize that some significant household expenses, such as mortgage and utilities payments, are not divisible, and must be shouldered entirely by the survivor. In this case, mortgage payments alone were about $1,250 per month. I agree that such indivisible expenses justify a higher dependency rate, and set this at 75 per cent.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Applying that to the family disposable income results in a dependent income figure of $23,797.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Ms. Roy's annual income since the accident must then be subtracted from that. The result is an annual income loss arising from Mr. Roy's death of $18,797.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The indexed loss of dependency multiplier provided by Mr. Hildebrand to calculate past loss of support is 2.993. By my calculation, the result is a past loss of financial support of $56,259.</w:t>
      </w:r>
      <w:r>
        <w:rPr>
          <w:rFonts w:ascii="arial" w:eastAsia="arial" w:hAnsi="arial" w:cs="arial"/>
          <w:sz w:val="20"/>
          <w:lang w:val="en-US" w:eastAsia="en-US" w:bidi="ar-SA"/>
        </w:rPr>
        <w:cr/>
      </w:r>
    </w:p>
    <w:p>
      <w:pPr>
        <w:numPr>
          <w:numId w:val="16"/>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Future Loss of Financial Support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This calculation is more complicated. I intend to make the necessary findings for its calculation, but will leave it to counsel to perform the actual mathematics.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Once Mr. Roy reached the age of 65, SAAQ was to reduce his benefits by 25 per cent each year until his 68th birthday, when they would cease altogether. His contribution to disposable family income until the age of 65 therefore remains at $26,729.95, but in the following three years, his income would have been reduced 25 per cent per year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1673"/>
        <w:gridCol w:w="679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Year 65</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$20,047.46</w:t>
            </w:r>
          </w:p>
        </w:tc>
        <w:tc>
          <w:tcPr>
            <w:tcW w:w="6656"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Year 66</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$13,364.98</w:t>
            </w:r>
          </w:p>
        </w:tc>
        <w:tc>
          <w:tcPr>
            <w:tcW w:w="6656"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Year 67</w:t>
            </w:r>
          </w:p>
        </w:tc>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$ 6,682.49</w:t>
            </w:r>
          </w:p>
        </w:tc>
        <w:tc>
          <w:tcPr>
            <w:tcW w:w="665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that point, all SAAQ payments would stop.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For the purpose of calculating future family income without the accident, I find it appropriate to raise Ms. Roy's contribution to $8,000 per year. This is about two thirds of her present income. It reflects my view that her earnings as a book-keeper would likely have increased, particularly with the prospect of Mr. Roy's diminishing SAAQ payments, but it also makes some allowance for her sporadic work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I find the dependency rate of 75 per cent remains appropriate for the calculation of future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The parties acknowledge that the appropriate multipliers to be applied for each of the years in which Mr. Roy's SAAQ income was to change are those set out in Table 1 of Mr. Hildebrand's report of March 4,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I believe these findings provide the parties with the tools to calculate the final figure for future financial loss, and will leave it to them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Contingencies must also be considered. The defendants say Mr. Roy's SAAQ benefits may have been cut off as he was no longer a Quebec resident. I find the chance of that minimal. He had been living in B.C. for over two years. There is nothing in the evidence to indicate that SAAQ intended to stop the payments because he was not living in Quebec, although they had the legislative right to do so. With respect to contingencies regarding Ms. Roy's level of income, the somewhat arbitrary figures I have used for her income already reflect these. With respect to mortality, I appreciate that Mr. Roy could have died earlier than age 71 or 72, but I find it unlikely his death would have occurred before the cessation of his SAAQ benefits when he turned 67, and make no further deduction for that possibility. I do find that a deduction of 5% of the total future loss is appropriate for the statistical contingency of divorce and remarriage.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Loss of Household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Ms. Roy seeks awards for past and future loss of Mr. Roy's household assistance. I accept that Mr. Roy played a significant role in household tasks. The unchallenged evidence is that he loved to cook, and did most of the cooking and grocery shopping. He regularly helped with vacuuming and cleaning, and ran errands. He also did yard work and other chores.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Mr. Hildebrand has again provided the figures required to calculate the value of these claims. Table A to his report of March 21, 2002 provides estimates of the hours of domestic work done by Canadian males in various family states. Given the fact that Mr. Roy was effectively retired, that he participated significantly in the household work, and that Ms. Roy was planning to return to the work force on a part-time basis as a bookkeeper, I find the category of "Services Provided by Male with Female Employed" is the most analogous to the Roy family. The average male in this category does 1.77 hours of domestic work per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Mr. Hildebrand provides a wage rate of $11.91 per hour to calculate the value of these services, based on information from Statistics Canada. I find that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The resulting calculation of 1.77 hours per day at $11.91 per hour for 365 days gives an annual figure of $7,694. Using the multiplier provided by Mr. Hildebrand for past loss of 2.993, this results in a total claim for past loss of household services of $23,029.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Future loss of household services is calculated by taking the same annual loss of $7,694, and multiplying it by 7.774, the appropriate multiplier in Table 1 of Mr. Hildebrand's report of March 4, 2002. This produces a claim for future loss of household services of $59,813.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I find a contingency reduction of 10% should be made with respect to the future loss for the following reasons. First, I find it unlikely that Mr. Roy would have maintained the same level of activity around the house as he grew older. Second, the 5% contingency with respect to divorce and remarriage should apply to the future loss of household services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Funeral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Section 3(9)(b) of the Family Compensation Act permits the award of "reasonable expenses of the funeral and the disposal of the remains of the deceased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Ms. Roy advances a claim of $400 to $600, which she says was the cost of flying to Montreal with Mr. Roy's ashes to conduct a service for his family there, and to bury his ashes. She has no receipts for these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xml:space="preserve">  While this is a small amount, the defendant has provided authorities that indicate that travel expenses are not covered by s. 3(9)(b): Woo Estate v. Walton, </w:t>
      </w:r>
      <w:hyperlink r:id="rId864" w:history="1">
        <w:r>
          <w:rPr>
            <w:rFonts w:ascii="arial" w:eastAsia="arial" w:hAnsi="arial" w:cs="arial"/>
            <w:i/>
            <w:color w:val="0077CC"/>
            <w:sz w:val="20"/>
            <w:u w:val="single"/>
            <w:shd w:val="clear" w:color="auto" w:fill="FFFFFF"/>
            <w:lang w:val="en-US" w:eastAsia="en-US" w:bidi="ar-SA"/>
          </w:rPr>
          <w:t>[1981] B.C.J. No. 215</w:t>
        </w:r>
      </w:hyperlink>
      <w:r>
        <w:rPr>
          <w:rFonts w:ascii="arial" w:eastAsia="arial" w:hAnsi="arial" w:cs="arial"/>
          <w:color w:val="000000"/>
          <w:sz w:val="20"/>
          <w:lang w:val="en-US" w:eastAsia="en-US" w:bidi="ar-SA"/>
        </w:rPr>
        <w:t xml:space="preserve"> (S.C.); Geist v. Pierce, </w:t>
      </w:r>
      <w:hyperlink r:id="rId865" w:history="1">
        <w:r>
          <w:rPr>
            <w:rFonts w:ascii="arial" w:eastAsia="arial" w:hAnsi="arial" w:cs="arial"/>
            <w:i/>
            <w:color w:val="0077CC"/>
            <w:sz w:val="20"/>
            <w:u w:val="single"/>
            <w:shd w:val="clear" w:color="auto" w:fill="FFFFFF"/>
            <w:lang w:val="en-US" w:eastAsia="en-US" w:bidi="ar-SA"/>
          </w:rPr>
          <w:t>[1982] B.C.J. No. 1465</w:t>
        </w:r>
      </w:hyperlink>
      <w:r>
        <w:rPr>
          <w:rFonts w:ascii="arial" w:eastAsia="arial" w:hAnsi="arial" w:cs="arial"/>
          <w:color w:val="000000"/>
          <w:sz w:val="20"/>
          <w:lang w:val="en-US" w:eastAsia="en-US" w:bidi="ar-SA"/>
        </w:rPr>
        <w:t xml:space="preserve"> (S.C.). This claim is therefore disallowed.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Court Order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xml:space="preserve">  Court order interest will be payable on the awards made for past losses, including those for loss of guidance: Balmer Estate v. Hrehirchuk, </w:t>
      </w:r>
      <w:hyperlink r:id="rId866" w:history="1">
        <w:r>
          <w:rPr>
            <w:rFonts w:ascii="arial" w:eastAsia="arial" w:hAnsi="arial" w:cs="arial"/>
            <w:i/>
            <w:color w:val="0077CC"/>
            <w:sz w:val="20"/>
            <w:u w:val="single"/>
            <w:shd w:val="clear" w:color="auto" w:fill="FFFFFF"/>
            <w:lang w:val="en-US" w:eastAsia="en-US" w:bidi="ar-SA"/>
          </w:rPr>
          <w:t>[1998] B.C.J. No. 3036</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The plaintiffs will recover judgment for 50% of the amounts set out above. The parties are at liberty to address any matters that may arise concerning the calculation of those amounts. As well, I recognize that the issues of tax gross-up, management fees, and costs remain outstanding and these may also be addressed in the future, as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NEILSON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88" style="position:absolute;z-index:25188352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67"/>
          <w:headerReference w:type="default" r:id="rId868"/>
          <w:footerReference w:type="even" r:id="rId869"/>
          <w:footerReference w:type="default" r:id="rId870"/>
          <w:headerReference w:type="first" r:id="rId871"/>
          <w:footerReference w:type="first" r:id="rId87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73" w:history="1">
        <w:r>
          <w:rPr>
            <w:rFonts w:ascii="arial" w:eastAsia="arial" w:hAnsi="arial" w:cs="arial"/>
            <w:b/>
            <w:bCs/>
            <w:i/>
            <w:color w:val="0077CC"/>
            <w:kern w:val="32"/>
            <w:sz w:val="28"/>
            <w:szCs w:val="32"/>
            <w:u w:val="single"/>
            <w:shd w:val="clear" w:color="auto" w:fill="FFFFFF"/>
            <w:lang w:val="en-US" w:eastAsia="en-US" w:bidi="ar-SA"/>
          </w:rPr>
          <w:t>Schulze (Litigation guardian of) v. Strain, [2010] B.C.J. No. 2090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Campbell River,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D.A. Halfyard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21 and 22,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27,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M8306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Campbell River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[2010] B.C.J. No. 2090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874" w:history="1">
        <w:r>
          <w:rPr>
            <w:rFonts w:ascii="arial" w:eastAsia="arial" w:hAnsi="arial" w:cs="arial"/>
            <w:i/>
            <w:color w:val="0077CC"/>
            <w:sz w:val="20"/>
            <w:u w:val="single"/>
            <w:shd w:val="clear" w:color="auto" w:fill="FFFFFF"/>
            <w:lang w:val="en-US" w:eastAsia="en-US" w:bidi="ar-SA"/>
          </w:rPr>
          <w:t>2010 BCSC 1516</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874" w:history="1">
        <w:r>
          <w:rPr>
            <w:rFonts w:ascii="arial" w:eastAsia="arial" w:hAnsi="arial" w:cs="arial"/>
            <w:i/>
            <w:color w:val="0077CC"/>
            <w:sz w:val="20"/>
            <w:u w:val="single"/>
            <w:shd w:val="clear" w:color="auto" w:fill="FFFFFF"/>
            <w:lang w:val="en-US" w:eastAsia="en-US" w:bidi="ar-SA"/>
          </w:rPr>
          <w:t>194 A.C.W.S. (3d) 135</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874" w:history="1">
        <w:r>
          <w:rPr>
            <w:rFonts w:ascii="arial" w:eastAsia="arial" w:hAnsi="arial" w:cs="arial"/>
            <w:i/>
            <w:color w:val="0077CC"/>
            <w:sz w:val="20"/>
            <w:u w:val="single"/>
            <w:shd w:val="clear" w:color="auto" w:fill="FFFFFF"/>
            <w:lang w:val="en-US" w:eastAsia="en-US" w:bidi="ar-SA"/>
          </w:rPr>
          <w:t>2010 CarswellBC 2889</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Jan Schulze, an infant by his Litigation Guardian Agnieszka Schulze, Plaintiff, and Neil Lenard Strain,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89" style="position:absolute;z-index:2516930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35" w:name="Keywords_33"/>
      <w:bookmarkEnd w:id="235"/>
      <w:r>
        <w:rPr>
          <w:rFonts w:ascii="arial" w:eastAsia="arial" w:hAnsi="arial" w:cs="arial"/>
          <w:b/>
          <w:color w:val="000000"/>
          <w:sz w:val="20"/>
          <w:lang w:val="en-US" w:eastAsia="en-US" w:bidi="ar-SA"/>
        </w:rPr>
        <w:t>Damages — Physical and psychological injuries — Body injuries — Soft tissue — Psychological injuries — Emotional and mental distress — Action by passenger for damages for injuries sustained in motor vehicle accident allowed in part — When plaintiff was four-and-one-half years old, vehicle he was travelling in was hit head-on and he witnessed accident — Plaintiff suffered minor soft-tissue injuries and was extremely frightened by accident — Fear manifested itself in physical symptoms and changes in behaviour, which mostly subsided within six months — Plaintiff's psychological disturbance did not amount to recognized psychiatric illness and was not sustained serious and prolonged injury — Plaintiff entitled to $1,500 for pain and suffering and loss of enjoyment of life resulting from physical injury.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Categories of — Loss of enjoyment of life — Non-pecuniary loss — Pain and suffering — Action by passenger for damages for injuries sustained in motor vehicle accident allowed in part — When plaintiff was four-and-one-half years old, vehicle he was travelling in was hit head-on and he witnessed accident — Plaintiff suffered minor soft-tissue injuries and was extremely frightened by accident — Fear manifested itself in physical symptoms and changes in behaviour, which mostly subsided within six months — Plaintiff's psychological disturbance did not amount to recognized psychiatric illness and was not sustained serious and prolonged injury — Plaintiff entitled to $1,500 for pain and suffering and loss of enjoyment of life resulting from physical injury.</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36" w:name="Case Summary_33"/>
            <w:bookmarkEnd w:id="23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a passenger for damages for injuries sustained in a motor vehicle accident. At the time of the accident, the plaintiff was four-and-one-half years old. He was travelling in the family minivan with his parents and his maternal grandmother. He was restrained in a child car seat in the middle of the back seat and his mother and grandmother were seated on either side of him. As the vehicle travelled around curve in the road, the defendant's vehicle, which was travelling in the opposite direction, drifted over the centre line. The plaintiff's father unsuccessfully attempted to avoid the collision, and the front ends of the vehicles collided with each other. As a result of the accident, the plaintiff suffered a bruise at the base of his neck, but no other physical injury. However, he saw the accident which emotionally upset him and resulted in significant changes in his behaviour, including bed-wetting, crying, nightmares and reluctance to travel in a car. Since birth, the plaintiff had suffered from left hemiplegia, which resulted from a stroke and caused marked weakness on his left side. By the time of the accident, he had made good progress in his recovery from this condition and the only remaining significant problems were with his left hand and wrist and his left ankle and foot. However, this condition was not impacted by the accident. The defendant admitted that he alone was at fault for the accident. However, he disputed the amount that should be awarded to the plaintiff for non-pecuniary loss.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37" w:name="Holdings of Court_27"/>
            <w:bookmarkEnd w:id="237"/>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As a result of the accident, the plaintiff suffered minor soft-tissue injuries and post-traumatic anxiety symptoms. The plaintiff was extremely frightened by the accident and that fear manifested itself in physical symptoms and changes in behaviour, which mostly subsided within six months of the accident. However, the plaintiff's psychological disturbance did not amount to a recognized psychiatric illness and the degree and duration of his emotional disturbance did not support the conclusion that he sustained a serious and prolonged injury. Consequently, the law did not permit an award of damages for the psychological disturbance caused to the plaintiff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although he was entitled to $1,500 for pain and suffering and loss of enjoyment of life resulting from the minor physical injury he suffered in the accident.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38" w:name="Legislation Cited_21"/>
      <w:bookmarkEnd w:id="23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90" style="position:absolute;z-index:2517442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Rules of Court, Rule 14-1(9), Rule 14-1(10)</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39" w:name="Counsel_33"/>
      <w:bookmarkEnd w:id="23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91" style="position:absolute;z-index:2517954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S.P. Frame.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T. Jones.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40" w:name="Judgment_33"/>
      <w:bookmarkEnd w:id="240"/>
      <w:r>
        <w:pict>
          <v:line id="_x0000_s1192" style="position:absolute;z-index:25184563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41" w:name="D.A. HALFYARD J."/>
            <w:bookmarkEnd w:id="241"/>
            <w:r>
              <w:rPr>
                <w:rFonts w:ascii="arial" w:eastAsia="arial" w:hAnsi="arial" w:cs="arial"/>
                <w:b/>
                <w:color w:val="000000"/>
                <w:sz w:val="30"/>
                <w:lang w:val="en-US" w:eastAsia="en-US" w:bidi="ar-SA"/>
              </w:rPr>
              <w:t>D.A. HALFYARD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has been a short trial of a claim for damages for personal injuries allegedly sustained by the plaintiff in a motor vehicle accident which occurred on January 10, 2007, near Campbell River. Shortly before the trial, the defendant admitted that he alone was at fault for the accident. The only issue at the end of the trial was the amount of damages that should be awarded to the plaintiff for non-pecuniary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Jan Schulze was born on July 4, 2002, and was eight years old at the time of trial. Understandably, he did not testify at the trial. Three witnesses were called on behalf of the plaintiff. His mother, Agnieszka Schulze and his father, Ralf Schulze were called as witnesses. Dr. Larry Ness, the family physician and a general medical practitioner in Campbell River, was called, and his medical reports and clinical records were filed in evidence. Other documents were filed, which included the ambulance crew report and a number of photographs taken at the accident scene. The defendant elected not to call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Counsel for the defendant did not challenge the credibility of any witness called on behalf of the plaintiff. The only issue of fact having any significance is the duration of some of the effects of the accident on Jan.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Based on all of the evidence, I make the following findings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On January 10, 2007, Jan was about four and one-half years old. He lived with his parents in their home near the Strathcona Lodge on Highway 28, at a point approximately 45 kilometres west or northwest of Campbell River. On January 10, 2007, Mr. and Mrs. Schulze, Jan and Mrs. Schulze's mother (Jan's maternal grandmother) had driven into Campbell River. Among other things, Jan attended a physiotherapy session for exercise to his left wrist and hand. Since birth, Jan had a condition known as "left hemiplegia," which resulted from a stroke and caused marked muscle weakness on his left side, including his left arm and left leg. By January 2007, Jan had made good progress in his recovery from this condition, and the only significant problems remaining appeared to be in his left hand and wrist, and his left ankle and foot.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family attended to other matters and did some shopping. They left Campbell River, heading for home, at about 3 p.m. on January 10, 2007. Mr. Schulze was driving them in a 1988 Dodge Caravan. Jan was restrained in a child car safety seat in the middle of the back seat. His mother and his grandmother were seated on either side of him in the back seat. The accident occurred at a point on the highway that was about half way to their home. The road was paved and had one lane of travel in each direction. There was a concrete, no-post guardrail to Mr. Schulze's right. There was slush on the surface of the roadway, and there was snow along the sides of the road. As the Schulze vehicle approached a curve to the left, the speed limit was posted as 50 kilometres per hour, and Mr. Schulze was driving at that approximate speed and perhaps slower.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defendant, Neil Strain, was driving a small, 1991 Ford hatchback car on Highway 28, and was travelling toward Campbell River. He was travelling at approximately 50 kph as he came around the corner, travelling toward the Schulze van. As it came toward the Schulze vehicle, the Ford car drifted across the centre line, into Mr. Schulze's lane of travel. The distance between the two vehicles at this point is uncertain. Mr. Schulze slowed down and pulled his van to the right, expecting the red car to return to its proper lane of travel. It did not do so. Mr. Schulze was limited in steering over to the right because of the concrete guardrail. When the red car kept coming at him, at the last second Mr. Schulze made an attempt to avoid a collision by steering hard to his left, but he had no time or distance to execute that manoeuvre. The front ends of the two vehicles collided with each other. The photographs indicate that both vehicles were extensively damaged, and that the major damage to each vehicle occurred to the passenger side of the front of each vehicle. Mr. Schulze's van was almost stopped by the time the collision occurred. The speed of the defendant's car is uncertain, but was probably in the range of 50 kph. The force of the impact was considerable.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Jan saw the red car coming toward them before the collision and then witnessed the collision. He was seriously frightened by this experience. He cried for about two hours following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Someone, perhaps a passing motorist, reported the accident. Two ambulances, a fire truck and a police car attended at the scene of the accident. The Schulze family was taken by ambulance to the hospital in Campbell River. The evidence does not indicate whether anyone involved in the accident suffered any serious physical injury. The Schulze family, including Jan, were all examined by a doctor, and were discharged to go home at about 6:03 p.m. A friend of the family came from the Strathcona Lodge area and drove the four members of the Schulze family to their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Effects of the Accident on Jan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doctor who examined Jan found a bruise at the front of the base of Jan's neck on one side. The bruise was about two inches in length, and narrower in width. That was probably caused by the seat belt restraint. The bruise was no longer visible by January 19, 2007. Jan was otherwise not physically injured as a result of the collision. His pre-existing condition of left-sided weakness was not affected in any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Jan was emotionally upset after the accident. There were significant changes in his behaviour. He wet his bed every night for about two weeks. He woke up from his sleep some nights, crying. His mother and father believed that he was having nightmares about the accident, but he would not tell them what was bothering him. Jan was constipated for about a week, and his mother had to insert a suppository in order to relieve this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Jan did not want to travel in a car, after the accident. His physiotherapy sessions required that he be taken to Campbell River about twice a week, and (after Mr. Schulze obtained another vehicle) this schedule was resumed. But Jan demonstrated reluctance to travelling in a motor vehicle after the accident, out of a fear that another accident would occur. At a later time, likely by the fall of 2007, Jan would willingly travel by car to Campbell River, but only when it was for a purpose he looked forward to, such as playing soccer or swimming. For several months after the accident, perhaps up to the end of 2007, Jan would sometimes duck his head down when oncoming vehicles passed by their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Jan began to play more aggressively with his toy cars, and would crash them together, apparently simulating the accident of January 10, 2007. That lasted for several months after the accident. His apparent nightmares lasted until about April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Jan became more dependent on his mother and his want for her physical presence increased considerably. He resented that his mother had to spend increasing amounts of time in her employment of caring for children of the employees of Strathcona Lodge. Jan started kindergarten in September 2007, which was for one-half day for three days a week. He liked attending school. I infer that he became less dependent on his mother's physical presence after that time, although he seemed to require her presence in their car whenever they travelled to Campbell 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family had taken several fairly long road trips in their van before the accident. However, they have not done so since the accident. It is unclear to me whether this is due to Jan's reluctance to go or to a lack of desire on the part of his parents to take such trips, or a combination of both.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Jan has remained reluctant to talk about the accident, until quite recently, shortly before the trial. At that time he told his parents that he did not like how the accident had changed their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 find that Jan's fear of riding in a motor vehicle had diminished to dislike, by the end of 2007. It may be that he still does not like riding in cars, but he does not hesitate to do so when attending an activity which he enjoys, such as soccer or swimming.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Jan is an intelligent boy who has apparently returned to his usual happy self, notwithstanding the long-standing serious physical difficulties that he has had to endure and overcome, and the effects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his report dated June 4, 2010, Dr. Larry Ness expressed the following opinions, which I accept:</w:t>
      </w:r>
      <w:r>
        <w:rPr>
          <w:rFonts w:ascii="arial" w:eastAsia="arial" w:hAnsi="arial" w:cs="arial"/>
          <w:sz w:val="20"/>
          <w:lang w:val="en-US" w:eastAsia="en-US" w:bidi="ar-SA"/>
        </w:rPr>
        <w:cr/>
      </w:r>
    </w:p>
    <w:p>
      <w:pPr>
        <w:numPr>
          <w:numId w:val="1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Jan sustained a "minor, soft-tissue anterior neck injury and post traumatic anxiety symptoms" as a result of the accident of January 10, 2007.</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were no adverse effects on Jan's pre-existing condition, as a result of the accident.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Jan's emotional and behavioural symptoms after the accident, as described to him (Dr. Ness) by Jan's parents, were caused by the motor vehicle accident of January 10, 2007.</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Jan's emotional trauma has resolved "as a result of his parents' provision of a loving, caring, and supportive environment."</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 possibility that Jan still has a "mild fear of being in a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his CL19 medical report to ICBC dated May 4, 2007, under the heading "List all Clinical MVA-related Diagnosis and ICD9 codes," Dr. Ness wrote: "superficial neck abrasions (723), post-traumatic stress disorder (309.81)."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It was apparent from his trial testimony that Dr. Ness has had more training about mental health issues than most general practitioners. However, Dr. Ness made it clear that he was not suggesting that he was qualified to make a diagnosis of recognized psychiatric illnesses. One such illness is post-traumatic stress disorder. It may be that Dr. Ness was simply referring to some description of a group of symptoms listed in some code or chart which is used when reporting to ICBC in a CL19 report. That matter was not explored by either counsel at the trial. But there is no expert medical evidence in this case which could establish that the emotional and psychological disturbance that was caused to Jan by his exposure to this motor vehicle accident amounted to a recognizable psychiatric illness.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 should add that the "possibility" that Jan still has a mild fear of travelling in a car, is not capable of establishing ongoing fear.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Legal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Jan suffered a minor physical injury as the result of the accident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He also suffered severe fright from his involvement in this accident, and the consequences of that fear which I have described above. There is really no dispute about this. The main issue in this case is one of law, and it is this: Does the law require, as a condition of recovering damages for Jan's psychological upset, proof that he suffered a recognized psychiatric illness as a result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Arguments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Counsel for the plaintiff submits that Jan is entitled to recover damages for his psychological injury, without having to prove that his psychological disturbance and upset was of such an extent and duration as to amount to a recognized psychiatric illness. In support of this submission, counsel relied mainly on two cases, namely: </w:t>
      </w:r>
      <w:r>
        <w:rPr>
          <w:rFonts w:ascii="arial" w:eastAsia="arial" w:hAnsi="arial" w:cs="arial"/>
          <w:i/>
          <w:color w:val="000000"/>
          <w:sz w:val="20"/>
          <w:lang w:val="en-US" w:eastAsia="en-US" w:bidi="ar-SA"/>
        </w:rPr>
        <w:t>Easton v. Ramadanovic Estate</w:t>
      </w:r>
      <w:r>
        <w:rPr>
          <w:rFonts w:ascii="arial" w:eastAsia="arial" w:hAnsi="arial" w:cs="arial"/>
          <w:color w:val="000000"/>
          <w:sz w:val="20"/>
          <w:lang w:val="en-US" w:eastAsia="en-US" w:bidi="ar-SA"/>
        </w:rPr>
        <w:t xml:space="preserve"> </w:t>
      </w:r>
      <w:hyperlink r:id="rId875" w:history="1">
        <w:r>
          <w:rPr>
            <w:rFonts w:ascii="arial" w:eastAsia="arial" w:hAnsi="arial" w:cs="arial"/>
            <w:i/>
            <w:color w:val="0077CC"/>
            <w:sz w:val="20"/>
            <w:u w:val="single"/>
            <w:shd w:val="clear" w:color="auto" w:fill="FFFFFF"/>
            <w:lang w:val="en-US" w:eastAsia="en-US" w:bidi="ar-SA"/>
          </w:rPr>
          <w:t>(1988), 27 B.C.L.R. (2d) 45</w:t>
        </w:r>
      </w:hyperlink>
      <w:r>
        <w:rPr>
          <w:rFonts w:ascii="arial" w:eastAsia="arial" w:hAnsi="arial" w:cs="arial"/>
          <w:color w:val="000000"/>
          <w:sz w:val="20"/>
          <w:lang w:val="en-US" w:eastAsia="en-US" w:bidi="ar-SA"/>
        </w:rPr>
        <w:t xml:space="preserve"> (Southin J.) and </w:t>
      </w:r>
      <w:r>
        <w:rPr>
          <w:rFonts w:ascii="arial" w:eastAsia="arial" w:hAnsi="arial" w:cs="arial"/>
          <w:i/>
          <w:color w:val="000000"/>
          <w:sz w:val="20"/>
          <w:lang w:val="en-US" w:eastAsia="en-US" w:bidi="ar-SA"/>
        </w:rPr>
        <w:t>El-Amine (guardian ad litem of) v. El-Amine</w:t>
      </w:r>
      <w:r>
        <w:rPr>
          <w:rFonts w:ascii="arial" w:eastAsia="arial" w:hAnsi="arial" w:cs="arial"/>
          <w:color w:val="000000"/>
          <w:sz w:val="20"/>
          <w:lang w:val="en-US" w:eastAsia="en-US" w:bidi="ar-SA"/>
        </w:rPr>
        <w:t xml:space="preserve"> </w:t>
      </w:r>
      <w:hyperlink r:id="rId876" w:history="1">
        <w:r>
          <w:rPr>
            <w:rFonts w:ascii="arial" w:eastAsia="arial" w:hAnsi="arial" w:cs="arial"/>
            <w:i/>
            <w:color w:val="0077CC"/>
            <w:sz w:val="20"/>
            <w:u w:val="single"/>
            <w:shd w:val="clear" w:color="auto" w:fill="FFFFFF"/>
            <w:lang w:val="en-US" w:eastAsia="en-US" w:bidi="ar-SA"/>
          </w:rPr>
          <w:t>2001 BCSC 540</w:t>
        </w:r>
      </w:hyperlink>
      <w:r>
        <w:rPr>
          <w:rFonts w:ascii="arial" w:eastAsia="arial" w:hAnsi="arial" w:cs="arial"/>
          <w:color w:val="000000"/>
          <w:sz w:val="20"/>
          <w:lang w:val="en-US" w:eastAsia="en-US" w:bidi="ar-SA"/>
        </w:rPr>
        <w:t xml:space="preserve"> (Cole 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Counsel for the plaintiff submitted that this different principle applied to the present case, because here, Jan did suffer a physical injury which resulted from his personal involvement in the accident, so that his psychological disturbance should be considered as "part and parcel" of the overall injuries he sustained. Mr. Frame distinguished the present case from cases in which plaintiffs who had not been injured (and who had not been involved in the incident) claimed damages for psychological injury alleged to have been caused by witnessing a terrifying or horrific incident or by being notified of such an incident. It was said that it was only in this latter kind of case that a psychiatric illness had to be proved.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Counsel for the plaintiff conceded that the plaintiff sustained only a minor physical injury, but submitted that he suffered psychological injury of a moderate degree. Mr. Frame argued that an award of damages in the range of $25,000 to $30,000 is justified.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Counsel for the defendant submitted that the plaintiff could not recover damages for any psychological disturbance caused to him by the accident, because it had not been proved that the psychological disturbance rose to the level of a recognized psychiatric illness, nor had it been proved that the psychological disturbance was causally connected to the minor physical injury sustained by the plaintiff. Counsel relied on </w:t>
      </w:r>
      <w:r>
        <w:rPr>
          <w:rFonts w:ascii="arial" w:eastAsia="arial" w:hAnsi="arial" w:cs="arial"/>
          <w:i/>
          <w:color w:val="000000"/>
          <w:sz w:val="20"/>
          <w:lang w:val="en-US" w:eastAsia="en-US" w:bidi="ar-SA"/>
        </w:rPr>
        <w:t>Beaulieu v. Southerland</w:t>
      </w:r>
      <w:r>
        <w:rPr>
          <w:rFonts w:ascii="arial" w:eastAsia="arial" w:hAnsi="arial" w:cs="arial"/>
          <w:color w:val="000000"/>
          <w:sz w:val="20"/>
          <w:lang w:val="en-US" w:eastAsia="en-US" w:bidi="ar-SA"/>
        </w:rPr>
        <w:t xml:space="preserve"> </w:t>
      </w:r>
      <w:hyperlink r:id="rId877" w:history="1">
        <w:r>
          <w:rPr>
            <w:rFonts w:ascii="arial" w:eastAsia="arial" w:hAnsi="arial" w:cs="arial"/>
            <w:i/>
            <w:color w:val="0077CC"/>
            <w:sz w:val="20"/>
            <w:u w:val="single"/>
            <w:shd w:val="clear" w:color="auto" w:fill="FFFFFF"/>
            <w:lang w:val="en-US" w:eastAsia="en-US" w:bidi="ar-SA"/>
          </w:rPr>
          <w:t>(1986), 35 C.C.L.T. 237</w:t>
        </w:r>
      </w:hyperlink>
      <w:r>
        <w:rPr>
          <w:rFonts w:ascii="arial" w:eastAsia="arial" w:hAnsi="arial" w:cs="arial"/>
          <w:color w:val="000000"/>
          <w:sz w:val="20"/>
          <w:lang w:val="en-US" w:eastAsia="en-US" w:bidi="ar-SA"/>
        </w:rPr>
        <w:t xml:space="preserve"> (Legg J.). In that case, the plaintiff had not suffered any physical injury, but was walking with her friend along the road when her friend was struck and killed by the defendant's motor vehicle. Mr. Justice Legg was satisfied that the plaintiff had suffered anxiety and grief and was extremely disturbed by the incident, but dismissed the action on the ground that she had failed to prove that her condition amounted to a recognized mental illness.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Jones submitted that the plaintiff should only be compensated for his minor physical injury and that an award of $500 for that injury would be appropriate. In the alternative, counsel stated that if the court was inclined to award damages to the plaintiff for his psychological disturbance, then a fit award should not exceed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I asked counsel to make further submissions on the issue, after reviewing the two cases of </w:t>
      </w:r>
      <w:r>
        <w:rPr>
          <w:rFonts w:ascii="arial" w:eastAsia="arial" w:hAnsi="arial" w:cs="arial"/>
          <w:i/>
          <w:color w:val="000000"/>
          <w:sz w:val="20"/>
          <w:lang w:val="en-US" w:eastAsia="en-US" w:bidi="ar-SA"/>
        </w:rPr>
        <w:t>Graham v. MacMillan</w:t>
      </w:r>
      <w:r>
        <w:rPr>
          <w:rFonts w:ascii="arial" w:eastAsia="arial" w:hAnsi="arial" w:cs="arial"/>
          <w:color w:val="000000"/>
          <w:sz w:val="20"/>
          <w:lang w:val="en-US" w:eastAsia="en-US" w:bidi="ar-SA"/>
        </w:rPr>
        <w:t xml:space="preserve"> </w:t>
      </w:r>
      <w:hyperlink r:id="rId878" w:history="1">
        <w:r>
          <w:rPr>
            <w:rFonts w:ascii="arial" w:eastAsia="arial" w:hAnsi="arial" w:cs="arial"/>
            <w:i/>
            <w:color w:val="0077CC"/>
            <w:sz w:val="20"/>
            <w:u w:val="single"/>
            <w:shd w:val="clear" w:color="auto" w:fill="FFFFFF"/>
            <w:lang w:val="en-US" w:eastAsia="en-US" w:bidi="ar-SA"/>
          </w:rPr>
          <w:t>2003 BCCA 90</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Kotai v. Queen of the North</w:t>
      </w:r>
      <w:r>
        <w:rPr>
          <w:rFonts w:ascii="arial" w:eastAsia="arial" w:hAnsi="arial" w:cs="arial"/>
          <w:color w:val="000000"/>
          <w:sz w:val="20"/>
          <w:lang w:val="en-US" w:eastAsia="en-US" w:bidi="ar-SA"/>
        </w:rPr>
        <w:t xml:space="preserve"> </w:t>
      </w:r>
      <w:hyperlink r:id="rId465" w:history="1">
        <w:r>
          <w:rPr>
            <w:rFonts w:ascii="arial" w:eastAsia="arial" w:hAnsi="arial" w:cs="arial"/>
            <w:i/>
            <w:color w:val="0077CC"/>
            <w:sz w:val="20"/>
            <w:u w:val="single"/>
            <w:shd w:val="clear" w:color="auto" w:fill="FFFFFF"/>
            <w:lang w:val="en-US" w:eastAsia="en-US" w:bidi="ar-SA"/>
          </w:rPr>
          <w:t>2009 BCSC 1405</w:t>
        </w:r>
      </w:hyperlink>
      <w:r>
        <w:rPr>
          <w:rFonts w:ascii="arial" w:eastAsia="arial" w:hAnsi="arial" w:cs="arial"/>
          <w:color w:val="000000"/>
          <w:sz w:val="20"/>
          <w:lang w:val="en-US" w:eastAsia="en-US" w:bidi="ar-SA"/>
        </w:rPr>
        <w:t xml:space="preserve"> (Joyce J.). After reviewing those authorities, Mr. Frame did not resile from the position he had taken on behalf of the plaintiff. He pointed out that the plaintiff in </w:t>
      </w:r>
      <w:r>
        <w:rPr>
          <w:rFonts w:ascii="arial" w:eastAsia="arial" w:hAnsi="arial" w:cs="arial"/>
          <w:i/>
          <w:color w:val="000000"/>
          <w:sz w:val="20"/>
          <w:lang w:val="en-US" w:eastAsia="en-US" w:bidi="ar-SA"/>
        </w:rPr>
        <w:t>Graham v. MacMillan</w:t>
      </w:r>
      <w:r>
        <w:rPr>
          <w:rFonts w:ascii="arial" w:eastAsia="arial" w:hAnsi="arial" w:cs="arial"/>
          <w:color w:val="000000"/>
          <w:sz w:val="20"/>
          <w:lang w:val="en-US" w:eastAsia="en-US" w:bidi="ar-SA"/>
        </w:rPr>
        <w:t xml:space="preserve"> was a bystander who had witnessed her husband being assaulted but who was not involved in the incident itself and suffered no physical injury. With respect to the judgment of Mr. Justice Joyce in </w:t>
      </w:r>
      <w:r>
        <w:rPr>
          <w:rFonts w:ascii="arial" w:eastAsia="arial" w:hAnsi="arial" w:cs="arial"/>
          <w:i/>
          <w:color w:val="000000"/>
          <w:sz w:val="20"/>
          <w:lang w:val="en-US" w:eastAsia="en-US" w:bidi="ar-SA"/>
        </w:rPr>
        <w:t>Kotai v. Queen of the North</w:t>
      </w:r>
      <w:r>
        <w:rPr>
          <w:rFonts w:ascii="arial" w:eastAsia="arial" w:hAnsi="arial" w:cs="arial"/>
          <w:color w:val="000000"/>
          <w:sz w:val="20"/>
          <w:lang w:val="en-US" w:eastAsia="en-US" w:bidi="ar-SA"/>
        </w:rPr>
        <w:t>, counsel for the plaintiff referred to the dismissal of the claim of passenger Joshua Snow who was 10 years old at the time of the abandonment and sinking of the ship. Mr. Frame noted that the boy had not sustained any physical injury (paragraph 92) and that in his analysis at paragraphs 101 - 103, Joyce J. had included the following statement concerning the degree of his psychological disturbance: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Even if the test to be applied was a serious and prolonged injury, I would have to find that this claim fails to meet that standard.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Counsel for the plaintiff argued, in effect, that the law on this issue was unsettled, that it would be open to this court to adopt the test of "a serious and prolonged injury" and that if this was done, the psychological injury to Jan would satisfy that test and would support an award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Counsel for the defendant contended that the cases of </w:t>
      </w:r>
      <w:r>
        <w:rPr>
          <w:rFonts w:ascii="arial" w:eastAsia="arial" w:hAnsi="arial" w:cs="arial"/>
          <w:i/>
          <w:color w:val="000000"/>
          <w:sz w:val="20"/>
          <w:lang w:val="en-US" w:eastAsia="en-US" w:bidi="ar-SA"/>
        </w:rPr>
        <w:t>Graham v. MacMillan</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Kotai v. Queen of the North</w:t>
      </w:r>
      <w:r>
        <w:rPr>
          <w:rFonts w:ascii="arial" w:eastAsia="arial" w:hAnsi="arial" w:cs="arial"/>
          <w:color w:val="000000"/>
          <w:sz w:val="20"/>
          <w:lang w:val="en-US" w:eastAsia="en-US" w:bidi="ar-SA"/>
        </w:rPr>
        <w:t xml:space="preserve"> required proof of psychiatric illness and were fatal to the plaintiff's claim for damages for psychological injury. Mr. Jones added (and this is undisputed) that there is no suggestion in the present case that Jan's psychological disturbance flows from or is causally related to his minor physical injury, but rather it was caused by the occurrence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Having accepted the evidence of Jan's parents and the evidence of Dr. Ness, I conclude that Jan was extremely frightened by his anticipation of the collision, and then experiencing the collision. Quite naturally, this was fear for his own safety, a fear of being seriously injured. That fear manifested itself in the physical symptoms and the changes in behaviour which I have previously described. Most of his symptoms had subsided within six months. I have found that Jan's fear of travelling in a motor vehicle had diminished to the point of mere dislike, within about a year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The evidence does not establish that Jan's psychological disturbance amounted to a recognized psychiatric illness. While I am satisfied that Jan's psychological disturbance was significant and far above being trivial, I am also not persuaded that the degree and duration of his emotional disturbance supports the conclusion that he sustained "a serious and prolonged injury." (That was the lesser test which was argued by the plaintiffs in </w:t>
      </w:r>
      <w:r>
        <w:rPr>
          <w:rFonts w:ascii="arial" w:eastAsia="arial" w:hAnsi="arial" w:cs="arial"/>
          <w:i/>
          <w:color w:val="000000"/>
          <w:sz w:val="20"/>
          <w:lang w:val="en-US" w:eastAsia="en-US" w:bidi="ar-SA"/>
        </w:rPr>
        <w:t>Kotai v. Queen of the North</w:t>
      </w:r>
      <w:r>
        <w:rPr>
          <w:rFonts w:ascii="arial" w:eastAsia="arial" w:hAnsi="arial" w:cs="arial"/>
          <w:color w:val="000000"/>
          <w:sz w:val="20"/>
          <w:lang w:val="en-US" w:eastAsia="en-US" w:bidi="ar-SA"/>
        </w:rPr>
        <w:t>, but which was rejected by Joyce 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Kotai v. Queen</w:t>
      </w:r>
      <w:r>
        <w:rPr>
          <w:rFonts w:ascii="arial" w:eastAsia="arial" w:hAnsi="arial" w:cs="arial"/>
          <w:color w:val="000000"/>
          <w:sz w:val="20"/>
          <w:lang w:val="en-US" w:eastAsia="en-US" w:bidi="ar-SA"/>
        </w:rPr>
        <w:t xml:space="preserve"> of the North, Mr. Justice Joyce analysed the law in detail in paragraphs 24 through 77 of his reasons. The conclusions that he expressed at paragraphs 64, 69, and 77, if accepted, would be fatal to Jan's claim for damages for psychological injury. In the opinion of Joyce J., the law requires a plaintiff who advances a claim for psychological injury in circumstances similar to the present case, to prove that he suffered such serious psychological consequences as a result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that they amounted to a recognized psychiatric illness. Counsel for the plaintiff submitted that I did not have to follow Joyce J's reasoning and that I could properly conclude that proof of a recognized psychiatric illness was not an essential element of liability in the present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I do not accept that submission. Mr. Justice Joyce's decision was a careful and reasoned decision. He considered numerous authorities in the course of reasoning to his conclusion, and it is not suggested that there were relevant authorities that were not cited to him. Having regard to the long-standing principle established in </w:t>
      </w:r>
      <w:r>
        <w:rPr>
          <w:rFonts w:ascii="arial" w:eastAsia="arial" w:hAnsi="arial" w:cs="arial"/>
          <w:i/>
          <w:color w:val="000000"/>
          <w:sz w:val="20"/>
          <w:lang w:val="en-US" w:eastAsia="en-US" w:bidi="ar-SA"/>
        </w:rPr>
        <w:t>Re Hansard Spruce Mills Ltd.</w:t>
      </w:r>
      <w:r>
        <w:rPr>
          <w:rFonts w:ascii="arial" w:eastAsia="arial" w:hAnsi="arial" w:cs="arial"/>
          <w:color w:val="000000"/>
          <w:sz w:val="20"/>
          <w:lang w:val="en-US" w:eastAsia="en-US" w:bidi="ar-SA"/>
        </w:rPr>
        <w:t xml:space="preserve">, </w:t>
      </w:r>
      <w:hyperlink r:id="rId879" w:history="1">
        <w:r>
          <w:rPr>
            <w:rFonts w:ascii="arial" w:eastAsia="arial" w:hAnsi="arial" w:cs="arial"/>
            <w:i/>
            <w:color w:val="0077CC"/>
            <w:sz w:val="20"/>
            <w:u w:val="single"/>
            <w:shd w:val="clear" w:color="auto" w:fill="FFFFFF"/>
            <w:lang w:val="en-US" w:eastAsia="en-US" w:bidi="ar-SA"/>
          </w:rPr>
          <w:t>[1954] 4 D.L.R. 590</w:t>
        </w:r>
      </w:hyperlink>
      <w:r>
        <w:rPr>
          <w:rFonts w:ascii="arial" w:eastAsia="arial" w:hAnsi="arial" w:cs="arial"/>
          <w:color w:val="000000"/>
          <w:sz w:val="20"/>
          <w:lang w:val="en-US" w:eastAsia="en-US" w:bidi="ar-SA"/>
        </w:rPr>
        <w:t xml:space="preserve">, I conclude that I should follow the reasoning of Mr. Justice Joyce in </w:t>
      </w:r>
      <w:r>
        <w:rPr>
          <w:rFonts w:ascii="arial" w:eastAsia="arial" w:hAnsi="arial" w:cs="arial"/>
          <w:i/>
          <w:color w:val="000000"/>
          <w:sz w:val="20"/>
          <w:lang w:val="en-US" w:eastAsia="en-US" w:bidi="ar-SA"/>
        </w:rPr>
        <w:t>Kotai v. Queen of the North</w:t>
      </w:r>
      <w:r>
        <w:rPr>
          <w:rFonts w:ascii="arial" w:eastAsia="arial" w:hAnsi="arial" w:cs="arial"/>
          <w:color w:val="000000"/>
          <w:sz w:val="20"/>
          <w:lang w:val="en-US" w:eastAsia="en-US" w:bidi="ar-SA"/>
        </w:rPr>
        <w:t>. In my opinion, the cases relied on by counsel for the plaintiff have been superseded by subsequent authorities.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In my opinion, the law does not permit me to award damages to Jan for the psychological disturbance caused to him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As I see it, damages may only be awarded for the minor physical injury suffered by Jan as a result of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 award damages in the amount of $1,500 to Jan for pain and suffering and loss of enjoyment of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If I had found Jan's psychological disturbance to be compensable in law, I would have awarded an additional $6,000 in damages for non-pecuniary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If the issue of costs cannot be settled by the parties, the matter may be spoken to by way of the usual procedure through the office of the trial scheduling manager.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 think it is arguable that the plaintiff was "the successful party" within the meaning of Rule 14-1(9). I say that because the defendant did not admit liability for the accident until the filing of an amended statement of defence on October 13, 2010, and because the defendant maintained a denial in the amended pleadings that the plaintiff was injured at all. Of course, it was established at trial that the plaintiff sustained some physical injury, and this was not really contested, in the end, by counsel for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Rule 14-1(10) would deprive the plaintiff from costs, other than disbursements, unless there was sufficient reason for bringing the proceeding in the Supreme Court. The defendant's denial of liability until the eve of trial would understandably make the discovery procedures available in this court highly desirable. On the other hand, it is certainly arguable that the range of damages potentially available to the plaintiff as of November 12, 2008 when the action was commenced could not reasonably be expected to exceed the $25,000 jurisdiction of the Provincial Court, even if the theory of law advanced by plaintiff's counsel had been accepted.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 make these comments in the hope that the parties may reach a reasonable compromise on the issue of costs, without incurring more costs. Of course, there may be other facts in existence of which I am unaware, that could be decisive on the issue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D.A. HALFYARD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93" style="position:absolute;z-index:25188454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80"/>
          <w:headerReference w:type="default" r:id="rId881"/>
          <w:footerReference w:type="even" r:id="rId882"/>
          <w:footerReference w:type="default" r:id="rId883"/>
          <w:headerReference w:type="first" r:id="rId884"/>
          <w:footerReference w:type="first" r:id="rId88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86" w:history="1">
        <w:r>
          <w:rPr>
            <w:rFonts w:ascii="arial" w:eastAsia="arial" w:hAnsi="arial" w:cs="arial"/>
            <w:b/>
            <w:bCs/>
            <w:i/>
            <w:color w:val="0077CC"/>
            <w:kern w:val="32"/>
            <w:sz w:val="28"/>
            <w:szCs w:val="32"/>
            <w:u w:val="single"/>
            <w:shd w:val="clear" w:color="auto" w:fill="FFFFFF"/>
            <w:lang w:val="en-US" w:eastAsia="en-US" w:bidi="ar-SA"/>
          </w:rPr>
          <w:t>Thomson v. Hunt, [2010] B.C.J. No. 2615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T.A. Schultes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2,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24,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M116266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[2010] B.C.J. No. 2615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BCSC 1858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196 A.C.W.S. (3d) 396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CarswellBC 3563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Kent Joseph Thomson, Plaintiff, and Harold Timothy Hunt,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94" style="position:absolute;z-index:2516940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42" w:name="Keywords_34"/>
      <w:bookmarkEnd w:id="242"/>
      <w:r>
        <w:rPr>
          <w:rFonts w:ascii="arial" w:eastAsia="arial" w:hAnsi="arial" w:cs="arial"/>
          <w:b/>
          <w:color w:val="000000"/>
          <w:sz w:val="20"/>
          <w:lang w:val="en-US" w:eastAsia="en-US" w:bidi="ar-SA"/>
        </w:rPr>
        <w:t>Damages — Physical and psychological injuries — Physical injuries — Body injuries — Neck — Arm injuries — Action by plaintiff for damages sustained in motor vehicle accident allowed — Parties agreed that plaintiff was entitled to $15,544 for his net income loss — Plaintiff, aged 40, led inactive lifestyle before collision — His accident injuries to his neck, left shoulder and left arm were resolved by time he was diagnosed with brain cancer eight months after accident — Plaintiff was awarded $20,000 for non-pecuniary damages.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Special damages — Past loss of income — Non-pecuniary loss — Affecting recreational activities — Action by plaintiff for damages sustained in motor vehicle accident allowed — Parties agreed that plaintiff was entitled to $15,544 for his net income loss — Plaintiff, aged 40, led inactive lifestyle before collision — His accident injuries to his neck, left shoulder and left arm were resolved by time he was diagnosed with brain cancer eight months after accident — Plaintiff was awarded $20,000 for non-pecuniary damages.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and standard of care — Duty of care — Causation — Causal connection — Motor vehicles — Liability of driver — Liability of owner — Speed — Action by plaintiff for damages sustained in motor vehicle accident allowed — Liability was contested and defendant was solely liable — Defendant's manner of driving caused him to collide with plaintiff — Plaintiff was not at fault because he entered road after he properly checked for oncoming traffic — He did not breach any duty of care.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43" w:name="Case Summary_34"/>
            <w:bookmarkEnd w:id="24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Thomson for damages for injuries sustained in a motor vehicle accident with vehicle that was driven by defendant Hunt. The accident occurred on December 18, 2007. Liability was contested. The accident ensued when the front driver's side panel of Hunt's car struck the rear driver's side of Thomson's pick-up truck. The impact caused Thomson's truck to swing around and it ended up against a retaining wall on the other side of the street. Thomson claimed that Hunt's excessive speed and lack of proper caution rendered him unable to respond to the left turn that he made that was completely foreseeable. Hunt claimed that the collision was unavoidable due to Thomson's sudden and unpredictable left turn. Thomson was currently 40 years' old. He was employed as a tower crane rigger. He claimed that he suffered pain and discomfort in his left shoulder, left arm, between his shoulder blades and his neck. Some pain persisted until August 30, 2008 when he was diagnosed with brain cancer. He did not work after he received that diagnosis. The parties agreed that Thomson was entitled to $15,544 for his net income loss.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44" w:name="Holdings of Court_28"/>
            <w:bookmarkEnd w:id="244"/>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Based on the positions of the parties' vehicles at impact Hunt's version of his actions prior to the collision did not make sense. The movements of Thomson's truck could have been made with reasonable safety, but for Hunt's actions. Thomson did not breach any duty of care. His duty was to obey the rules of the road, to exercise reasonable care and to be vigilant for foreseeable risks. He had no duty to drive so defensively as to forestall all possible negative events. Hunt approached the collision site at a speed of in excess of 40 kilometers per hour, which having regard to the configuration of the street, caused him to collide with Thomson, who sought to enter the road after he properly checked for oncoming traffic. Thomson's lifestyle before the collision was inactive. The duration of his most serious symptoms and the limited extent to which they interfered with his pre-collision lifestyle entitled to an award of $20,000 for non-pecuniary damages.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45" w:name="Legislation Cited_22"/>
      <w:bookmarkEnd w:id="24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95" style="position:absolute;z-index:2517452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66(29)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Motor Vehicle Act, </w:t>
      </w:r>
      <w:hyperlink r:id="rId127" w:history="1">
        <w:r>
          <w:rPr>
            <w:rFonts w:ascii="arial" w:eastAsia="arial" w:hAnsi="arial" w:cs="arial"/>
            <w:i/>
            <w:color w:val="0077CC"/>
            <w:sz w:val="20"/>
            <w:u w:val="single"/>
            <w:shd w:val="clear" w:color="auto" w:fill="FFFFFF"/>
            <w:lang w:val="en-US" w:eastAsia="en-US" w:bidi="ar-SA"/>
          </w:rPr>
          <w:t>RSBC 1996, CHAPTER 318, s. 144</w:t>
        </w:r>
      </w:hyperlink>
      <w:r>
        <w:rPr>
          <w:rFonts w:ascii="arial" w:eastAsia="arial" w:hAnsi="arial" w:cs="arial"/>
          <w:color w:val="000000"/>
          <w:sz w:val="20"/>
          <w:lang w:val="en-US" w:eastAsia="en-US" w:bidi="ar-SA"/>
        </w:rPr>
        <w:t>(1), s. 168(b) (ii), s. 169, s. 176(2)</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46" w:name="Counsel_34"/>
      <w:bookmarkEnd w:id="24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96" style="position:absolute;z-index:2517964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K. Deane-Cloutier.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M.R. Parkes.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47" w:name="Judgment_34"/>
      <w:bookmarkEnd w:id="247"/>
      <w:r>
        <w:pict>
          <v:line id="_x0000_s1197" style="position:absolute;z-index:251846656"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corrigendum was released by the Court January 24, 2011; the corrections have been made to the text and the corrigendum is appended to this document.]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8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48" w:name="T.A. SCHULTES J."/>
            <w:bookmarkEnd w:id="248"/>
            <w:r>
              <w:rPr>
                <w:rFonts w:ascii="arial" w:eastAsia="arial" w:hAnsi="arial" w:cs="arial"/>
                <w:b/>
                <w:color w:val="000000"/>
                <w:sz w:val="30"/>
                <w:lang w:val="en-US" w:eastAsia="en-US" w:bidi="ar-SA"/>
              </w:rPr>
              <w:t>T.A. SCHULTES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this summary trial the plaintiff, Kent Thomson, is seeking damages for injuries that he sustained in a motor vehicle collision on December 18, 2007 in Coquitlam, British Columbia. He alleges that this collision was caused entirely by the defendant, Harold Hunt. Mr. Hunt denies liability and says that Mr. Thomson's driving caused or at least substantially contributed to the collision. If his liability is proven to any degree, Mr. Hunt disputes the amount of non-pecuniary damages claimed by Mr. Thomson. The parties have agreed that if Mr. Hunt is found liable for the collision, Mr. Thomson will receive $15,544 for his net income loss and $300 for special damages (the cost of physiotherapy).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 Undisputed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collision occurred sometime between 6:20 a.m. and 6:30 a.m. on December 18, 2007. It was dark and the roads were wet. Mr. Hunt was driving his 1993 Pontiac Grand Prix downhill southbound at the intersection of Dawes Hill Road and Monashee Court in Coquitlam, when the front driver's side panel of his car struck the rear driver's side of Mr. Thomson's 1998 GMC Sierra pick-up truck. The impact caused Mr. Thomson's truck to swing around and it ended up against a retaining wall on the other side of the street, facing slightly uphill.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 Site of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Dawes Hill Road is a roadway allowing vehicles to travel up (northbound) and down (southbound) a hill with a steep grade. Specifically, it consists of a series of three steep sections, with flatter sections between each of them. Due to this rolling configuration, a vehicle travelling downhill on one of the flatter sections may not be visible to a driver who is farther downhill and on the other side of the next steep 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crest of the hill begins where Dawes Hill Road intersects with Mundy Street. Mr. Thomson's evidence was that the second crest begins about six to eight houses uphill from the site of the collision. One of the aerial photographs appended to his affidavit appears to confirm this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collision occurred where Monashee Court joins Dawes Hill Road in a "T" intersection from the east, which would be from the left-hand side of a driver travelling downhill. Dawes Hill Road is divided by a double solid line but Monashee Court that line breaks up to permit turns from and onto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 Mr. Thomson's Actions before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Thomson lived on the west side of Dawes Hill Road, near the location of the collision. He was intending to drive to work that morning.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His evidence was that his truck was parked at the curb on the west side of Dawes Hill Road, slightly uphill of his driveway, facing south (downhill) and directly across the street from the intersection of Dawes Hill Road and Monashee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As he did on every work day, Mr. Thomson planned to turn left onto Monashee Court, make a u-turn on Monashee Court, then turn right back onto Dawes Hill Road in order to travel uphill, in the opposite direction to the way his truck faced when he started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Thomson said he got into his truck, put on the seat-belt, started the engine, turned on the headlights, signalled left, pulled ahead slightly to the right onto his driveway, then pulled slightly to the left and stopped with the nose of his truck angled, so that he could look uphill to check for oncoming traffic. Seeing no vehicles, he initiated his turn onto Monashee Court. This series of actions, from starting his truck to initiating the turn, took about one minute or more.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His observation of the collision was that he saw lights and then felt an impact. At this point, he was part way into his turn onto Monashee Court and had crossed the centre line of Dawes Hill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Debris from the collision was found mostly in the northbound or uphill lane of Dawes Hill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Hunt's counsel identified what he describes as inconsistencies between Mr. Thomson's evidence in this summary trial and his previous statements, the most significant of which concern: (1) the distance between the nearest crest of the hill and the collision site and the resulting visibility to a driver in the position of Mr. Thomson's truck travelling downhill; and (2) the position of Mr. Thomson's truck relative to the centre line of Dawes Hill Road, when it was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With respect to the first of these inconsistencies, Mr. Thomson's statement to the Insurance Corporation of British Columbia, given on December 28, 2007 (ten days after the collision), indicates that he saw headlights coming from a car behind him at the crest as he was turning left and that the crest is 12 houses uphill from where he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With respect to the position of his truck relative to the centre line of the road, Mr. Thomson stated during his examination for discovery in September, 2008 that he only assumed he had crossed the centre line because of the location of the damage to his truck, although he conceded that he was unsure whether his rear bumper had crossed the centre line by the time he was struck by Mr. Hunt's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 Mr. Hunt's Actions before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Hunt said that he turned onto Dawes Hill Road just before the crest and proceeded to travel downhill. He checked his speed as he left the crest, which he noted to be 40 kilometres per hour. I note that Mr. Hunt was under the mistaken impression that the speed limit was 40 kilometres per hour - the evidence is that the speed limit was 30 kilometres per hour. He did not check his speed again before the collision and does not recall applying the brakes as he proceeded down the hill. His car had an automatic transmission and he kept it in the 'drive' setting as he descended.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Hunt said that he was "a bit surprised" when Mr. Thomson's truck pulled away from the curb. He applied his brakes to slow down (he did not need to slam on them in order to avoid a collision) and then probably eased off them. He believed that he was probably travelling less than 40 kilometres per hour by this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His assumption was that Mr. Thomson, having pulled his truck out onto Dawes Hill Road, was going to continue travelling down the hill. Had Mr. Thomson done so, Mr. Hunt said that his braking at the point when Mr. Thomson pulled out from the curb would have been sufficient to avoid a collision. However, Mr. Hunt said that a collision was unavoidable on his part when Mr. Thomson began a left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Hunt felt that the time lapse between Mr. Thomson pulling away from the curb and the collision was less than a minute, though not seconds or fractions of a second.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 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As is obvious from this recitation of the evidence, the parties each characterize the collision differently. Mr. Thomson submits that Mr. Hunt's excessive speed and lack of proper caution rendered him unable to respond to a manoeuvre (his "left turn") that was completely foreseeable and that Mr. Hunt simply assumed would not be made. Mr. Hunt, on the other hand, submits that a collision was unavoidable due to Mr. Thomson's sudden and unpredictable left turn. He also submits that I should find that Mr. Thomson was actually in the process of executing a u-turn on Dawes Hill Road itself, on the basis of the point of the impact to Mr. Thomson's truck and the illogic of his entering Monashee Court, which is narrower than Dawes Hill Road and thus less accommodating of u-turns.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1. Vehicles' Positions at Point of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first step in determining what preceded the collision, in terms of the parties' actions, is to assess the positions of the vehicles at impact and then to make any additional findings of fact flowing from that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There is no basis in the evidence to infer that Mr. Hunt's car was anywhere other than in its own lane of travel at the point of impact. Rather, damage to the front driver's side panel of Mr. Hunt's car and the rear driver's side of Mr. Thomson's truck indicates (1) that the collision occurred at the point when the truck's rear portion still remained in the southbound lane, and (2) that at the point of impact Mr. Hunt's car and Mr. Thomson's truck were perpendicular, or nearly so, to each 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These two findings are supported by aerial photographs in evidence showing that Mr. Thomson's driveway, from which he said he began his "left turn", is slightly downhill from the entrance to Monashee Court on the other side of the road, so that any "left turn" he attempted to execute ought to be more accurately described as his driving across Dawes Hill Road, with the nose of his truck angled slightly uphill. Such a position is also consistent with Mr. Thomson's evidence in examination for discovery that the nose of his truck was pointed slightly uphill.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Moreover, given that the impact of the collision sent Mr. Thomson's truck spinning across the northbound (uphill) lane to a retaining wall on the other side of the road, I am not surprised that debris was found in the northbound (uphill)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light of my finding regarding the positions of the parties' vehicles at impact, Mr. Hunt's version of his actions prior to the collision no longer makes sense. Specifically, I am unable to see how Mr. Thomson's near-perpendicular crossing of Dawes Hill Road from his position by his driveway could, in any way, support Mr. Hunt's claim that he saw the truck pull out, thought it was going to proceed southbound down the hill, braked sufficiently to avoid collision, but was then surprised when the truck turned left. I therefore reject Mr. Hunt's evidence that he braked in the belief that Mr. Thomson was heading downhill. I find instead that Mr. Hunt could only have observed Mr. Thomson's truck proceeding across the road in front of him and that there was nothing misleading about the truck's movements from the time he first saw it.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2. Breach of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Having determined the position of the parties' vehicles at the point of impact, I must then consider whether either party breached his duty of care and thereby caused or contributed to the injuries claimed. Provisions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applicable to the actions of the parties in this case are reproduced below: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144(1) A person </w:t>
      </w:r>
      <w:r>
        <w:rPr>
          <w:rFonts w:ascii="arial" w:eastAsia="arial" w:hAnsi="arial" w:cs="arial"/>
          <w:color w:val="000000"/>
          <w:sz w:val="20"/>
          <w:u w:val="single"/>
          <w:lang w:val="en-US" w:eastAsia="en-US" w:bidi="ar-SA"/>
        </w:rPr>
        <w:t>must not drive</w:t>
      </w:r>
      <w:r>
        <w:rPr>
          <w:rFonts w:ascii="arial" w:eastAsia="arial" w:hAnsi="arial" w:cs="arial"/>
          <w:color w:val="000000"/>
          <w:sz w:val="20"/>
          <w:lang w:val="en-US" w:eastAsia="en-US" w:bidi="ar-SA"/>
        </w:rPr>
        <w:t xml:space="preserve"> a motor vehicle on a highway</w:t>
      </w:r>
    </w:p>
    <w:p>
      <w:pPr>
        <w:numPr>
          <w:numId w:val="1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due care and attention,</w:t>
      </w:r>
    </w:p>
    <w:p>
      <w:pPr>
        <w:numPr>
          <w:numId w:val="1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reasonable consideration for other persons using the highway, or</w:t>
      </w:r>
    </w:p>
    <w:p>
      <w:pPr>
        <w:numPr>
          <w:numId w:val="1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at a speed that is excessive relative to the road</w:t>
      </w:r>
      <w:r>
        <w:rPr>
          <w:rFonts w:ascii="arial" w:eastAsia="arial" w:hAnsi="arial" w:cs="arial"/>
          <w:color w:val="000000"/>
          <w:sz w:val="20"/>
          <w:lang w:val="en-US" w:eastAsia="en-US" w:bidi="ar-SA"/>
        </w:rPr>
        <w:t>, traffic, visibility or weather conditions.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169 A person </w:t>
      </w:r>
      <w:r>
        <w:rPr>
          <w:rFonts w:ascii="arial" w:eastAsia="arial" w:hAnsi="arial" w:cs="arial"/>
          <w:color w:val="000000"/>
          <w:sz w:val="20"/>
          <w:u w:val="single"/>
          <w:lang w:val="en-US" w:eastAsia="en-US" w:bidi="ar-SA"/>
        </w:rPr>
        <w:t>must not move a vehicle that is stopped</w:t>
      </w:r>
      <w:r>
        <w:rPr>
          <w:rFonts w:ascii="arial" w:eastAsia="arial" w:hAnsi="arial" w:cs="arial"/>
          <w:color w:val="000000"/>
          <w:sz w:val="20"/>
          <w:lang w:val="en-US" w:eastAsia="en-US" w:bidi="ar-SA"/>
        </w:rPr>
        <w:t xml:space="preserve">, standing or parked </w:t>
      </w:r>
      <w:r>
        <w:rPr>
          <w:rFonts w:ascii="arial" w:eastAsia="arial" w:hAnsi="arial" w:cs="arial"/>
          <w:color w:val="000000"/>
          <w:sz w:val="20"/>
          <w:u w:val="single"/>
          <w:lang w:val="en-US" w:eastAsia="en-US" w:bidi="ar-SA"/>
        </w:rPr>
        <w:t>unless the movement can be made with reasonable safety</w:t>
      </w:r>
      <w:r>
        <w:rPr>
          <w:rFonts w:ascii="arial" w:eastAsia="arial" w:hAnsi="arial" w:cs="arial"/>
          <w:color w:val="000000"/>
          <w:sz w:val="20"/>
          <w:lang w:val="en-US" w:eastAsia="en-US" w:bidi="ar-SA"/>
        </w:rPr>
        <w:t xml:space="preserve"> and he or she first gives the appropriate signal under section 171 or 172.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176(2) The driver of a vehicle about to enter or cross a highway [defined under s. 1 as every road, street, lane or right of way designed or intended for or used by the general public for the passage of vehicles] from an alley, lane, driveway, building or private road must </w:t>
      </w:r>
      <w:r>
        <w:rPr>
          <w:rFonts w:ascii="arial" w:eastAsia="arial" w:hAnsi="arial" w:cs="arial"/>
          <w:color w:val="000000"/>
          <w:sz w:val="20"/>
          <w:u w:val="single"/>
          <w:lang w:val="en-US" w:eastAsia="en-US" w:bidi="ar-SA"/>
        </w:rPr>
        <w:t>yield the right of way to traffic approaching on the highway so closely that it constitutes an immediate hazard</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Under s. 176(2), an approaching vehicle is an "immediate hazard" where its driver must take some sudden or violent action to avoid the threat of a collision if the vehicle seeking to enter or cross a highway does not yield the right of way: </w:t>
      </w:r>
      <w:r>
        <w:rPr>
          <w:rFonts w:ascii="arial" w:eastAsia="arial" w:hAnsi="arial" w:cs="arial"/>
          <w:i/>
          <w:color w:val="000000"/>
          <w:sz w:val="20"/>
          <w:lang w:val="en-US" w:eastAsia="en-US" w:bidi="ar-SA"/>
        </w:rPr>
        <w:t>Keen v. Stene</w:t>
      </w:r>
      <w:r>
        <w:rPr>
          <w:rFonts w:ascii="arial" w:eastAsia="arial" w:hAnsi="arial" w:cs="arial"/>
          <w:color w:val="000000"/>
          <w:sz w:val="20"/>
          <w:lang w:val="en-US" w:eastAsia="en-US" w:bidi="ar-SA"/>
        </w:rPr>
        <w:t xml:space="preserve"> </w:t>
      </w:r>
      <w:hyperlink r:id="rId730" w:history="1">
        <w:r>
          <w:rPr>
            <w:rFonts w:ascii="arial" w:eastAsia="arial" w:hAnsi="arial" w:cs="arial"/>
            <w:i/>
            <w:color w:val="0077CC"/>
            <w:sz w:val="20"/>
            <w:u w:val="single"/>
            <w:shd w:val="clear" w:color="auto" w:fill="FFFFFF"/>
            <w:lang w:val="en-US" w:eastAsia="en-US" w:bidi="ar-SA"/>
          </w:rPr>
          <w:t>(1964), 44 D.L.R. (2d) 350</w:t>
        </w:r>
      </w:hyperlink>
      <w:r>
        <w:rPr>
          <w:rFonts w:ascii="arial" w:eastAsia="arial" w:hAnsi="arial" w:cs="arial"/>
          <w:color w:val="000000"/>
          <w:sz w:val="20"/>
          <w:lang w:val="en-US" w:eastAsia="en-US" w:bidi="ar-SA"/>
        </w:rPr>
        <w:t xml:space="preserve">, </w:t>
      </w:r>
      <w:hyperlink r:id="rId730" w:history="1">
        <w:r>
          <w:rPr>
            <w:rFonts w:ascii="arial" w:eastAsia="arial" w:hAnsi="arial" w:cs="arial"/>
            <w:i/>
            <w:color w:val="0077CC"/>
            <w:sz w:val="20"/>
            <w:u w:val="single"/>
            <w:shd w:val="clear" w:color="auto" w:fill="FFFFFF"/>
            <w:lang w:val="en-US" w:eastAsia="en-US" w:bidi="ar-SA"/>
          </w:rPr>
          <w:t>[1964] B.C.J. No. 130</w:t>
        </w:r>
      </w:hyperlink>
      <w:r>
        <w:rPr>
          <w:rFonts w:ascii="arial" w:eastAsia="arial" w:hAnsi="arial" w:cs="arial"/>
          <w:color w:val="000000"/>
          <w:sz w:val="20"/>
          <w:lang w:val="en-US" w:eastAsia="en-US" w:bidi="ar-SA"/>
        </w:rPr>
        <w:t xml:space="preserve"> at paras. 44, 64-65 of QuickLaw. The determination as to what amounts to an "immediate hazard" involves an assessment of the speeds and distances of the vehicles (at paras. 44-45, 66-67 of QuickLaw). The obligation is on the entering vehicle (here, Mr. Thomson) to look out for the through traffic which has entered the intersection or is approaching so closely as to constitute an "immediate hazard" (at para. 62 of QuickLaw).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When one is considering the potential effect of these statutory duties, the comments of Mr. Justice Groberman in </w:t>
      </w:r>
      <w:r>
        <w:rPr>
          <w:rFonts w:ascii="arial" w:eastAsia="arial" w:hAnsi="arial" w:cs="arial"/>
          <w:i/>
          <w:color w:val="000000"/>
          <w:sz w:val="20"/>
          <w:lang w:val="en-US" w:eastAsia="en-US" w:bidi="ar-SA"/>
        </w:rPr>
        <w:t>Salaam v. Abramovic</w:t>
      </w:r>
      <w:r>
        <w:rPr>
          <w:rFonts w:ascii="arial" w:eastAsia="arial" w:hAnsi="arial" w:cs="arial"/>
          <w:color w:val="000000"/>
          <w:sz w:val="20"/>
          <w:lang w:val="en-US" w:eastAsia="en-US" w:bidi="ar-SA"/>
        </w:rPr>
        <w:t xml:space="preserve">, </w:t>
      </w:r>
      <w:hyperlink r:id="rId129" w:history="1">
        <w:r>
          <w:rPr>
            <w:rFonts w:ascii="arial" w:eastAsia="arial" w:hAnsi="arial" w:cs="arial"/>
            <w:i/>
            <w:color w:val="0077CC"/>
            <w:sz w:val="20"/>
            <w:u w:val="single"/>
            <w:shd w:val="clear" w:color="auto" w:fill="FFFFFF"/>
            <w:lang w:val="en-US" w:eastAsia="en-US" w:bidi="ar-SA"/>
          </w:rPr>
          <w:t>2010 BCCA 212</w:t>
        </w:r>
      </w:hyperlink>
      <w:r>
        <w:rPr>
          <w:rFonts w:ascii="arial" w:eastAsia="arial" w:hAnsi="arial" w:cs="arial"/>
          <w:color w:val="000000"/>
          <w:sz w:val="20"/>
          <w:lang w:val="en-US" w:eastAsia="en-US" w:bidi="ar-SA"/>
        </w:rPr>
        <w:t xml:space="preserve">, </w:t>
      </w:r>
      <w:hyperlink r:id="rId129" w:history="1">
        <w:r>
          <w:rPr>
            <w:rFonts w:ascii="arial" w:eastAsia="arial" w:hAnsi="arial" w:cs="arial"/>
            <w:i/>
            <w:color w:val="0077CC"/>
            <w:sz w:val="20"/>
            <w:u w:val="single"/>
            <w:shd w:val="clear" w:color="auto" w:fill="FFFFFF"/>
            <w:lang w:val="en-US" w:eastAsia="en-US" w:bidi="ar-SA"/>
          </w:rPr>
          <w:t>4 B.C.L.R. (5th) 117</w:t>
        </w:r>
      </w:hyperlink>
      <w:r>
        <w:rPr>
          <w:rFonts w:ascii="arial" w:eastAsia="arial" w:hAnsi="arial" w:cs="arial"/>
          <w:color w:val="000000"/>
          <w:sz w:val="20"/>
          <w:lang w:val="en-US" w:eastAsia="en-US" w:bidi="ar-SA"/>
        </w:rPr>
        <w:t xml:space="preserve"> at para. 21 should also be kept in mind: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end, a court must determine whether, and to what extent, each of the players in an accident met their common law duties of care to other users of the road. In making that determination, a court will be informed by the rules of the road, but those rules do not eliminate the need to consider the reasonableness of the actions of the parties. This is both because the rules of the road cannot comprehensively cover all possible scenarios, and because users of the road are expected to exercise reasonable care, even when others have failed to respect their right of way. While s. 175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and other rules of the road are important in determining whether the standard of care was met, they are not the exclusive measures of that standard.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For the reasons that follow, I accept Mr. Thomson's evidence that he checked for oncoming traffic before proceeding towards Monashee Court and that he did not observe Mr. Hunt's car until he already committed to making a "left turn". Cast in the language of ss. 169 and 176(2) of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I am satisfied that the movement of Mr. Thomson's truck was one that could have been made with reasonable safety, but for the actions of Mr. Hunt, and that at the time Mr. Thomson began to cross the road from his position by his driveway Mr. Hunt's car was not so close to him as to constitute an "immediate hazard".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First, it does not appear to me that the suggested inconsistency between Mr. Thomson's statement to ICBC and his affidavit evidence regarding the position of Mr. Hunt's car when Mr. Thomson first saw it is as significant as suggested by counsel for Mr. Hunt. In his statement to ICBC, Mr. Thomson stated "As I was turning left, I saw the headlights from a car coming from behind me at the crest of the hill ... about 12 houses from where I was." In his affidavit sworn February, 26. 2010, he stated at para. 25 "I saw nothing, no vehicles and no lights, so I initiated my turn onto Monashee. As I was turning I saw a flash of lights, then the impact occurred." I note also that in his examination for discovery, dated September 30, 2009, at p. 14, lines 13-15, Mr. Thomson stated "... I was crossing the road into my turn. I noticed lights, and then bang, almost instantaneously". Both the statement to ICBC and evidence given on examination for discovery describe his observation of Mr. Hunt's headlights and his turning onto Monashee Court as one simultaneous occurrence.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These prior statements and his evidence at trial seem to me to be different ways of expressing the same point: that Mr. Thomson did not see the lights of Mr. Hunt's car until it was too late for him to do anything about his intended manoeuvre that was already happening at that point. Neither of his prior statement supports an inference that Mr. Thomson failed to check for oncoming traffic or decided to embark on his turn in the face of oncoming traffic (that is, an "immediate hazard"). As a result, I find no reason to doubt Mr. Thomson's core assertion that he began his "left turn" when there was no apparent threat posed by other vehicles travelling downhill.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Second, from the perspective of his starting parked position, Mr. Thomson's manoeuvre may correctly be described as a "left turn" and he, (based on his uncontradicted evidence), actually signalled for a left turn before even moving his parked truck forward. However, as I indicated earlier, I think that Mr. Thomson's use of the term "left turn" to describe the manoeuvre he engaged in immediately prior to the collision was, having regard to the position of his truck at the point of impact, a misnomer.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The situation before me is distinguishable from </w:t>
      </w:r>
      <w:r>
        <w:rPr>
          <w:rFonts w:ascii="arial" w:eastAsia="arial" w:hAnsi="arial" w:cs="arial"/>
          <w:i/>
          <w:color w:val="000000"/>
          <w:sz w:val="20"/>
          <w:lang w:val="en-US" w:eastAsia="en-US" w:bidi="ar-SA"/>
        </w:rPr>
        <w:t>Dhah v. Harris</w:t>
      </w:r>
      <w:r>
        <w:rPr>
          <w:rFonts w:ascii="arial" w:eastAsia="arial" w:hAnsi="arial" w:cs="arial"/>
          <w:color w:val="000000"/>
          <w:sz w:val="20"/>
          <w:lang w:val="en-US" w:eastAsia="en-US" w:bidi="ar-SA"/>
        </w:rPr>
        <w:t xml:space="preserve">, </w:t>
      </w:r>
      <w:hyperlink r:id="rId887" w:history="1">
        <w:r>
          <w:rPr>
            <w:rFonts w:ascii="arial" w:eastAsia="arial" w:hAnsi="arial" w:cs="arial"/>
            <w:i/>
            <w:color w:val="0077CC"/>
            <w:sz w:val="20"/>
            <w:u w:val="single"/>
            <w:shd w:val="clear" w:color="auto" w:fill="FFFFFF"/>
            <w:lang w:val="en-US" w:eastAsia="en-US" w:bidi="ar-SA"/>
          </w:rPr>
          <w:t>2010 BCSC 172</w:t>
        </w:r>
      </w:hyperlink>
      <w:r>
        <w:rPr>
          <w:rFonts w:ascii="arial" w:eastAsia="arial" w:hAnsi="arial" w:cs="arial"/>
          <w:color w:val="000000"/>
          <w:sz w:val="20"/>
          <w:lang w:val="en-US" w:eastAsia="en-US" w:bidi="ar-SA"/>
        </w:rPr>
        <w:t xml:space="preserve">, </w:t>
      </w:r>
      <w:hyperlink r:id="rId887" w:history="1">
        <w:r>
          <w:rPr>
            <w:rFonts w:ascii="arial" w:eastAsia="arial" w:hAnsi="arial" w:cs="arial"/>
            <w:i/>
            <w:color w:val="0077CC"/>
            <w:sz w:val="20"/>
            <w:u w:val="single"/>
            <w:shd w:val="clear" w:color="auto" w:fill="FFFFFF"/>
            <w:lang w:val="en-US" w:eastAsia="en-US" w:bidi="ar-SA"/>
          </w:rPr>
          <w:t>[2010] B.C.J. No. 215</w:t>
        </w:r>
      </w:hyperlink>
      <w:r>
        <w:rPr>
          <w:rFonts w:ascii="arial" w:eastAsia="arial" w:hAnsi="arial" w:cs="arial"/>
          <w:color w:val="000000"/>
          <w:sz w:val="20"/>
          <w:lang w:val="en-US" w:eastAsia="en-US" w:bidi="ar-SA"/>
        </w:rPr>
        <w:t>, a case relied on by Mr. Hunt, in which the defendant made a left turn across a double solid line "at a point where there was no intersection or driveway" and "at a point where oncoming drivers would have no reason to anticipate vehicles entering the roadway" (at para. 29 of BCSC). Here, the break in the double solid line at the intersection of Monashee Court and Dawes Hill Road entitled Mr. Thomson to make a turn if it was safe for him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I also do not find that there is anything inherently illogical in Mr. Thomson's claim that he intended to perform a u-turn on Monashee Court. It makes sense that Mr. Thomson would choose a side street, which Monashee Court appears to be, on which to execute a u-turn. The collision that occurred here amply demonstrates the prudence of that choice. There is no basis on which to prefer Mr. Hunt's submission that Mr. Thomson actually intended to make a u-turn on Dawes Hill Road. Accordingly, s. 168(b)(ii) of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which prohibits u-turns "on an approach to or near the crest of a grade where the vehicle cannot be seen by the driver of another vehicle approaching from either direction within 150 m", does not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Hunt's evidence does not persuade me that Mr. Thomson did anything unsafe. I have already rejected Mr. Hunt's key assertion that he had to respond to two separate consecutive actions by Mr. Thomson's truck, the second of which Mr. Hunt was unable to avoid, as being inconsistent with the physical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I do not find that Mr. Thomson breached any duty of care. His duty was to obey the rules of the road, to exercise reasonable care and to be vigilant for foreseeable risks. He had no duty to drive so defensively as to forestall all possible negative events. In </w:t>
      </w:r>
      <w:r>
        <w:rPr>
          <w:rFonts w:ascii="arial" w:eastAsia="arial" w:hAnsi="arial" w:cs="arial"/>
          <w:i/>
          <w:color w:val="000000"/>
          <w:sz w:val="20"/>
          <w:lang w:val="en-US" w:eastAsia="en-US" w:bidi="ar-SA"/>
        </w:rPr>
        <w:t>Salaam v. Abramovic</w:t>
      </w:r>
      <w:r>
        <w:rPr>
          <w:rFonts w:ascii="arial" w:eastAsia="arial" w:hAnsi="arial" w:cs="arial"/>
          <w:color w:val="000000"/>
          <w:sz w:val="20"/>
          <w:lang w:val="en-US" w:eastAsia="en-US" w:bidi="ar-SA"/>
        </w:rPr>
        <w:t>, at para. 25, Mr. Justice Groberman also observed: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Drivers are generally entitled to assume that others will obey the rules of the road. Further, though defensive driving and courteous operation of motor vehicles are to be encouraged, they do not necessarily represent the standard of care for the purposes of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A driver will not be held to have breached the standard of care simply because he or she failed to take extraordinary steps to avoid an accident or to show exceptional proficiency in the operation of a motor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As I said previously, I accept Mr. Thomson's evidence that he checked for oncoming vehicles, found none and did not become aware of the approaching lights of Mr. Hunt's car until he embarked on his "left turn". I do not think Mr. Thomson's failure to allow for the eventuality of a driver proceeding at a speed that was unsafe for the road configuration demonstrates any lack of reasonable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 think that as a matter of common sense if, as Mr. Hunt indicated, he was travelling at 40 kilometres per hour at the crest and he did not apply his brakes while travelling downhill from the first steep section until just before the collision, then (whether or not he applied any gas) his speed when approaching the site of the collision must have increased to exceed 40 kilometres per hour. While Mr. Hunt's speed likely did not increase as he travelled the flatter section of the road after the first downhill section, this was followed by another downhill section before the collision site. As a result, I find that Mr. Hunt was exceeding the posted speed limit of 30 kilometres per hour by more than the margin he admitted.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It is obvious from the photographs that the posted speed limit of 30 kilometres per hour was implemented to minimize the dangers that Dawes Hill Road poses if it is traveled at the more commonly posted speed limit of 50 kilometres per hour. The best way of understanding the level of risk anticipated by those responsible for establishing this speed limit on Dawes Hill Road is to note that 30 kilometres per hour is the speed limit in school zones.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 find that the most likely sequence of events is that Mr. Hunt approached the site of the collision at a speed in excess of 40 kilometres per hour, which, having regard to the configuration of Dawes Hill Road, caused him to collide with Mr. Thomson, who sought to enter the road after having properly checked for oncoming traffic. The manner in which Mr. Hunt controlled and operated his car could not have provided him with sufficient time to react to other vehicles, such as Mr. Thomson's truck, that might seek to enter the road. Accordingly, I find that Mr. Hunt's breach of his duty of care was the cause of the collision.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3. Apportionment of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An apportionment of liability is not appropriate in this case, in view of my finding that Mr. Thomson did not breach any duty of care and that Mr. Hunt's actions caused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parties agree that Mr. Thomson suffered some injuries as a result of the collision. The issue is how soon the effects of those injuries resolved. Mr. Thomson says that some pain persisted until August 30, 2008, when he was diagnosed with brain cancer. Mr. Hunt says that any persistence of pain beyond March 10, 2008 when Mr. Thomson returned to work is not supported by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 Thomson is 40 years old. His employment is as a tower crane rigger, a physically demanding job that, among other things, requires him to move his neck and shoulder in a repetitive manner and to look up at crane loads.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 Evidence of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Immediately following the collision, Mr. Thomson received a cut to his head, which he said healed in about one month, and felt pain to his left side from hip to armpit, which also went away in about one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Numbness and tingling to his right arm, which developed shortly after the collision, and lower back pain were treated with physiotherapy and dissipated by March 19, 2008, a little more than a week after he returned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 Thomson also suffered anxiety and stress as a result of having to miss work and worrying whether a job would be available to him when he was ready to return. This anxiety and stress were resolved with his return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He says that the collision caused pain and discomfort in his left shoulder, his left arm to his elbow, his neck and between his shoulder blades. These symptoms were still present at the time he returned to work and although they still lingered at the time of the brain cancer diagnosis, he considered them to be the least of his concern from then on in light of the seriousness of his health circumstances. I note that Mr. Thomson was off of work after the cancer diagnosis he received at the end of August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Mr. Thomson submitted a medical report written by Dr. Jennifer Fyfe dated December 14, 2008. Dr. Fyfe's report indicates that she discovered, through a CT scan of his neck, that Mr. Thomson had chronic degenerative changes to the C5-6 area and a slight disc protrusion at C6-7. Her conclusions about the discovery of these conditions and their relationship to the collision are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summary, </w:t>
      </w:r>
      <w:r>
        <w:rPr>
          <w:rFonts w:ascii="arial" w:eastAsia="arial" w:hAnsi="arial" w:cs="arial"/>
          <w:color w:val="000000"/>
          <w:sz w:val="20"/>
          <w:u w:val="single"/>
          <w:lang w:val="en-US" w:eastAsia="en-US" w:bidi="ar-SA"/>
        </w:rPr>
        <w:t>Mr. Thomson probably exacerbated a pre-existing condition of degenerative neck changes when he was struck by another vehicle</w:t>
      </w:r>
      <w:r>
        <w:rPr>
          <w:rFonts w:ascii="arial" w:eastAsia="arial" w:hAnsi="arial" w:cs="arial"/>
          <w:color w:val="000000"/>
          <w:sz w:val="20"/>
          <w:lang w:val="en-US" w:eastAsia="en-US" w:bidi="ar-SA"/>
        </w:rPr>
        <w:t xml:space="preserve"> on January 7, 2008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 xml:space="preserve"> - Dr. Fyfe's first met with Mr. Thomson on January 7, 2008; as no other collisions were referred to in the evidence, I am satisfied that Dr. Fyfe is referring to the December 18, 2007 collision that is before me]. The CT scan showed what could have been an acute injury at C6-7, but fortunately for Mr. Thomson the irritation provoked by that small disc protrusion appears to have settled. </w:t>
      </w:r>
      <w:r>
        <w:rPr>
          <w:rFonts w:ascii="arial" w:eastAsia="arial" w:hAnsi="arial" w:cs="arial"/>
          <w:color w:val="000000"/>
          <w:sz w:val="20"/>
          <w:u w:val="single"/>
          <w:lang w:val="en-US" w:eastAsia="en-US" w:bidi="ar-SA"/>
        </w:rPr>
        <w:t>I think it would be reasonable to conclude that that disc protrusion could have been caused by the accident</w:t>
      </w:r>
      <w:r>
        <w:rPr>
          <w:rFonts w:ascii="arial" w:eastAsia="arial" w:hAnsi="arial" w:cs="arial"/>
          <w:color w:val="000000"/>
          <w:sz w:val="20"/>
          <w:lang w:val="en-US" w:eastAsia="en-US" w:bidi="ar-SA"/>
        </w:rPr>
        <w:t xml:space="preserve">. In the future, Mr. Thomson may have difficulty with his neck, both related to the chronic degenerative changes and also possibly related to the disc that for now has settled. </w:t>
      </w:r>
      <w:r>
        <w:rPr>
          <w:rFonts w:ascii="arial" w:eastAsia="arial" w:hAnsi="arial" w:cs="arial"/>
          <w:color w:val="000000"/>
          <w:sz w:val="20"/>
          <w:u w:val="single"/>
          <w:lang w:val="en-US" w:eastAsia="en-US" w:bidi="ar-SA"/>
        </w:rPr>
        <w:t>At the present time he is essentially symptom-free, but ... he is also not doing his usual physically demanding work</w:t>
      </w:r>
      <w:r>
        <w:rPr>
          <w:rFonts w:ascii="arial" w:eastAsia="arial" w:hAnsi="arial" w:cs="arial"/>
          <w:color w:val="000000"/>
          <w:sz w:val="20"/>
          <w:lang w:val="en-US" w:eastAsia="en-US" w:bidi="ar-SA"/>
        </w:rPr>
        <w:t>.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Dr. Fyfe described Mr. Thomson's unsuccessful attempts to return to work before March 2008, noting that "much of his work involved repetitive motion of his neck and shoulder and there was clearly a safety factor involved with him being able to freely to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 look up at loads".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Mr. Thomson said that his injuries affected his ability to do household chores, to play with his step-son and, for a period of time, to have intimate relations with his wife.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Mr. Hunt points out that Mr. Thomson did not see Dr. Fyfe from March 4, 2008 (just before his return to work) until October 18, 2008, when he needed her to fill out a benefits form and that Mr. Thomson ceased physiotherapy treatments in March 2008. He also notes that Dr. Fyfe's report does not refer to pain in Mr. Thomson's left shoulder, left arm to elbow, neck and between the shoulder blades, which Mr. Thomson says still lingered when he was diagnosed with brain cancer on August 30, 2008. Finally, Mr. Hunt observes that Mr. Thomson appears to have engaged in a fairly sedentary lifestyle before the collision, with no interests outside the home beyond going to work and few outside chores. Mr. Hunt suggests that as a result, the injuries Mr. Thomson sustained did not interfere greatly with his level of pre-collision physical activity.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 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The purpose of non-pecuniary damages is "to compensate a plaintiff for pain, suffering, loss of enjoyment of life and loss of amenities": </w:t>
      </w:r>
      <w:r>
        <w:rPr>
          <w:rFonts w:ascii="arial" w:eastAsia="arial" w:hAnsi="arial" w:cs="arial"/>
          <w:i/>
          <w:color w:val="000000"/>
          <w:sz w:val="20"/>
          <w:lang w:val="en-US" w:eastAsia="en-US" w:bidi="ar-SA"/>
        </w:rPr>
        <w:t>Jackson v. Lai</w:t>
      </w:r>
      <w:r>
        <w:rPr>
          <w:rFonts w:ascii="arial" w:eastAsia="arial" w:hAnsi="arial" w:cs="arial"/>
          <w:color w:val="000000"/>
          <w:sz w:val="20"/>
          <w:lang w:val="en-US" w:eastAsia="en-US" w:bidi="ar-SA"/>
        </w:rPr>
        <w:t xml:space="preserve">, </w:t>
      </w:r>
      <w:hyperlink r:id="rId164" w:history="1">
        <w:r>
          <w:rPr>
            <w:rFonts w:ascii="arial" w:eastAsia="arial" w:hAnsi="arial" w:cs="arial"/>
            <w:i/>
            <w:color w:val="0077CC"/>
            <w:sz w:val="20"/>
            <w:u w:val="single"/>
            <w:shd w:val="clear" w:color="auto" w:fill="FFFFFF"/>
            <w:lang w:val="en-US" w:eastAsia="en-US" w:bidi="ar-SA"/>
          </w:rPr>
          <w:t>2007 BCSC 1023</w:t>
        </w:r>
      </w:hyperlink>
      <w:r>
        <w:rPr>
          <w:rFonts w:ascii="arial" w:eastAsia="arial" w:hAnsi="arial" w:cs="arial"/>
          <w:color w:val="000000"/>
          <w:sz w:val="20"/>
          <w:lang w:val="en-US" w:eastAsia="en-US" w:bidi="ar-SA"/>
        </w:rPr>
        <w:t xml:space="preserve">, </w:t>
      </w:r>
      <w:hyperlink r:id="rId164" w:history="1">
        <w:r>
          <w:rPr>
            <w:rFonts w:ascii="arial" w:eastAsia="arial" w:hAnsi="arial" w:cs="arial"/>
            <w:i/>
            <w:color w:val="0077CC"/>
            <w:sz w:val="20"/>
            <w:u w:val="single"/>
            <w:shd w:val="clear" w:color="auto" w:fill="FFFFFF"/>
            <w:lang w:val="en-US" w:eastAsia="en-US" w:bidi="ar-SA"/>
          </w:rPr>
          <w:t>[2007] B.C.J. No. 1535</w:t>
        </w:r>
      </w:hyperlink>
      <w:r>
        <w:rPr>
          <w:rFonts w:ascii="arial" w:eastAsia="arial" w:hAnsi="arial" w:cs="arial"/>
          <w:color w:val="000000"/>
          <w:sz w:val="20"/>
          <w:lang w:val="en-US" w:eastAsia="en-US" w:bidi="ar-SA"/>
        </w:rPr>
        <w:t>, at para. 134 of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Madam Justice Kirkpatrick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14"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w:t>
      </w:r>
      <w:hyperlink r:id="rId14" w:history="1">
        <w:r>
          <w:rPr>
            <w:rFonts w:ascii="arial" w:eastAsia="arial" w:hAnsi="arial" w:cs="arial"/>
            <w:i/>
            <w:color w:val="0077CC"/>
            <w:sz w:val="20"/>
            <w:u w:val="single"/>
            <w:shd w:val="clear" w:color="auto" w:fill="FFFFFF"/>
            <w:lang w:val="en-US" w:eastAsia="en-US" w:bidi="ar-SA"/>
          </w:rPr>
          <w:t>263 D.L.R. (4th) 19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Stapley</w:t>
      </w:r>
      <w:r>
        <w:rPr>
          <w:rFonts w:ascii="arial" w:eastAsia="arial" w:hAnsi="arial" w:cs="arial"/>
          <w:color w:val="000000"/>
          <w:sz w:val="20"/>
          <w:lang w:val="en-US" w:eastAsia="en-US" w:bidi="ar-SA"/>
        </w:rPr>
        <w:t xml:space="preserve"> cited to BCCA], provides a helpful list of factors to consider in assessing the amount of such an award, at para. 46: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inexhaustive list of common factors cited in </w:t>
      </w:r>
      <w:r>
        <w:rPr>
          <w:rFonts w:ascii="arial" w:eastAsia="arial" w:hAnsi="arial" w:cs="arial"/>
          <w:i/>
          <w:color w:val="000000"/>
          <w:sz w:val="20"/>
          <w:lang w:val="en-US" w:eastAsia="en-US" w:bidi="ar-SA"/>
        </w:rPr>
        <w:t>Boyd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Boyd v. Harris</w:t>
      </w:r>
      <w:r>
        <w:rPr>
          <w:rFonts w:ascii="arial" w:eastAsia="arial" w:hAnsi="arial" w:cs="arial"/>
          <w:color w:val="000000"/>
          <w:sz w:val="20"/>
          <w:lang w:val="en-US" w:eastAsia="en-US" w:bidi="ar-SA"/>
        </w:rPr>
        <w:t xml:space="preserve">, </w:t>
      </w:r>
      <w:hyperlink r:id="rId15" w:history="1">
        <w:r>
          <w:rPr>
            <w:rFonts w:ascii="arial" w:eastAsia="arial" w:hAnsi="arial" w:cs="arial"/>
            <w:i/>
            <w:color w:val="0077CC"/>
            <w:sz w:val="20"/>
            <w:u w:val="single"/>
            <w:shd w:val="clear" w:color="auto" w:fill="FFFFFF"/>
            <w:lang w:val="en-US" w:eastAsia="en-US" w:bidi="ar-SA"/>
          </w:rPr>
          <w:t>2004 BCCA 146</w:t>
        </w:r>
      </w:hyperlink>
      <w:r>
        <w:rPr>
          <w:rFonts w:ascii="arial" w:eastAsia="arial" w:hAnsi="arial" w:cs="arial"/>
          <w:color w:val="000000"/>
          <w:sz w:val="20"/>
          <w:lang w:val="en-US" w:eastAsia="en-US" w:bidi="ar-SA"/>
        </w:rPr>
        <w:t xml:space="preserve">, </w:t>
      </w:r>
      <w:hyperlink r:id="rId15" w:history="1">
        <w:r>
          <w:rPr>
            <w:rFonts w:ascii="arial" w:eastAsia="arial" w:hAnsi="arial" w:cs="arial"/>
            <w:i/>
            <w:color w:val="0077CC"/>
            <w:sz w:val="20"/>
            <w:u w:val="single"/>
            <w:shd w:val="clear" w:color="auto" w:fill="FFFFFF"/>
            <w:lang w:val="en-US" w:eastAsia="en-US" w:bidi="ar-SA"/>
          </w:rPr>
          <w:t>237 D.L.R. (4th) 193</w:t>
        </w:r>
      </w:hyperlink>
      <w:r>
        <w:rPr>
          <w:rFonts w:ascii="arial" w:eastAsia="arial" w:hAnsi="arial" w:cs="arial"/>
          <w:color w:val="000000"/>
          <w:sz w:val="20"/>
          <w:lang w:val="en-US" w:eastAsia="en-US" w:bidi="ar-SA"/>
        </w:rPr>
        <w:t>] that influence an award of non-pecuniary damages includes: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age of the plaintiff;</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the injury;</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severity and duration of pain;</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disability;</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emotional suffering; and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or impairment of life;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add the following factors, although they may arguably be subsumed in the above list: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family, marital and social relationships;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physical and mental abilities;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lifestyle; and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stoicism (as a factor that should not, generally speaking, penalize the plaintiff: </w:t>
      </w:r>
      <w:r>
        <w:rPr>
          <w:rFonts w:ascii="arial" w:eastAsia="arial" w:hAnsi="arial" w:cs="arial"/>
          <w:i/>
          <w:color w:val="000000"/>
          <w:sz w:val="20"/>
          <w:lang w:val="en-US" w:eastAsia="en-US" w:bidi="ar-SA"/>
        </w:rPr>
        <w:t>Giang v. Clayton</w:t>
      </w:r>
      <w:r>
        <w:rPr>
          <w:rFonts w:ascii="arial" w:eastAsia="arial" w:hAnsi="arial" w:cs="arial"/>
          <w:color w:val="000000"/>
          <w:sz w:val="20"/>
          <w:lang w:val="en-US" w:eastAsia="en-US" w:bidi="ar-SA"/>
        </w:rPr>
        <w:t xml:space="preserve">, </w:t>
      </w:r>
      <w:hyperlink r:id="rId16" w:history="1">
        <w:r>
          <w:rPr>
            <w:rFonts w:ascii="arial" w:eastAsia="arial" w:hAnsi="arial" w:cs="arial"/>
            <w:i/>
            <w:color w:val="0077CC"/>
            <w:sz w:val="20"/>
            <w:u w:val="single"/>
            <w:shd w:val="clear" w:color="auto" w:fill="FFFFFF"/>
            <w:lang w:val="en-US" w:eastAsia="en-US" w:bidi="ar-SA"/>
          </w:rPr>
          <w:t>[2005] B.C.J. No. 163</w:t>
        </w:r>
      </w:hyperlink>
      <w:r>
        <w:rPr>
          <w:rFonts w:ascii="arial" w:eastAsia="arial" w:hAnsi="arial" w:cs="arial"/>
          <w:color w:val="000000"/>
          <w:sz w:val="20"/>
          <w:lang w:val="en-US" w:eastAsia="en-US" w:bidi="ar-SA"/>
        </w:rPr>
        <w:t xml:space="preserve">, </w:t>
      </w:r>
      <w:hyperlink r:id="rId16" w:history="1">
        <w:r>
          <w:rPr>
            <w:rFonts w:ascii="arial" w:eastAsia="arial" w:hAnsi="arial" w:cs="arial"/>
            <w:i/>
            <w:color w:val="0077CC"/>
            <w:sz w:val="20"/>
            <w:u w:val="single"/>
            <w:shd w:val="clear" w:color="auto" w:fill="FFFFFF"/>
            <w:lang w:val="en-US" w:eastAsia="en-US" w:bidi="ar-SA"/>
          </w:rPr>
          <w:t>2005 BCCA 54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Stapley</w:t>
      </w:r>
      <w:r>
        <w:rPr>
          <w:rFonts w:ascii="arial" w:eastAsia="arial" w:hAnsi="arial" w:cs="arial"/>
          <w:color w:val="000000"/>
          <w:sz w:val="20"/>
          <w:lang w:val="en-US" w:eastAsia="en-US" w:bidi="ar-SA"/>
        </w:rPr>
        <w:t xml:space="preserve"> at para. 45, Madam Justice Kirkpatrick also included the following helpful passage from </w:t>
      </w:r>
      <w:r>
        <w:rPr>
          <w:rFonts w:ascii="arial" w:eastAsia="arial" w:hAnsi="arial" w:cs="arial"/>
          <w:i/>
          <w:color w:val="000000"/>
          <w:sz w:val="20"/>
          <w:lang w:val="en-US" w:eastAsia="en-US" w:bidi="ar-SA"/>
        </w:rPr>
        <w:t>Lindal v. Lindal</w:t>
      </w:r>
      <w:r>
        <w:rPr>
          <w:rFonts w:ascii="arial" w:eastAsia="arial" w:hAnsi="arial" w:cs="arial"/>
          <w:color w:val="000000"/>
          <w:sz w:val="20"/>
          <w:lang w:val="en-US" w:eastAsia="en-US" w:bidi="ar-SA"/>
        </w:rPr>
        <w:t xml:space="preserve">, </w:t>
      </w:r>
      <w:hyperlink r:id="rId130" w:history="1">
        <w:r>
          <w:rPr>
            <w:rFonts w:ascii="arial" w:eastAsia="arial" w:hAnsi="arial" w:cs="arial"/>
            <w:i/>
            <w:color w:val="0077CC"/>
            <w:sz w:val="20"/>
            <w:u w:val="single"/>
            <w:shd w:val="clear" w:color="auto" w:fill="FFFFFF"/>
            <w:lang w:val="en-US" w:eastAsia="en-US" w:bidi="ar-SA"/>
          </w:rPr>
          <w:t>[1981] 2 S.C.R. 629</w:t>
        </w:r>
      </w:hyperlink>
      <w:r>
        <w:rPr>
          <w:rFonts w:ascii="arial" w:eastAsia="arial" w:hAnsi="arial" w:cs="arial"/>
          <w:color w:val="000000"/>
          <w:sz w:val="20"/>
          <w:lang w:val="en-US" w:eastAsia="en-US" w:bidi="ar-SA"/>
        </w:rPr>
        <w:t xml:space="preserve">, </w:t>
      </w:r>
      <w:hyperlink r:id="rId130" w:history="1">
        <w:r>
          <w:rPr>
            <w:rFonts w:ascii="arial" w:eastAsia="arial" w:hAnsi="arial" w:cs="arial"/>
            <w:i/>
            <w:color w:val="0077CC"/>
            <w:sz w:val="20"/>
            <w:u w:val="single"/>
            <w:shd w:val="clear" w:color="auto" w:fill="FFFFFF"/>
            <w:lang w:val="en-US" w:eastAsia="en-US" w:bidi="ar-SA"/>
          </w:rPr>
          <w:t>129 D.L.R. (3d) 263</w:t>
        </w:r>
      </w:hyperlink>
      <w:r>
        <w:rPr>
          <w:rFonts w:ascii="arial" w:eastAsia="arial" w:hAnsi="arial" w:cs="arial"/>
          <w:color w:val="000000"/>
          <w:sz w:val="20"/>
          <w:lang w:val="en-US" w:eastAsia="en-US" w:bidi="ar-SA"/>
        </w:rPr>
        <w:t xml:space="preserve"> at p. 637 of S.C.R.: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Thus </w:t>
      </w:r>
      <w:r>
        <w:rPr>
          <w:rFonts w:ascii="arial" w:eastAsia="arial" w:hAnsi="arial" w:cs="arial"/>
          <w:color w:val="000000"/>
          <w:sz w:val="20"/>
          <w:u w:val="single"/>
          <w:lang w:val="en-US" w:eastAsia="en-US" w:bidi="ar-SA"/>
        </w:rPr>
        <w:t>the amount of an award for non-pecuniary damage should not depend alone upon the seriousness of the injury but upon its ability to ameliorate the condition of the victim considering his or her particular situation</w:t>
      </w:r>
      <w:r>
        <w:rPr>
          <w:rFonts w:ascii="arial" w:eastAsia="arial" w:hAnsi="arial" w:cs="arial"/>
          <w:color w:val="000000"/>
          <w:sz w:val="20"/>
          <w:lang w:val="en-US" w:eastAsia="en-US" w:bidi="ar-SA"/>
        </w:rPr>
        <w:t xml:space="preserve">. It therefore will not follow that in considering what part of the maximum should be awarded the gravity of the injury alone will be determinative. </w:t>
      </w:r>
      <w:r>
        <w:rPr>
          <w:rFonts w:ascii="arial" w:eastAsia="arial" w:hAnsi="arial" w:cs="arial"/>
          <w:color w:val="000000"/>
          <w:sz w:val="20"/>
          <w:u w:val="single"/>
          <w:lang w:val="en-US" w:eastAsia="en-US" w:bidi="ar-SA"/>
        </w:rPr>
        <w:t>An appreciation of the individual's loss is the key and the "need for solace will not necessarily correlate with the seriousness of the injury"</w:t>
      </w:r>
      <w:r>
        <w:rPr>
          <w:rFonts w:ascii="arial" w:eastAsia="arial" w:hAnsi="arial" w:cs="arial"/>
          <w:color w:val="000000"/>
          <w:sz w:val="20"/>
          <w:lang w:val="en-US" w:eastAsia="en-US" w:bidi="ar-SA"/>
        </w:rPr>
        <w:t xml:space="preserve"> (Cooper-Stephenson and Saunders, </w:t>
      </w:r>
      <w:r>
        <w:rPr>
          <w:rFonts w:ascii="arial" w:eastAsia="arial" w:hAnsi="arial" w:cs="arial"/>
          <w:i/>
          <w:color w:val="000000"/>
          <w:sz w:val="20"/>
          <w:lang w:val="en-US" w:eastAsia="en-US" w:bidi="ar-SA"/>
        </w:rPr>
        <w:t>Personal Injury Damages in Canada</w:t>
      </w:r>
      <w:r>
        <w:rPr>
          <w:rFonts w:ascii="arial" w:eastAsia="arial" w:hAnsi="arial" w:cs="arial"/>
          <w:color w:val="000000"/>
          <w:sz w:val="20"/>
          <w:lang w:val="en-US" w:eastAsia="en-US" w:bidi="ar-SA"/>
        </w:rPr>
        <w:t xml:space="preserve"> (1981), at p. 373). In dealing with an award of this nature it will be impossible to develop a "tariff". </w:t>
      </w:r>
      <w:r>
        <w:rPr>
          <w:rFonts w:ascii="arial" w:eastAsia="arial" w:hAnsi="arial" w:cs="arial"/>
          <w:color w:val="000000"/>
          <w:sz w:val="20"/>
          <w:u w:val="single"/>
          <w:lang w:val="en-US" w:eastAsia="en-US" w:bidi="ar-SA"/>
        </w:rPr>
        <w:t>An award will vary in each case "to meet the specific circumstances of the individual case"</w:t>
      </w:r>
      <w:r>
        <w:rPr>
          <w:rFonts w:ascii="arial" w:eastAsia="arial" w:hAnsi="arial" w:cs="arial"/>
          <w:color w:val="000000"/>
          <w:sz w:val="20"/>
          <w:lang w:val="en-US" w:eastAsia="en-US" w:bidi="ar-SA"/>
        </w:rPr>
        <w:t xml:space="preserve"> (Thornton at p. 284 of S.C.R.). [emphasis added by Kirkpatrick J.A.]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When assessing non-pecuniary damages, fairness is measured against awards made in comparable cases. However, while such cases are helpful they serve only as a rough guide, as each case depends on its own unique facts: </w:t>
      </w:r>
      <w:r>
        <w:rPr>
          <w:rFonts w:ascii="arial" w:eastAsia="arial" w:hAnsi="arial" w:cs="arial"/>
          <w:i/>
          <w:color w:val="000000"/>
          <w:sz w:val="20"/>
          <w:lang w:val="en-US" w:eastAsia="en-US" w:bidi="ar-SA"/>
        </w:rPr>
        <w:t>Kuskis v. Hon Tin</w:t>
      </w:r>
      <w:r>
        <w:rPr>
          <w:rFonts w:ascii="arial" w:eastAsia="arial" w:hAnsi="arial" w:cs="arial"/>
          <w:color w:val="000000"/>
          <w:sz w:val="20"/>
          <w:lang w:val="en-US" w:eastAsia="en-US" w:bidi="ar-SA"/>
        </w:rPr>
        <w:t xml:space="preserve">, </w:t>
      </w:r>
      <w:hyperlink r:id="rId115" w:history="1">
        <w:r>
          <w:rPr>
            <w:rFonts w:ascii="arial" w:eastAsia="arial" w:hAnsi="arial" w:cs="arial"/>
            <w:i/>
            <w:color w:val="0077CC"/>
            <w:sz w:val="20"/>
            <w:u w:val="single"/>
            <w:shd w:val="clear" w:color="auto" w:fill="FFFFFF"/>
            <w:lang w:val="en-US" w:eastAsia="en-US" w:bidi="ar-SA"/>
          </w:rPr>
          <w:t>2008 BCSC 862</w:t>
        </w:r>
      </w:hyperlink>
      <w:r>
        <w:rPr>
          <w:rFonts w:ascii="arial" w:eastAsia="arial" w:hAnsi="arial" w:cs="arial"/>
          <w:color w:val="000000"/>
          <w:sz w:val="20"/>
          <w:lang w:val="en-US" w:eastAsia="en-US" w:bidi="ar-SA"/>
        </w:rPr>
        <w:t xml:space="preserve">, </w:t>
      </w:r>
      <w:hyperlink r:id="rId115" w:history="1">
        <w:r>
          <w:rPr>
            <w:rFonts w:ascii="arial" w:eastAsia="arial" w:hAnsi="arial" w:cs="arial"/>
            <w:i/>
            <w:color w:val="0077CC"/>
            <w:sz w:val="20"/>
            <w:u w:val="single"/>
            <w:shd w:val="clear" w:color="auto" w:fill="FFFFFF"/>
            <w:lang w:val="en-US" w:eastAsia="en-US" w:bidi="ar-SA"/>
          </w:rPr>
          <w:t>[2008] B.C.J. No. 1248</w:t>
        </w:r>
      </w:hyperlink>
      <w:r>
        <w:rPr>
          <w:rFonts w:ascii="arial" w:eastAsia="arial" w:hAnsi="arial" w:cs="arial"/>
          <w:color w:val="000000"/>
          <w:sz w:val="20"/>
          <w:lang w:val="en-US" w:eastAsia="en-US" w:bidi="ar-SA"/>
        </w:rPr>
        <w:t xml:space="preserve">, at para. 136 of BCSC; </w:t>
      </w:r>
      <w:r>
        <w:rPr>
          <w:rFonts w:ascii="arial" w:eastAsia="arial" w:hAnsi="arial" w:cs="arial"/>
          <w:i/>
          <w:color w:val="000000"/>
          <w:sz w:val="20"/>
          <w:lang w:val="en-US" w:eastAsia="en-US" w:bidi="ar-SA"/>
        </w:rPr>
        <w:t>Grier v. Saadzoi</w:t>
      </w:r>
      <w:r>
        <w:rPr>
          <w:rFonts w:ascii="arial" w:eastAsia="arial" w:hAnsi="arial" w:cs="arial"/>
          <w:color w:val="000000"/>
          <w:sz w:val="20"/>
          <w:lang w:val="en-US" w:eastAsia="en-US" w:bidi="ar-SA"/>
        </w:rPr>
        <w:t xml:space="preserve">, </w:t>
      </w:r>
      <w:hyperlink r:id="rId888" w:history="1">
        <w:r>
          <w:rPr>
            <w:rFonts w:ascii="arial" w:eastAsia="arial" w:hAnsi="arial" w:cs="arial"/>
            <w:i/>
            <w:color w:val="0077CC"/>
            <w:sz w:val="20"/>
            <w:u w:val="single"/>
            <w:shd w:val="clear" w:color="auto" w:fill="FFFFFF"/>
            <w:lang w:val="en-US" w:eastAsia="en-US" w:bidi="ar-SA"/>
          </w:rPr>
          <w:t>2009 BCSC 478</w:t>
        </w:r>
      </w:hyperlink>
      <w:r>
        <w:rPr>
          <w:rFonts w:ascii="arial" w:eastAsia="arial" w:hAnsi="arial" w:cs="arial"/>
          <w:color w:val="000000"/>
          <w:sz w:val="20"/>
          <w:lang w:val="en-US" w:eastAsia="en-US" w:bidi="ar-SA"/>
        </w:rPr>
        <w:t xml:space="preserve">, </w:t>
      </w:r>
      <w:hyperlink r:id="rId888" w:history="1">
        <w:r>
          <w:rPr>
            <w:rFonts w:ascii="arial" w:eastAsia="arial" w:hAnsi="arial" w:cs="arial"/>
            <w:i/>
            <w:color w:val="0077CC"/>
            <w:sz w:val="20"/>
            <w:u w:val="single"/>
            <w:shd w:val="clear" w:color="auto" w:fill="FFFFFF"/>
            <w:lang w:val="en-US" w:eastAsia="en-US" w:bidi="ar-SA"/>
          </w:rPr>
          <w:t>[2009] B.C.J. No. 717</w:t>
        </w:r>
      </w:hyperlink>
      <w:r>
        <w:rPr>
          <w:rFonts w:ascii="arial" w:eastAsia="arial" w:hAnsi="arial" w:cs="arial"/>
          <w:color w:val="000000"/>
          <w:sz w:val="20"/>
          <w:lang w:val="en-US" w:eastAsia="en-US" w:bidi="ar-SA"/>
        </w:rPr>
        <w:t>, at para. 26 of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Mr. Thomson relies on the following cases to support his position that an appropriate award of non-pecuniary damages is $25,000: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Berry v. Labelle</w:t>
      </w:r>
      <w:r>
        <w:rPr>
          <w:rFonts w:ascii="arial" w:eastAsia="arial" w:hAnsi="arial" w:cs="arial"/>
          <w:color w:val="000000"/>
          <w:sz w:val="20"/>
          <w:lang w:val="en-US" w:eastAsia="en-US" w:bidi="ar-SA"/>
        </w:rPr>
        <w:t xml:space="preserve">, </w:t>
      </w:r>
      <w:hyperlink r:id="rId889" w:history="1">
        <w:r>
          <w:rPr>
            <w:rFonts w:ascii="arial" w:eastAsia="arial" w:hAnsi="arial" w:cs="arial"/>
            <w:i/>
            <w:color w:val="0077CC"/>
            <w:sz w:val="20"/>
            <w:u w:val="single"/>
            <w:shd w:val="clear" w:color="auto" w:fill="FFFFFF"/>
            <w:lang w:val="en-US" w:eastAsia="en-US" w:bidi="ar-SA"/>
          </w:rPr>
          <w:t>2010 BCSC 239</w:t>
        </w:r>
      </w:hyperlink>
      <w:r>
        <w:rPr>
          <w:rFonts w:ascii="arial" w:eastAsia="arial" w:hAnsi="arial" w:cs="arial"/>
          <w:color w:val="000000"/>
          <w:sz w:val="20"/>
          <w:lang w:val="en-US" w:eastAsia="en-US" w:bidi="ar-SA"/>
        </w:rPr>
        <w:t xml:space="preserve">, </w:t>
      </w:r>
      <w:hyperlink r:id="rId889" w:history="1">
        <w:r>
          <w:rPr>
            <w:rFonts w:ascii="arial" w:eastAsia="arial" w:hAnsi="arial" w:cs="arial"/>
            <w:i/>
            <w:color w:val="0077CC"/>
            <w:sz w:val="20"/>
            <w:u w:val="single"/>
            <w:shd w:val="clear" w:color="auto" w:fill="FFFFFF"/>
            <w:lang w:val="en-US" w:eastAsia="en-US" w:bidi="ar-SA"/>
          </w:rPr>
          <w:t>[2010] B.C.J. No. 326</w:t>
        </w:r>
      </w:hyperlink>
      <w:r>
        <w:rPr>
          <w:rFonts w:ascii="arial" w:eastAsia="arial" w:hAnsi="arial" w:cs="arial"/>
          <w:color w:val="000000"/>
          <w:sz w:val="20"/>
          <w:lang w:val="en-US" w:eastAsia="en-US" w:bidi="ar-SA"/>
        </w:rPr>
        <w:t>: A strain to the soft tissues on the left side of the plaintiff's neck caused him discomfort for several months after the accident, though seven months after the collision he returned to his favourite hobby of dirt biking. The discomfort caused him difficulty when lifting heavy materials as a drywaller, engaging in strenuous recreational activities and having intimate relations with his wife. The plaintiff was awarded $30,000 for non-pecuniary damages.</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Dhaliwal v. Loong</w:t>
      </w:r>
      <w:r>
        <w:rPr>
          <w:rFonts w:ascii="arial" w:eastAsia="arial" w:hAnsi="arial" w:cs="arial"/>
          <w:color w:val="000000"/>
          <w:sz w:val="20"/>
          <w:lang w:val="en-US" w:eastAsia="en-US" w:bidi="ar-SA"/>
        </w:rPr>
        <w:t xml:space="preserve">, </w:t>
      </w:r>
      <w:hyperlink r:id="rId88" w:history="1">
        <w:r>
          <w:rPr>
            <w:rFonts w:ascii="arial" w:eastAsia="arial" w:hAnsi="arial" w:cs="arial"/>
            <w:i/>
            <w:color w:val="0077CC"/>
            <w:sz w:val="20"/>
            <w:u w:val="single"/>
            <w:shd w:val="clear" w:color="auto" w:fill="FFFFFF"/>
            <w:lang w:val="en-US" w:eastAsia="en-US" w:bidi="ar-SA"/>
          </w:rPr>
          <w:t>2010 BCSC 612</w:t>
        </w:r>
      </w:hyperlink>
      <w:r>
        <w:rPr>
          <w:rFonts w:ascii="arial" w:eastAsia="arial" w:hAnsi="arial" w:cs="arial"/>
          <w:color w:val="000000"/>
          <w:sz w:val="20"/>
          <w:lang w:val="en-US" w:eastAsia="en-US" w:bidi="ar-SA"/>
        </w:rPr>
        <w:t xml:space="preserve">, </w:t>
      </w:r>
      <w:hyperlink r:id="rId88" w:history="1">
        <w:r>
          <w:rPr>
            <w:rFonts w:ascii="arial" w:eastAsia="arial" w:hAnsi="arial" w:cs="arial"/>
            <w:i/>
            <w:color w:val="0077CC"/>
            <w:sz w:val="20"/>
            <w:u w:val="single"/>
            <w:shd w:val="clear" w:color="auto" w:fill="FFFFFF"/>
            <w:lang w:val="en-US" w:eastAsia="en-US" w:bidi="ar-SA"/>
          </w:rPr>
          <w:t>[2010] B.C.J. No. 785</w:t>
        </w:r>
      </w:hyperlink>
      <w:r>
        <w:rPr>
          <w:rFonts w:ascii="arial" w:eastAsia="arial" w:hAnsi="arial" w:cs="arial"/>
          <w:color w:val="000000"/>
          <w:sz w:val="20"/>
          <w:lang w:val="en-US" w:eastAsia="en-US" w:bidi="ar-SA"/>
        </w:rPr>
        <w:t>: The plaintiff suffered a mild injury to his neck, back, shoulder and two fingers, which resolved after two months. Mild to moderate pain in his mid-back lasted longer, but was exacerbated by his work tasks and a pre-existing condition. He also suffered an exacerbation of his pre-existing depression. It appears that these soft tissue injuries resolved about six months after the collision. The plaintiff was awarded $25,000 for non-pecuniary damages, reduced to $20,000 for pre-existing medical conditions.</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Parwani v. Sekhon</w:t>
      </w:r>
      <w:r>
        <w:rPr>
          <w:rFonts w:ascii="arial" w:eastAsia="arial" w:hAnsi="arial" w:cs="arial"/>
          <w:color w:val="000000"/>
          <w:sz w:val="20"/>
          <w:lang w:val="en-US" w:eastAsia="en-US" w:bidi="ar-SA"/>
        </w:rPr>
        <w:t xml:space="preserve">, </w:t>
      </w:r>
      <w:hyperlink r:id="rId890" w:history="1">
        <w:r>
          <w:rPr>
            <w:rFonts w:ascii="arial" w:eastAsia="arial" w:hAnsi="arial" w:cs="arial"/>
            <w:i/>
            <w:color w:val="0077CC"/>
            <w:sz w:val="20"/>
            <w:u w:val="single"/>
            <w:shd w:val="clear" w:color="auto" w:fill="FFFFFF"/>
            <w:lang w:val="en-US" w:eastAsia="en-US" w:bidi="ar-SA"/>
          </w:rPr>
          <w:t>2009 BCSC 1280</w:t>
        </w:r>
      </w:hyperlink>
      <w:r>
        <w:rPr>
          <w:rFonts w:ascii="arial" w:eastAsia="arial" w:hAnsi="arial" w:cs="arial"/>
          <w:color w:val="000000"/>
          <w:sz w:val="20"/>
          <w:lang w:val="en-US" w:eastAsia="en-US" w:bidi="ar-SA"/>
        </w:rPr>
        <w:t xml:space="preserve">, </w:t>
      </w:r>
      <w:hyperlink r:id="rId890" w:history="1">
        <w:r>
          <w:rPr>
            <w:rFonts w:ascii="arial" w:eastAsia="arial" w:hAnsi="arial" w:cs="arial"/>
            <w:i/>
            <w:color w:val="0077CC"/>
            <w:sz w:val="20"/>
            <w:u w:val="single"/>
            <w:shd w:val="clear" w:color="auto" w:fill="FFFFFF"/>
            <w:lang w:val="en-US" w:eastAsia="en-US" w:bidi="ar-SA"/>
          </w:rPr>
          <w:t>[2009] B.C.J. No. 1873</w:t>
        </w:r>
      </w:hyperlink>
      <w:r>
        <w:rPr>
          <w:rFonts w:ascii="arial" w:eastAsia="arial" w:hAnsi="arial" w:cs="arial"/>
          <w:color w:val="000000"/>
          <w:sz w:val="20"/>
          <w:lang w:val="en-US" w:eastAsia="en-US" w:bidi="ar-SA"/>
        </w:rPr>
        <w:t>: The plaintiff was found to have suffered soft tissues injuries to his neck, left shoulder, left arm and low back. His abilities to work, write, interact with his family and engage in prayer were restricted for a period. These symptoms had largely resolved, subject to some minor flare-ups, within five months of the collision. The plaintiff was awarded $25,000 for non-pecuniary damages.</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McBeth-Kearns v. Marples</w:t>
      </w:r>
      <w:r>
        <w:rPr>
          <w:rFonts w:ascii="arial" w:eastAsia="arial" w:hAnsi="arial" w:cs="arial"/>
          <w:color w:val="000000"/>
          <w:sz w:val="20"/>
          <w:lang w:val="en-US" w:eastAsia="en-US" w:bidi="ar-SA"/>
        </w:rPr>
        <w:t xml:space="preserve">, </w:t>
      </w:r>
      <w:hyperlink r:id="rId891" w:history="1">
        <w:r>
          <w:rPr>
            <w:rFonts w:ascii="arial" w:eastAsia="arial" w:hAnsi="arial" w:cs="arial"/>
            <w:i/>
            <w:color w:val="0077CC"/>
            <w:sz w:val="20"/>
            <w:u w:val="single"/>
            <w:shd w:val="clear" w:color="auto" w:fill="FFFFFF"/>
            <w:lang w:val="en-US" w:eastAsia="en-US" w:bidi="ar-SA"/>
          </w:rPr>
          <w:t>2009 BCSC 802</w:t>
        </w:r>
      </w:hyperlink>
      <w:r>
        <w:rPr>
          <w:rFonts w:ascii="arial" w:eastAsia="arial" w:hAnsi="arial" w:cs="arial"/>
          <w:color w:val="000000"/>
          <w:sz w:val="20"/>
          <w:lang w:val="en-US" w:eastAsia="en-US" w:bidi="ar-SA"/>
        </w:rPr>
        <w:t xml:space="preserve">, </w:t>
      </w:r>
      <w:hyperlink r:id="rId891" w:history="1">
        <w:r>
          <w:rPr>
            <w:rFonts w:ascii="arial" w:eastAsia="arial" w:hAnsi="arial" w:cs="arial"/>
            <w:i/>
            <w:color w:val="0077CC"/>
            <w:sz w:val="20"/>
            <w:u w:val="single"/>
            <w:shd w:val="clear" w:color="auto" w:fill="FFFFFF"/>
            <w:lang w:val="en-US" w:eastAsia="en-US" w:bidi="ar-SA"/>
          </w:rPr>
          <w:t>[2009] B.C.J. No. 1204</w:t>
        </w:r>
      </w:hyperlink>
      <w:r>
        <w:rPr>
          <w:rFonts w:ascii="arial" w:eastAsia="arial" w:hAnsi="arial" w:cs="arial"/>
          <w:color w:val="000000"/>
          <w:sz w:val="20"/>
          <w:lang w:val="en-US" w:eastAsia="en-US" w:bidi="ar-SA"/>
        </w:rPr>
        <w:t>: The plaintiff received injuries to her shoulders, forearm/elbow and neck in an assault and battery by the defendant. These injuries, except for the right shoulder, were largely resolved by the time she was in a collision eight months later, but they made her more vulnerable to the effects of her subsequent collision injuries. The plaintiff was awarded $25,000 for non-pecuniary damages arising from the assault and battery.</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Woods v. Chahal</w:t>
      </w:r>
      <w:r>
        <w:rPr>
          <w:rFonts w:ascii="arial" w:eastAsia="arial" w:hAnsi="arial" w:cs="arial"/>
          <w:color w:val="000000"/>
          <w:sz w:val="20"/>
          <w:lang w:val="en-US" w:eastAsia="en-US" w:bidi="ar-SA"/>
        </w:rPr>
        <w:t xml:space="preserve">, </w:t>
      </w:r>
      <w:hyperlink r:id="rId892" w:history="1">
        <w:r>
          <w:rPr>
            <w:rFonts w:ascii="arial" w:eastAsia="arial" w:hAnsi="arial" w:cs="arial"/>
            <w:i/>
            <w:color w:val="0077CC"/>
            <w:sz w:val="20"/>
            <w:u w:val="single"/>
            <w:shd w:val="clear" w:color="auto" w:fill="FFFFFF"/>
            <w:lang w:val="en-US" w:eastAsia="en-US" w:bidi="ar-SA"/>
          </w:rPr>
          <w:t>2008 BCSC 1555</w:t>
        </w:r>
      </w:hyperlink>
      <w:r>
        <w:rPr>
          <w:rFonts w:ascii="arial" w:eastAsia="arial" w:hAnsi="arial" w:cs="arial"/>
          <w:color w:val="000000"/>
          <w:sz w:val="20"/>
          <w:lang w:val="en-US" w:eastAsia="en-US" w:bidi="ar-SA"/>
        </w:rPr>
        <w:t xml:space="preserve">, </w:t>
      </w:r>
      <w:hyperlink r:id="rId892" w:history="1">
        <w:r>
          <w:rPr>
            <w:rFonts w:ascii="arial" w:eastAsia="arial" w:hAnsi="arial" w:cs="arial"/>
            <w:i/>
            <w:color w:val="0077CC"/>
            <w:sz w:val="20"/>
            <w:u w:val="single"/>
            <w:shd w:val="clear" w:color="auto" w:fill="FFFFFF"/>
            <w:lang w:val="en-US" w:eastAsia="en-US" w:bidi="ar-SA"/>
          </w:rPr>
          <w:t>[2008] B.C.J. No. 2185</w:t>
        </w:r>
      </w:hyperlink>
      <w:r>
        <w:rPr>
          <w:rFonts w:ascii="arial" w:eastAsia="arial" w:hAnsi="arial" w:cs="arial"/>
          <w:color w:val="000000"/>
          <w:sz w:val="20"/>
          <w:lang w:val="en-US" w:eastAsia="en-US" w:bidi="ar-SA"/>
        </w:rPr>
        <w:t>: The plaintiff suffered mild to moderate soft tissue injuries to his neck, back and shoulder. He was doing well after three months and had substantially recovered after six months, with minor residual effects. Of particular importance was the fact that the plaintiff's life revolved around sports that required peak physical fitness and this was seriously disrupted for three to four months. While he had recovered and was active again, he felt he had lost the edge he once had in such activities. The plaintiff was awarded $20,000 for non-pecuniary damages.</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Deo v. Wong</w:t>
      </w:r>
      <w:r>
        <w:rPr>
          <w:rFonts w:ascii="arial" w:eastAsia="arial" w:hAnsi="arial" w:cs="arial"/>
          <w:color w:val="000000"/>
          <w:sz w:val="20"/>
          <w:lang w:val="en-US" w:eastAsia="en-US" w:bidi="ar-SA"/>
        </w:rPr>
        <w:t xml:space="preserve">, </w:t>
      </w:r>
      <w:hyperlink r:id="rId893" w:history="1">
        <w:r>
          <w:rPr>
            <w:rFonts w:ascii="arial" w:eastAsia="arial" w:hAnsi="arial" w:cs="arial"/>
            <w:i/>
            <w:color w:val="0077CC"/>
            <w:sz w:val="20"/>
            <w:u w:val="single"/>
            <w:shd w:val="clear" w:color="auto" w:fill="FFFFFF"/>
            <w:lang w:val="en-US" w:eastAsia="en-US" w:bidi="ar-SA"/>
          </w:rPr>
          <w:t>2008 BCCA 110</w:t>
        </w:r>
      </w:hyperlink>
      <w:r>
        <w:rPr>
          <w:rFonts w:ascii="arial" w:eastAsia="arial" w:hAnsi="arial" w:cs="arial"/>
          <w:color w:val="000000"/>
          <w:sz w:val="20"/>
          <w:lang w:val="en-US" w:eastAsia="en-US" w:bidi="ar-SA"/>
        </w:rPr>
        <w:t xml:space="preserve">, </w:t>
      </w:r>
      <w:hyperlink r:id="rId893" w:history="1">
        <w:r>
          <w:rPr>
            <w:rFonts w:ascii="arial" w:eastAsia="arial" w:hAnsi="arial" w:cs="arial"/>
            <w:i/>
            <w:color w:val="0077CC"/>
            <w:sz w:val="20"/>
            <w:u w:val="single"/>
            <w:shd w:val="clear" w:color="auto" w:fill="FFFFFF"/>
            <w:lang w:val="en-US" w:eastAsia="en-US" w:bidi="ar-SA"/>
          </w:rPr>
          <w:t>[2008] B.C.J. No. 466</w:t>
        </w:r>
      </w:hyperlink>
      <w:r>
        <w:rPr>
          <w:rFonts w:ascii="arial" w:eastAsia="arial" w:hAnsi="arial" w:cs="arial"/>
          <w:color w:val="000000"/>
          <w:sz w:val="20"/>
          <w:lang w:val="en-US" w:eastAsia="en-US" w:bidi="ar-SA"/>
        </w:rPr>
        <w:t>: The plaintiff suffered a soft tissue injury to his back and neck. Six months after the collision he suffered a knee injury that required surgery, which the trial judge found was causally connected to the collision. The total award, including past income loss and special damages, was set at $36,650. The Court of Appeal found that the trial judge erred in making the causative link between the collision and the knee injury. Mr. Justice Low noted that what was left after removing the erroneous attribution of the knee injury to the collision was a moderate whiplash injury that resolved in about one year with residual, occasional flare-ups. The global damage award was reduced by $7,000 to $29,650.</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Kahlon v. Prasad</w:t>
      </w:r>
      <w:r>
        <w:rPr>
          <w:rFonts w:ascii="arial" w:eastAsia="arial" w:hAnsi="arial" w:cs="arial"/>
          <w:color w:val="000000"/>
          <w:sz w:val="20"/>
          <w:lang w:val="en-US" w:eastAsia="en-US" w:bidi="ar-SA"/>
        </w:rPr>
        <w:t xml:space="preserve">, </w:t>
      </w:r>
      <w:hyperlink r:id="rId894" w:history="1">
        <w:r>
          <w:rPr>
            <w:rFonts w:ascii="arial" w:eastAsia="arial" w:hAnsi="arial" w:cs="arial"/>
            <w:i/>
            <w:color w:val="0077CC"/>
            <w:sz w:val="20"/>
            <w:u w:val="single"/>
            <w:shd w:val="clear" w:color="auto" w:fill="FFFFFF"/>
            <w:lang w:val="en-US" w:eastAsia="en-US" w:bidi="ar-SA"/>
          </w:rPr>
          <w:t>2006 BCSC 2039</w:t>
        </w:r>
      </w:hyperlink>
      <w:r>
        <w:rPr>
          <w:rFonts w:ascii="arial" w:eastAsia="arial" w:hAnsi="arial" w:cs="arial"/>
          <w:color w:val="000000"/>
          <w:sz w:val="20"/>
          <w:lang w:val="en-US" w:eastAsia="en-US" w:bidi="ar-SA"/>
        </w:rPr>
        <w:t xml:space="preserve">, </w:t>
      </w:r>
      <w:hyperlink r:id="rId894" w:history="1">
        <w:r>
          <w:rPr>
            <w:rFonts w:ascii="arial" w:eastAsia="arial" w:hAnsi="arial" w:cs="arial"/>
            <w:i/>
            <w:color w:val="0077CC"/>
            <w:sz w:val="20"/>
            <w:u w:val="single"/>
            <w:shd w:val="clear" w:color="auto" w:fill="FFFFFF"/>
            <w:lang w:val="en-US" w:eastAsia="en-US" w:bidi="ar-SA"/>
          </w:rPr>
          <w:t>[2006] B.C.J. No. 3514</w:t>
        </w:r>
      </w:hyperlink>
      <w:r>
        <w:rPr>
          <w:rFonts w:ascii="arial" w:eastAsia="arial" w:hAnsi="arial" w:cs="arial"/>
          <w:color w:val="000000"/>
          <w:sz w:val="20"/>
          <w:lang w:val="en-US" w:eastAsia="en-US" w:bidi="ar-SA"/>
        </w:rPr>
        <w:t>: The plaintiff suffered injuries to his neck, mid-back and low back, which took 14 months to resolve completely. These injuries interfered with the plaintiff's ability to do the heavy lifting that was required by his job as a painter and various household tasks that required bending, lifting and carrying. The plaintiff was awarded $25,000 for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Mr. Hunt relies on the following cases to support his position that an award in the range of $3,000 to $6,500 is what is justified by the actual duration of Mr. Thomson's injuries: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Bagasbas v. Atwal</w:t>
      </w:r>
      <w:r>
        <w:rPr>
          <w:rFonts w:ascii="arial" w:eastAsia="arial" w:hAnsi="arial" w:cs="arial"/>
          <w:color w:val="000000"/>
          <w:sz w:val="20"/>
          <w:lang w:val="en-US" w:eastAsia="en-US" w:bidi="ar-SA"/>
        </w:rPr>
        <w:t xml:space="preserve">, </w:t>
      </w:r>
      <w:hyperlink r:id="rId895" w:history="1">
        <w:r>
          <w:rPr>
            <w:rFonts w:ascii="arial" w:eastAsia="arial" w:hAnsi="arial" w:cs="arial"/>
            <w:i/>
            <w:color w:val="0077CC"/>
            <w:sz w:val="20"/>
            <w:u w:val="single"/>
            <w:shd w:val="clear" w:color="auto" w:fill="FFFFFF"/>
            <w:lang w:val="en-US" w:eastAsia="en-US" w:bidi="ar-SA"/>
          </w:rPr>
          <w:t>2009 BCSC 512</w:t>
        </w:r>
      </w:hyperlink>
      <w:r>
        <w:rPr>
          <w:rFonts w:ascii="arial" w:eastAsia="arial" w:hAnsi="arial" w:cs="arial"/>
          <w:color w:val="000000"/>
          <w:sz w:val="20"/>
          <w:lang w:val="en-US" w:eastAsia="en-US" w:bidi="ar-SA"/>
        </w:rPr>
        <w:t xml:space="preserve">, </w:t>
      </w:r>
      <w:hyperlink r:id="rId895" w:history="1">
        <w:r>
          <w:rPr>
            <w:rFonts w:ascii="arial" w:eastAsia="arial" w:hAnsi="arial" w:cs="arial"/>
            <w:i/>
            <w:color w:val="0077CC"/>
            <w:sz w:val="20"/>
            <w:u w:val="single"/>
            <w:shd w:val="clear" w:color="auto" w:fill="FFFFFF"/>
            <w:lang w:val="en-US" w:eastAsia="en-US" w:bidi="ar-SA"/>
          </w:rPr>
          <w:t>[2009] B.C.J. No. 758</w:t>
        </w:r>
      </w:hyperlink>
      <w:r>
        <w:rPr>
          <w:rFonts w:ascii="arial" w:eastAsia="arial" w:hAnsi="arial" w:cs="arial"/>
          <w:color w:val="000000"/>
          <w:sz w:val="20"/>
          <w:lang w:val="en-US" w:eastAsia="en-US" w:bidi="ar-SA"/>
        </w:rPr>
        <w:t>: The plaintiff suffered pain and stiffness to her neck, shoulder and upper back. This was characterized by the trial judge as mild whiplash, which had probably substantially resolved itself within three months. She also began to experience pain in her lower back, radiating down her leg, but this was not claimed to have been caused by the collision. She was able to engage in all of her pre-collision activities, including working and dancing. The plaintiff was awarded $3,500 for non-pecuniary damages.</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Gill v. Mansour</w:t>
      </w:r>
      <w:r>
        <w:rPr>
          <w:rFonts w:ascii="arial" w:eastAsia="arial" w:hAnsi="arial" w:cs="arial"/>
          <w:color w:val="000000"/>
          <w:sz w:val="20"/>
          <w:lang w:val="en-US" w:eastAsia="en-US" w:bidi="ar-SA"/>
        </w:rPr>
        <w:t xml:space="preserve">, </w:t>
      </w:r>
      <w:hyperlink r:id="rId754" w:history="1">
        <w:r>
          <w:rPr>
            <w:rFonts w:ascii="arial" w:eastAsia="arial" w:hAnsi="arial" w:cs="arial"/>
            <w:i/>
            <w:color w:val="0077CC"/>
            <w:sz w:val="20"/>
            <w:u w:val="single"/>
            <w:shd w:val="clear" w:color="auto" w:fill="FFFFFF"/>
            <w:lang w:val="en-US" w:eastAsia="en-US" w:bidi="ar-SA"/>
          </w:rPr>
          <w:t>2004 BCSC 1537</w:t>
        </w:r>
      </w:hyperlink>
      <w:r>
        <w:rPr>
          <w:rFonts w:ascii="arial" w:eastAsia="arial" w:hAnsi="arial" w:cs="arial"/>
          <w:color w:val="000000"/>
          <w:sz w:val="20"/>
          <w:lang w:val="en-US" w:eastAsia="en-US" w:bidi="ar-SA"/>
        </w:rPr>
        <w:t xml:space="preserve">, </w:t>
      </w:r>
      <w:hyperlink r:id="rId754" w:history="1">
        <w:r>
          <w:rPr>
            <w:rFonts w:ascii="arial" w:eastAsia="arial" w:hAnsi="arial" w:cs="arial"/>
            <w:i/>
            <w:color w:val="0077CC"/>
            <w:sz w:val="20"/>
            <w:u w:val="single"/>
            <w:shd w:val="clear" w:color="auto" w:fill="FFFFFF"/>
            <w:lang w:val="en-US" w:eastAsia="en-US" w:bidi="ar-SA"/>
          </w:rPr>
          <w:t>[2004] B.C.J. No. 2459</w:t>
        </w:r>
      </w:hyperlink>
      <w:r>
        <w:rPr>
          <w:rFonts w:ascii="arial" w:eastAsia="arial" w:hAnsi="arial" w:cs="arial"/>
          <w:color w:val="000000"/>
          <w:sz w:val="20"/>
          <w:lang w:val="en-US" w:eastAsia="en-US" w:bidi="ar-SA"/>
        </w:rPr>
        <w:t>: The plaintiff suffered mild soft tissue injuries to his neck and back which, apart from some minor discomfort, were largely resolved within two months of the accident. The plaintiff was awarded $3,000 for non-pecuniary damages.</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Klimchuk v. Speedie</w:t>
      </w:r>
      <w:r>
        <w:rPr>
          <w:rFonts w:ascii="arial" w:eastAsia="arial" w:hAnsi="arial" w:cs="arial"/>
          <w:color w:val="000000"/>
          <w:sz w:val="20"/>
          <w:lang w:val="en-US" w:eastAsia="en-US" w:bidi="ar-SA"/>
        </w:rPr>
        <w:t xml:space="preserve">, </w:t>
      </w:r>
      <w:hyperlink r:id="rId896" w:history="1">
        <w:r>
          <w:rPr>
            <w:rFonts w:ascii="arial" w:eastAsia="arial" w:hAnsi="arial" w:cs="arial"/>
            <w:i/>
            <w:color w:val="0077CC"/>
            <w:sz w:val="20"/>
            <w:u w:val="single"/>
            <w:shd w:val="clear" w:color="auto" w:fill="FFFFFF"/>
            <w:lang w:val="en-US" w:eastAsia="en-US" w:bidi="ar-SA"/>
          </w:rPr>
          <w:t>2008 BCPC 157</w:t>
        </w:r>
      </w:hyperlink>
      <w:r>
        <w:rPr>
          <w:rFonts w:ascii="arial" w:eastAsia="arial" w:hAnsi="arial" w:cs="arial"/>
          <w:color w:val="000000"/>
          <w:sz w:val="20"/>
          <w:lang w:val="en-US" w:eastAsia="en-US" w:bidi="ar-SA"/>
        </w:rPr>
        <w:t xml:space="preserve">, </w:t>
      </w:r>
      <w:hyperlink r:id="rId896" w:history="1">
        <w:r>
          <w:rPr>
            <w:rFonts w:ascii="arial" w:eastAsia="arial" w:hAnsi="arial" w:cs="arial"/>
            <w:i/>
            <w:color w:val="0077CC"/>
            <w:sz w:val="20"/>
            <w:u w:val="single"/>
            <w:shd w:val="clear" w:color="auto" w:fill="FFFFFF"/>
            <w:lang w:val="en-US" w:eastAsia="en-US" w:bidi="ar-SA"/>
          </w:rPr>
          <w:t>[2008] B.C.J. No. 1098</w:t>
        </w:r>
      </w:hyperlink>
      <w:r>
        <w:rPr>
          <w:rFonts w:ascii="arial" w:eastAsia="arial" w:hAnsi="arial" w:cs="arial"/>
          <w:color w:val="000000"/>
          <w:sz w:val="20"/>
          <w:lang w:val="en-US" w:eastAsia="en-US" w:bidi="ar-SA"/>
        </w:rPr>
        <w:t>: The plaintiff suffered from soft tissue injuries to his neck and low back, which affected his work, recreational activities and parenting and other family responsibilities for six to eight weeks. The plaintiff was awarded $6,500 for non-pecuniary damages.</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Mohammed v. Rai</w:t>
      </w:r>
      <w:r>
        <w:rPr>
          <w:rFonts w:ascii="arial" w:eastAsia="arial" w:hAnsi="arial" w:cs="arial"/>
          <w:color w:val="000000"/>
          <w:sz w:val="20"/>
          <w:lang w:val="en-US" w:eastAsia="en-US" w:bidi="ar-SA"/>
        </w:rPr>
        <w:t xml:space="preserve">, </w:t>
      </w:r>
      <w:hyperlink r:id="rId577" w:history="1">
        <w:r>
          <w:rPr>
            <w:rFonts w:ascii="arial" w:eastAsia="arial" w:hAnsi="arial" w:cs="arial"/>
            <w:i/>
            <w:color w:val="0077CC"/>
            <w:sz w:val="20"/>
            <w:u w:val="single"/>
            <w:shd w:val="clear" w:color="auto" w:fill="FFFFFF"/>
            <w:lang w:val="en-US" w:eastAsia="en-US" w:bidi="ar-SA"/>
          </w:rPr>
          <w:t>2005 BCSC 1918</w:t>
        </w:r>
      </w:hyperlink>
      <w:r>
        <w:rPr>
          <w:rFonts w:ascii="arial" w:eastAsia="arial" w:hAnsi="arial" w:cs="arial"/>
          <w:color w:val="000000"/>
          <w:sz w:val="20"/>
          <w:lang w:val="en-US" w:eastAsia="en-US" w:bidi="ar-SA"/>
        </w:rPr>
        <w:t xml:space="preserve">, </w:t>
      </w:r>
      <w:hyperlink r:id="rId577" w:history="1">
        <w:r>
          <w:rPr>
            <w:rFonts w:ascii="arial" w:eastAsia="arial" w:hAnsi="arial" w:cs="arial"/>
            <w:i/>
            <w:color w:val="0077CC"/>
            <w:sz w:val="20"/>
            <w:u w:val="single"/>
            <w:shd w:val="clear" w:color="auto" w:fill="FFFFFF"/>
            <w:lang w:val="en-US" w:eastAsia="en-US" w:bidi="ar-SA"/>
          </w:rPr>
          <w:t>[2005] B.C.J. No. 3166</w:t>
        </w:r>
      </w:hyperlink>
      <w:r>
        <w:rPr>
          <w:rFonts w:ascii="arial" w:eastAsia="arial" w:hAnsi="arial" w:cs="arial"/>
          <w:color w:val="000000"/>
          <w:sz w:val="20"/>
          <w:lang w:val="en-US" w:eastAsia="en-US" w:bidi="ar-SA"/>
        </w:rPr>
        <w:t>: The plaintiff spouses both received soft tissue injuries in the same collision. The husband, Mr. Mussa, suffered injuries to his neck and back. He had to avoid doing some household chores and had difficulty sleeping for the first four months after the collision. The wife, Ms. Mohammed suffered from neck pain and headaches. She missed school activities with her children and cooked less at home. Their injuries were reported to have lasted beyond the normal recovery period and there was no objective evidence to support the complaints. Mr. Mussa was awarded $3,000 for his non-pecuniary damages and Ms. Mohammed was awarded $5,000 for 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I must exercise caution when there is little or no objective evidence of continuing injury and when complaints of pain persist for long periods extending beyond the normal or usual recovery period: </w:t>
      </w:r>
      <w:r>
        <w:rPr>
          <w:rFonts w:ascii="arial" w:eastAsia="arial" w:hAnsi="arial" w:cs="arial"/>
          <w:i/>
          <w:color w:val="000000"/>
          <w:sz w:val="20"/>
          <w:lang w:val="en-US" w:eastAsia="en-US" w:bidi="ar-SA"/>
        </w:rPr>
        <w:t>Price v. Kostryba</w:t>
      </w:r>
      <w:r>
        <w:rPr>
          <w:rFonts w:ascii="arial" w:eastAsia="arial" w:hAnsi="arial" w:cs="arial"/>
          <w:color w:val="000000"/>
          <w:sz w:val="20"/>
          <w:lang w:val="en-US" w:eastAsia="en-US" w:bidi="ar-SA"/>
        </w:rPr>
        <w:t xml:space="preserve"> </w:t>
      </w:r>
      <w:hyperlink r:id="rId66" w:history="1">
        <w:r>
          <w:rPr>
            <w:rFonts w:ascii="arial" w:eastAsia="arial" w:hAnsi="arial" w:cs="arial"/>
            <w:i/>
            <w:color w:val="0077CC"/>
            <w:sz w:val="20"/>
            <w:u w:val="single"/>
            <w:shd w:val="clear" w:color="auto" w:fill="FFFFFF"/>
            <w:lang w:val="en-US" w:eastAsia="en-US" w:bidi="ar-SA"/>
          </w:rPr>
          <w:t>(1982), 70 B.C.L.R. 397</w:t>
        </w:r>
      </w:hyperlink>
      <w:r>
        <w:rPr>
          <w:rFonts w:ascii="arial" w:eastAsia="arial" w:hAnsi="arial" w:cs="arial"/>
          <w:color w:val="000000"/>
          <w:sz w:val="20"/>
          <w:lang w:val="en-US" w:eastAsia="en-US" w:bidi="ar-SA"/>
        </w:rPr>
        <w:t xml:space="preserve">, </w:t>
      </w:r>
      <w:hyperlink r:id="rId66" w:history="1">
        <w:r>
          <w:rPr>
            <w:rFonts w:ascii="arial" w:eastAsia="arial" w:hAnsi="arial" w:cs="arial"/>
            <w:i/>
            <w:color w:val="0077CC"/>
            <w:sz w:val="20"/>
            <w:u w:val="single"/>
            <w:shd w:val="clear" w:color="auto" w:fill="FFFFFF"/>
            <w:lang w:val="en-US" w:eastAsia="en-US" w:bidi="ar-SA"/>
          </w:rPr>
          <w:t>[1982] B.C.J. No. 1518</w:t>
        </w:r>
      </w:hyperlink>
      <w:r>
        <w:rPr>
          <w:rFonts w:ascii="arial" w:eastAsia="arial" w:hAnsi="arial" w:cs="arial"/>
          <w:color w:val="000000"/>
          <w:sz w:val="20"/>
          <w:lang w:val="en-US" w:eastAsia="en-US" w:bidi="ar-SA"/>
        </w:rPr>
        <w:t xml:space="preserve"> (S.C.), at paras. 6-7 of QuickLaw. However, a plaintiff's own evidence, where it is consistent with the surrounding circumstances, may be sufficient to ground a finding of an existence of injuries beyond the normal or usual recovery period: </w:t>
      </w:r>
      <w:r>
        <w:rPr>
          <w:rFonts w:ascii="arial" w:eastAsia="arial" w:hAnsi="arial" w:cs="arial"/>
          <w:i/>
          <w:color w:val="000000"/>
          <w:sz w:val="20"/>
          <w:lang w:val="en-US" w:eastAsia="en-US" w:bidi="ar-SA"/>
        </w:rPr>
        <w:t>Maslen v. Rubenstein</w:t>
      </w:r>
      <w:r>
        <w:rPr>
          <w:rFonts w:ascii="arial" w:eastAsia="arial" w:hAnsi="arial" w:cs="arial"/>
          <w:color w:val="000000"/>
          <w:sz w:val="20"/>
          <w:lang w:val="en-US" w:eastAsia="en-US" w:bidi="ar-SA"/>
        </w:rPr>
        <w:t xml:space="preserve"> </w:t>
      </w:r>
      <w:hyperlink r:id="rId73" w:history="1">
        <w:r>
          <w:rPr>
            <w:rFonts w:ascii="arial" w:eastAsia="arial" w:hAnsi="arial" w:cs="arial"/>
            <w:i/>
            <w:color w:val="0077CC"/>
            <w:sz w:val="20"/>
            <w:u w:val="single"/>
            <w:shd w:val="clear" w:color="auto" w:fill="FFFFFF"/>
            <w:lang w:val="en-US" w:eastAsia="en-US" w:bidi="ar-SA"/>
          </w:rPr>
          <w:t>(1993), 83 B.C.L.R. (2d) 131</w:t>
        </w:r>
      </w:hyperlink>
      <w:r>
        <w:rPr>
          <w:rFonts w:ascii="arial" w:eastAsia="arial" w:hAnsi="arial" w:cs="arial"/>
          <w:color w:val="000000"/>
          <w:sz w:val="20"/>
          <w:lang w:val="en-US" w:eastAsia="en-US" w:bidi="ar-SA"/>
        </w:rPr>
        <w:t xml:space="preserve">, </w:t>
      </w:r>
      <w:hyperlink r:id="rId73" w:history="1">
        <w:r>
          <w:rPr>
            <w:rFonts w:ascii="arial" w:eastAsia="arial" w:hAnsi="arial" w:cs="arial"/>
            <w:i/>
            <w:color w:val="0077CC"/>
            <w:sz w:val="20"/>
            <w:u w:val="single"/>
            <w:shd w:val="clear" w:color="auto" w:fill="FFFFFF"/>
            <w:lang w:val="en-US" w:eastAsia="en-US" w:bidi="ar-SA"/>
          </w:rPr>
          <w:t>[1993] B.C.J. No. 1813</w:t>
        </w:r>
      </w:hyperlink>
      <w:r>
        <w:rPr>
          <w:rFonts w:ascii="arial" w:eastAsia="arial" w:hAnsi="arial" w:cs="arial"/>
          <w:color w:val="000000"/>
          <w:sz w:val="20"/>
          <w:lang w:val="en-US" w:eastAsia="en-US" w:bidi="ar-SA"/>
        </w:rPr>
        <w:t xml:space="preserve"> (C.A.), at para. 16 of QuickLaw; </w:t>
      </w:r>
      <w:r>
        <w:rPr>
          <w:rFonts w:ascii="arial" w:eastAsia="arial" w:hAnsi="arial" w:cs="arial"/>
          <w:i/>
          <w:color w:val="000000"/>
          <w:sz w:val="20"/>
          <w:lang w:val="en-US" w:eastAsia="en-US" w:bidi="ar-SA"/>
        </w:rPr>
        <w:t>Leo (Litigation Guardian of) v. Leo</w:t>
      </w:r>
      <w:r>
        <w:rPr>
          <w:rFonts w:ascii="arial" w:eastAsia="arial" w:hAnsi="arial" w:cs="arial"/>
          <w:color w:val="000000"/>
          <w:sz w:val="20"/>
          <w:lang w:val="en-US" w:eastAsia="en-US" w:bidi="ar-SA"/>
        </w:rPr>
        <w:t xml:space="preserve">, </w:t>
      </w:r>
      <w:hyperlink r:id="rId897" w:history="1">
        <w:r>
          <w:rPr>
            <w:rFonts w:ascii="arial" w:eastAsia="arial" w:hAnsi="arial" w:cs="arial"/>
            <w:i/>
            <w:color w:val="0077CC"/>
            <w:sz w:val="20"/>
            <w:u w:val="single"/>
            <w:shd w:val="clear" w:color="auto" w:fill="FFFFFF"/>
            <w:lang w:val="en-US" w:eastAsia="en-US" w:bidi="ar-SA"/>
          </w:rPr>
          <w:t>2005 BCSC 1300</w:t>
        </w:r>
      </w:hyperlink>
      <w:r>
        <w:rPr>
          <w:rFonts w:ascii="arial" w:eastAsia="arial" w:hAnsi="arial" w:cs="arial"/>
          <w:color w:val="000000"/>
          <w:sz w:val="20"/>
          <w:lang w:val="en-US" w:eastAsia="en-US" w:bidi="ar-SA"/>
        </w:rPr>
        <w:t xml:space="preserve">, </w:t>
      </w:r>
      <w:hyperlink r:id="rId897" w:history="1">
        <w:r>
          <w:rPr>
            <w:rFonts w:ascii="arial" w:eastAsia="arial" w:hAnsi="arial" w:cs="arial"/>
            <w:i/>
            <w:color w:val="0077CC"/>
            <w:sz w:val="20"/>
            <w:u w:val="single"/>
            <w:shd w:val="clear" w:color="auto" w:fill="FFFFFF"/>
            <w:lang w:val="en-US" w:eastAsia="en-US" w:bidi="ar-SA"/>
          </w:rPr>
          <w:t>[2005] B.C.J. No. 2115</w:t>
        </w:r>
      </w:hyperlink>
      <w:r>
        <w:rPr>
          <w:rFonts w:ascii="arial" w:eastAsia="arial" w:hAnsi="arial" w:cs="arial"/>
          <w:color w:val="000000"/>
          <w:sz w:val="20"/>
          <w:lang w:val="en-US" w:eastAsia="en-US" w:bidi="ar-SA"/>
        </w:rPr>
        <w:t>, at paras. 26-27 of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 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First, because Mr. Thomson's lifestyle before the collision was rather inactive, an award in this case will not need to reflect any loss of an ability to engage in vigorous physical activity during the acute stages of the injuries sustained.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factual issue to be resolved here is the gap between the symptoms described by Dr. Fyfe in her report and those described by Mr. Thomson. Dr. Fyfe's report is silent on the pain he describes to his left arm and shoulder and between his shoulder blades that persisted up to the time of the cancer diagnosis. Further, as of December 2008 when the report was written, Dr. Fyfe found Mr. Thomson to be "essentially symptom-free", although he was not working due to the onset of his cancer and therefore was not engaged in any strenuous physical activities. In the absence of objective medical support, counsel for Mr. Hunt submits that I should be cautious about giving any weight to the continuing symptoms that were described by Mr. Thomson.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Bearing in mind that Mr. Thomson's continuing symptoms were not sufficiently serious to require further medical attention, I find that the link Dr. Fyfe makes between his work duties and the presence of symptoms in the areas described is plausible, particularly in light of what she identified as the difficulties Mr. Thomson endured when undertaking strenuous duties during the earlier stages of his recovery. I find that although Mr. Thomson's symptoms diminished to such an extent as to no longer require him to seek ongoing medical treatment and engage in physiotherapy, those symptoms persisted in one form or another until the end of August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Mr. Thomson himself does not suggest that his symptoms were as severe once he returned to work. In his affidavit sworn February 26, 2010, at para. 49 he deposed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Most of my injuries had improved quite a bit before I returned to work on March 10, 2008. I remember that the pain in the left shoulder, left arm and between the shoulder blades were still lingering when I returned to work. I had periodic neck pain which was aggravated by work, as my job involved a lot of looking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 think this candid description weighs substantially in favour of Mr. Thomson's credibility and distinguishes him from those plaintiffs who maintain that their physiological problems continue undiminished for very lengthy periods, well past what objective medical or other evidence can possibly support.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In all the circumstances, I think that the duration of Mr. Thomson's most serious symptoms and the limited extent to which they interfered with his pre-collision lifestyle calls for a lower award than those found in the cases he relies on. However I have no concerns on the evidence that Mr. Thomson may have exaggerated his symptoms, so I think that a substantially higher award than the nominal ones in the cases Mr. Hunt relies on is warranted.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Accordingly, I award Mr. Thomson $20,000 for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Mr. Thomson has had success in this trial and I find that he is entitled to receive his costs as provided for under R. 66(29) of the former </w:t>
      </w:r>
      <w:r>
        <w:rPr>
          <w:rFonts w:ascii="arial" w:eastAsia="arial" w:hAnsi="arial" w:cs="arial"/>
          <w:i/>
          <w:color w:val="000000"/>
          <w:sz w:val="20"/>
          <w:lang w:val="en-US" w:eastAsia="en-US" w:bidi="ar-SA"/>
        </w:rPr>
        <w:t>Supreme Court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221/90</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T.A. SCHULTES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Released: January 24,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 This is a corrigendum to my Reasons for Judgment dated December 24, 2010 (2010 BCSC 1858)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 In paragraph [2] in the first line the phrase "between 6:20 a.m. to 6:30 a.m." has been changed to "between 6:20 a.m. and 6:30 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 Paragraph [5] is deleted and replaced with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 The collision occurred where Monashee Court joins Dawes Hill Road in a "T" intersection from the east, which would be from the left-hand side of a driver travelling downhill. Dawes Hill Road is divided by a double solid line but at Monashee Court that line breaks up to permit turns from and onto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 Paragraph [37] is deleted and replaced with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[37] I think that as a matter of common sense if, as Mr. Hunt indicated, he was travelling at 40 kilometres per hour at the crest and he did not apply his brakes while travelling downhill from the first steep section until just before the collision, then (whether or not he applied any gas) his speed when approaching the site of the collision must have increased to exceed 40 kilometres per hour. While Mr. Hunt's speed likely did not increase as he travelled the flatter section of the road after the first downhill section, this was followed by another downhill section before the collision site. As a result, I find that Mr. Hunt was exceeding the posted speed limit of 30 kilometres per hour by more than the margin he admitted.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 In paragraph [63] in the third line the phrase "those awarded" has been changed to "those found".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 In paragraph [64] the phrase "I, accordingly award" has been changed to "Accordingly, I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T.A. SCHULTES J.A.</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98" style="position:absolute;z-index:25188556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98"/>
          <w:headerReference w:type="default" r:id="rId899"/>
          <w:footerReference w:type="even" r:id="rId900"/>
          <w:footerReference w:type="default" r:id="rId901"/>
          <w:headerReference w:type="first" r:id="rId902"/>
          <w:footerReference w:type="first" r:id="rId90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04" w:history="1">
        <w:r>
          <w:rPr>
            <w:rFonts w:ascii="arial" w:eastAsia="arial" w:hAnsi="arial" w:cs="arial"/>
            <w:b/>
            <w:bCs/>
            <w:i/>
            <w:color w:val="0077CC"/>
            <w:kern w:val="32"/>
            <w:sz w:val="28"/>
            <w:szCs w:val="32"/>
            <w:u w:val="single"/>
            <w:shd w:val="clear" w:color="auto" w:fill="FFFFFF"/>
            <w:lang w:val="en-US" w:eastAsia="en-US" w:bidi="ar-SA"/>
          </w:rPr>
          <w:t>Townline Enterprises Ltd. v. Pollex, [2010] B.C.J. No. 1035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Chilliwack,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B.M. Joyce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21-23, 27-28 and 30, 2009; January 5,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1,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S17588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Chilliwack</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[2010] B.C.J. No. 1035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BCSC 771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95 C.L.R. (3d) 136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189 A.C.W.S. (3d) 680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CarswellBC 1346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Townline Enterprises Ltd., Plaintiff, and Peter William Pollex and Carol Florence Pollex, Defendants, and Townline Drywall Ltd., Worldland Investments Ltd. formerly known as Townline Enterprises Ltd., Arvid Wiens and Willbert Unruh, Defendants by Counterclaim</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99" style="position:absolute;z-index:2516951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49" w:name="Keywords_35"/>
      <w:bookmarkEnd w:id="249"/>
      <w:r>
        <w:rPr>
          <w:rFonts w:ascii="arial" w:eastAsia="arial" w:hAnsi="arial" w:cs="arial"/>
          <w:b/>
          <w:color w:val="000000"/>
          <w:sz w:val="20"/>
          <w:lang w:val="en-US" w:eastAsia="en-US" w:bidi="ar-SA"/>
        </w:rPr>
        <w:t xml:space="preserve">Construction law — Contracts — Building contracts — Terms — Price — Breach — By owner — Failure to pay contract monies — By contractor — Defective workmanship — Delay — No time specified for completion — Delay due to extra work — Remedies — Action by drywall installer for payment due under contract and to enforce claim of builder's lien allowed and counterclaim by home owners for set-off, damages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and theft of tools dismissed — Parties entered into agreement for supply and installation of drywall at defendants' house — When issue of payment arose, defendants complained of major deficiencies, property damage and theft of tools — Plaintiff entitled to payment as plaintiff's evidence more believable and likely parties entered into oral contract — No evidence to support defendants' claims, but defendants entitled to credit of $500 for costs to remedy deficiencies.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Action by drywall installer for payment due under contract and to enforce claim of builder's lien allowed and counterclaim by home owners for set-off, damages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and theft of tools dismissed — Parties entered into agreement for supply and installation of drywall at defendants' house — When issue of payment arose, defendants complained of major deficiencies, property damage and theft of tools — Plaintiff entitled to payment as plaintiff's evidence more believable and likely parties entered into oral contract — No evidence to support defendants' claims, but defendants entitled to credit of $500 for costs to remedy deficiencies.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50" w:name="Case Summary_35"/>
            <w:bookmarkEnd w:id="25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drywall installers for payment due under a contract and to enforce a builders' lien and counterclaim by home owners for set-off, damages for negligent installation of drywall and damage to property and theft of tools by the plaintiff's employees. The plaintiff provided a quote for the supply and installation of drywall at a house the defendants were building and thereafter entered into an oral agreement to supply and install the drywall at a price of $10,821 plus GST. The drywall was delivered to the defendants' property while they were not at home and the defendants alleged that the delivery person forced entry through the back doors of the home and caused damage to them. The defendants complained of some deficiencies, which the plaintiffs remedied, but did not complain about any damage, theft or major deficiencies until the issue of payment arose. The defendant denied that the parties entered into a fixed-price agreement and alleged that the agreement was a cost-plus contract. The defendants further alleged that the plaintiff failed to do the work in a workmanlike manner with the result that they had to hire other persons to remedy the defects. In addition, the defendants alleged that the plaintiff's employees or contractors caused damage to their property which they had to repair to replace. The claimed set-off in the amount of $17,902 for work done, $6,432 for materials supplied, damages of $37,000 for costs and expenses incurred as a result of the plaintiff's failure to do the work properly, negligent damage to property and delay in completing the work. The defendants also claimed damages of $5,000 to $6,000 for tools they alleged were stolen by the plaintiff's employee.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51" w:name="Holdings of Court_29"/>
            <w:bookmarkEnd w:id="251"/>
            <w:r>
              <w:rPr>
                <w:rFonts w:ascii="arial" w:eastAsia="arial" w:hAnsi="arial" w:cs="arial"/>
                <w:color w:val="000000"/>
                <w:sz w:val="20"/>
                <w:lang w:val="en-US" w:eastAsia="en-US" w:bidi="ar-SA"/>
              </w:rPr>
              <w:t>HELD: Action allowed and counterclaim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 was entitled to payment under the contract. The plaintiff's evidence was more believable than that of the defendants and it was more probable that the parties entered into an oral contract for the supply and installation of the drywall in the defendants' home for the price of $10,821 plus GST. With respect to the defendants' claims, there was no evidence that the plaintiff workmanship fell below an acceptable standard, that the plaintiff damaged the defendants' property, that all of the remedial work they paid others to do was required, that the plaintiffs' contractor committed a theft or that the plaintiffs caused delays in the completion of the work. However, the defendants were entitled to a credit of $500 for the costs of work to remedy deficiencies.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52" w:name="Legislation Cited_23"/>
      <w:bookmarkEnd w:id="25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00" style="position:absolute;z-index:2517463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Builders Lien Act, </w:t>
      </w:r>
      <w:r>
        <w:rPr>
          <w:rFonts w:ascii="arial" w:eastAsia="arial" w:hAnsi="arial" w:cs="arial"/>
          <w:i/>
          <w:color w:val="000000"/>
          <w:sz w:val="20"/>
          <w:lang w:val="en-US" w:eastAsia="en-US" w:bidi="ar-SA"/>
        </w:rPr>
        <w:t>SBC 1997, CHAPTER 45</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Court Order Interest Act, </w:t>
      </w:r>
      <w:r>
        <w:rPr>
          <w:rFonts w:ascii="arial" w:eastAsia="arial" w:hAnsi="arial" w:cs="arial"/>
          <w:i/>
          <w:color w:val="000000"/>
          <w:sz w:val="20"/>
          <w:lang w:val="en-US" w:eastAsia="en-US" w:bidi="ar-SA"/>
        </w:rPr>
        <w:t>RSBC 1996, CHAPTER 79</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53" w:name="Counsel_35"/>
      <w:bookmarkEnd w:id="25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01" style="position:absolute;z-index:2517975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and Defendants by Counterclaim: W.R. Neufeld.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R.A. Wattie.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54" w:name="Judgment_35"/>
      <w:bookmarkEnd w:id="254"/>
      <w:r>
        <w:pict>
          <v:line id="_x0000_s1202" style="position:absolute;z-index:25184768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55" w:name="B.M. JOYCE J._0"/>
            <w:bookmarkEnd w:id="255"/>
            <w:r>
              <w:rPr>
                <w:rFonts w:ascii="arial" w:eastAsia="arial" w:hAnsi="arial" w:cs="arial"/>
                <w:b/>
                <w:color w:val="000000"/>
                <w:sz w:val="30"/>
                <w:lang w:val="en-US" w:eastAsia="en-US" w:bidi="ar-SA"/>
              </w:rPr>
              <w:t>B.M. JOYCE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a company that is in the business of supplying and installing drywall, says that in August 2006 it entered into an agreement with the defendants to supply and install drywall in the house they were building at 3660 McDermott Road in Abbotsford, British Columbia, for an agreed price of $11,470.26. The plaintiff says that it performed the work in a proper, workmanlike manner and invoiced the defendants for the work but the defendants have failed to pay for the work. The plaintiff seeks judgment in the amount of $11,470.26.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plaintiff also seeks to enforce a claim of builders lien that it filed against the defendants' property on October 13, 2006, pursuant to the </w:t>
      </w:r>
      <w:r>
        <w:rPr>
          <w:rFonts w:ascii="arial" w:eastAsia="arial" w:hAnsi="arial" w:cs="arial"/>
          <w:i/>
          <w:color w:val="000000"/>
          <w:sz w:val="20"/>
          <w:lang w:val="en-US" w:eastAsia="en-US" w:bidi="ar-SA"/>
        </w:rPr>
        <w:t>Builders Lien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1997, c. 45</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defendants deny the fixed-price agreement alleged by the plaintiffs. They allege a cost-plus contract. They say further that the plaintiff failed to do the work in a proper workmanlike manner with the result that the defendants had to hire other persons to remedy the defects. In addition, the defendants allege that the plaintiff's employees and contractors negligently caused damage to their property which the defendants had to repair or replace. In their statement of defence, the defendants claim a set-off in the amount of $17,902.93 and allege that there is a balance owing to the plaintiff for work done and materials supplied of $6,432.67.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their amended counterclaim, the defendants assert that the drywall work was done by Townline Drywall Ltd. and that the claim of builders lien was filed by the wrong entity. They claim damages against the plaintiff and the defendants by counterclaim as a result of the alleged improper filing of the lien. However, the defendants abandoned this aspect of their counterclaim during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defendants further allege in their amended counterclaim that the plaintiff did not do the work properly, negligently caused damage to their property and failed to complete the work in a timely way, with the result that they have incurred cost and expense in excess of $37,000.00.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addition, the defendants allege that plaintiff's servants, agents or representatives stole tools and equipment belonging to them having a value of between $5,000.00 and $6,000.00.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issues to be determined in this action are therefore:</w:t>
      </w:r>
      <w:r>
        <w:rPr>
          <w:rFonts w:ascii="arial" w:eastAsia="arial" w:hAnsi="arial" w:cs="arial"/>
          <w:sz w:val="20"/>
          <w:lang w:val="en-US" w:eastAsia="en-US" w:bidi="ar-SA"/>
        </w:rPr>
        <w:cr/>
      </w:r>
    </w:p>
    <w:p>
      <w:pPr>
        <w:numPr>
          <w:numId w:val="1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of the contract; and</w:t>
      </w:r>
    </w:p>
    <w:p>
      <w:pPr>
        <w:numPr>
          <w:numId w:val="1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whether the contract was carried out properly, or whether the defendants are entitled to a set-off and damages due to the plaintiff's breach of contract,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theft by its employees.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CREDIBILITY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resolution of the issues in this action depends heavily on my assessment of the credibility of the two principal witnesses, Mr. Arvid Wiens and the defendant Mr. Peter Pollex. Mr. Wiens is a director of the plaintiff company and the person who dealt with Mr. Pollex in making arrangements for the work to be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Generally, I found Mr. Wiens to be responsive and forthright. If he could not recall something, he said so. He was not evasive or argumentative. He did not exaggerate. Mr. Wiens was, at times, unable to recall specific events but that is not surprising given that the events occurred more than three years before he testified and this was a very small piece of business for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the other hand, I found Mr. Pollex to be a witness who was often evasive and tended to exaggerate. Mr. Pollex's evidence tended to shift throughout his testimony. For example, at one point, he maintained that there was never any agreement for the plaintiff to perform this work, and then took the position that there was a contract but it was on a cost-plus basis. At one point, he maintained that Mr. Wiens agreed to do the work for free, supposedly because of a threat by Mr. Pollex that he would report the Winroc delivery crew of break and enter but later resiled from that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While I doubt that Mr. Wiens got every detail right and that Mr. Pollex got every detail wrong, with regard to the circumstances surrounding the formation of the contract, I found Mr. Wiens' evidence to be more credible and prefer his evidence where it conflicts with that of Mr. Pollex.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FINDINGS OF FACTS AND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plaintiff's evidence concerning the Contract was as follows. Mr. Wiens testified that in early August 2006 he received a telephone message from Mr. Pollex asking for a quote to install the drywall in the house he was building. Mr. Wiens believes he called Mr. Pollex the same day and stated that he would send his estimator, Mr. Ted Fast, to the property to take measurements. Mr. Wiens testified that he never gives a quote without sending his estimator to take measurements.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Wiens said he sent Mr. Fast to the site to obtain the measurements and he then received an estimating sheet, dated August 3, 2006, from Mr. Fast. The estimating sheet listed the number of sheets of drywall of various sizes for three buildings: the house, a garage and a shop.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Fast testified that he went to the site on August 3, 2006, to take measurements, where he met Mr. Pollex. He said that Mr. Pollex asked him to give separate prices for the house, garage and shop.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Wiens testified that he created a quotation for the house based on the estimator's figure, which came in at a price of $10,821.20 plus GST based on 8,324 square feet of drywall at $1.30 per square foot. Mr. Wiens testified that he gave the price to Mr. Pollex over the telephone. He testified in direct examination that he could not recall precisely what Mr. Pollex said in response, but the thrust of his evidence was that Mr. Pollex accepted the quotation and that the plaintiff would not have proceeded without an oral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Wiens ordered the drywall from the plaintiff's supplier, Winroc, on August 9, 2006. He ordered the quantities set out in his handwritten estimate. According to Winroc's estimate, the drywall was shipped on August 14, 2006, to the McDermott Road address. Mr. Wiens said that ordinarily he will not have the material shipped until the builder asks for it and he did not have any recollection of Mr. Pollex calling him to ask that it be shipped.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defendant's evidence concerning the alleged contract was as follows. Mr. Pollex testified that he called the plaintiff's office the evening of August 9, 2006 and left a message saying that he would like an estimate to drywall his house. He testified that on the morning of August 11, 2006, Mr. Wiens returned his call. Mr. Wiens asked the square footage of the house. Mr. Pollex stated that he did not know the square footage but that he did know the size of the foundations, which Mr. Wiens said would be sufficient. Mr. Pollex said that Mr. Wiens called him back later that day and said that the job would cost about $8,000.00 plus tax. Mr. Pollex said that he wanted someone to come out to measure the property and give him an estimate before he decided whether to retain the plaintiff. Mr. Pollex said arrangements were made for someone to come to the house on August 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Pollex testified that he never received a written estimate and never reached an agreement with the plaintiff concerning the work. He testified that on August 14, 2006, without his knowledge, Winroc came to his house with drywall and broke in through the rear French doors to place it in the house, damaging the doors in the process. Peter Pollex testified that early in the morning of August 14, 2006, his neighbour, Mr. Tom Coop, left a message on his cell phone advising that the drywall had been delivered and that the delivery people had broken into the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Coop testified that early in the morning on August 14, 2006, he saw a delivery truck on the roadway in front of the defendant's house and saw someone climbing into the house through a window. He went over to the house to find out what was going on and was told that they were delivering drywall so he called Mr. Pollex back to tell him everything was okay.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Leonard Debad, who was a driver who worked for Winroc in 2006, testified that he delivered the drywall on the date it was ordered or shortly thereafter, in the afternoon. He thought they went in through the back door, but was not sure. He denied forcing entry through the back doors and damaging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Pollex testified that at 1:48 p.m. the day the drywall was delivered, Mr. Wiens left a message on his cell phone saying that drywall had been delivered to the wrong house. Mr.Pollex said that at 2:34 p.m. he left a message for Mr. Wiens asking why drywall had been delivered and threatening to have Townline Drywall charged with breaking and entering. Mr. Pollex said that at 3:45 p.m. Mr. Toews of Townline Drywall called him and he told Mr. Toews to have Mr. Wiens come out to the house. Mr. Pollex said Mr. Wiens came out to the house that night and he showed Mr. Wiens damage that had been done to his front and back doors by the people who delivered the drywall. Mr. Pollex said that Mr. Wiens apologized and said that they must have had the wrong house. He also testified that Mr. Wiens offered to pay to have the rear doors replaced. At one point in his evidence, Mr. Pollex testified that, after learning of the break-in and damage, Mr. Wiens agreed to do the drywall work for free and fix all of the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Wiens denied going to the property the day the drywall was delivered and denied hearing anything about damage caused by anyone until after he had requested payment for the work. He testified that, while Mr. Pollex asked that some deficiencies be corrected, he did not complain about any damage, theft or major deficiencies until the issue of payment arose. He said he began calling Mr. Pollex after the invoice, which is dated September 18, 2006, was sent to Mr. Pollex at his post office box address. Mr. Pollex testified that he never received the invoice until October 20, 2006, when Mr. Ted Fast hand-delivered a copy of it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It is the plaintiff's submission that the evidence establishes that there was an oral contract to perform the work and supply the materials for a fixed price of $11,470.26. They submit that the defendants asked for a quotation which they were given and accepted. They say the worksheet prepared by the estimator, the estimate prepared by Mr. Wiens and the invoice from Winroc all support the plaintiff's version of events, which version they say is the only one that is credible.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defendant's submission is that there was a contract to supply material and labour on a cost-plus basis, which was estimated to $8,000.00 plus GST, made on August 11, 2006. The defendants at one point in their submissions, suggested that the plaintiff agreed to do the job for free but resiled from that position and reverted to the position that the plaintiff is entitled to be paid on a cost-plus basis subject to the defendants' set-off and counterclaim for the cost of remedial work and damage done by the plaintiff during the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There are four reasons why I find the plaintiff's evidence more believable than that of the defendants and find it more probable that the plaintiff and the defendants entered into an oral contract for the price of $11,470.26.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First, as I have indicated, I found Mr. Wiens to be a more credible witness than Mr. Pollex.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Second, it simply makes no sense to me that the plaintiff, a large, experienced drywall installation company, would quote on a job based only on the dimensions of a building's foundation without determining the interior layout of the building. Not only is that contrary to the plaintiff's standard practice, I find it incredible that anyone could estimate materials on that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Third, to accept the defendants' evidence I would have to find, as submitted by them, that the plaintiff created two false documents for the purpose of this litigation: the document which Mr. Fast testified he created as a result of visiting the property and the handwritten estimate prepared by Mr. Wiens, which was the basis of the plaintiff's order to Winroc. I do not accept that those two individuals engaged in such a fraud. Furthermore, if Mr. Fast wanted to create a false document to justify the work that the plaintiff actually did, which was restricted to the defendants' house, he would not have had to include material specifications for the garage and shop.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Fourth, according to Mr. Pollex, Mr. Wiens did not speak to him about this job until August 11, 2006, when he gave him an estimate of $8,000.00. However, I am satisfied that the plaintiff placed its order for drywall with Winroc on August 9, 2006. The order clearly references the defendants' property. This documentary evidence is completely inconsistent with the defendants' version of 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 therefore, find as a fact that the plaintiff and defendants entered into an oral contract whereby the plaintiff agreed to supply and install all of the drywall in the defendants' house on McDermott Road for the price of $10,821.00 plus GST.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 Alleged damage to property and deficiencies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Before reviewing the specific matters that the defendants' claim should be taken into account by way of set-off or counterclaim, I want to make a general comment about the nature and quality of the defendants' evidence in connection with these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Obviously, the defendants have the burden to prove their counterclaim on a balance of probabilities. The defendants provided no expert opinion evidence to support its contention that the quality of the plaintiff's workmanship fell below an acceptable standard. The defendants relied on the evidence of Mr. Pollex concerning the quality of the work and the evidence of a drywall contractor, Mr. Bigras, whom they hired to do remedial work. Mr. Bigras was obviously not independent. He was paid a considerable sum of money and had good reason to support the defendants' contention that the work done by the plaintiff's employees and contractors required remedial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To support their contention that the taping and mudding of the drywall done by the plaintiff's sub-contractor, Mr. Gorchinski, was not up to the required standard, the defendants' relied on a number of photographs of extremely poor quality. I found it impossible to discern the deficiencies complained about by Mr. Pollex from these photographs.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 now turn to a discussion of the various complaints with regard to the defendants' counterclaim and set-off.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1. Damage to doors - Claim of $6,740.93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Pollex testified that the persons who delivered the drywall on August 14, 2006, broke into the house by prying open the back French doors causing the "skin" on the inside of one of the two doors to separate from the door. He testified that the delivery persons also damaged the casing around the front door when they carried drywall through the open doorway. He also testified that, at some point, the plaintiff's workers caused damage to the front door threshold, the weather stripping on the door and to the door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Pollex said that he had to replace both the rear and front doors at a cost of $5,947.93, plus labour of $843.00, for a total cost of $6,790.93. In support of the cost of replacement, Mr. Pollex presented three pages only of an invoice from Home Depot dated November 1, 2006, a cash register slip in the amount of $5,947.93 and a portion of his Visa statement showing a debit in that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Pollex presented undated photographs showing one side of the French Doors with part of the "skin" pulled away from the door, which demonstrate that, at some time, the door was damaged. He also presented undated photographs of the front door that show a broken piece of weather stripping and some scuff marks on the top of the door frame. From the photograph, it appears the weather stripping is screwed on to the door and could easily be replaced. It also appears to me that the scuff marks on the door frame could be dealt with by repainting that part of the door. Mr. Pollex testified there were also some scuffs and "dings" on the door itself, but I am unable to tell from the photographs whether the spots Mr. Pollex referred to show damage or just dirt marks.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Pollex sought to rely on a written statement from a Mr. Al Klotz of RBA Construction, as to the need to replace both sets of doors but that statement is inadmissible hearsay.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While there was clearly some damage done to the doors, at some time, the key issue is who caused the damage and when. A further issue is whether the damage could be repaired or whether the whole door assembling had to be replaced.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As I have already said, Mr. Wiens denied that he came to the house on August 14, 2006 and denies seeing any damage to the door. Mr. Debad cannot recall for sure whether he gained entry through the back door but denied forcing entry.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Al Reimer, the person whom the plaintiff used to install the drywall testified that he installed it on August 16 and 17, 2006 and that during the installation he did not observe any damage to the doors. Mr. Reimer was building his own house at the time and liked the look of Mr. Pollex's front door so he took a photograph of it to show to his wife. There is no damage to the door that is visible in that photograph.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 Rudy Van der Velde is a drywall installer who worked with Mr. Reimer on this job. He testified that he used both the front and back doors during the time he was on site and never saw any damage to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Upon a consideration of all of the evidence, I am not satisfied that the defendants have proven this part of the counterclaim on a balance of probabilities.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2. Cost to re-tape and re-mud - Claim of $5,013.80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 Pollex testified that the plaintiff did a substandard job of taping and filling ("mudding") the joints between the drywall sheets and left some areas and that he hired Mr. Dennis Bigras to complete the work and repair the deficiencies.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 Wiens testified that, at one point, Mr. Pollex telephoned him about a blemish in the ceiling. Mr. Wiens said that he went to the house with Mr. John Smale, an employee who performed deficiency work for the plaintiff and that Mr. Smale attended to the deficiencies.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 Smale, who no longer works for the plaintiff, gave evidence. He said that he recalled attending at the property on three occasions to deal with things that Mr. Pollex was not happy with, including a spot on the kitchen ceiling. Mr. Smale thought the workmanship was better than average, but not perfect. Mr. Smale testified that he fixed all of the deficiencies that Mr. Pollex pointed out to him, with the exception of an area under the stairway that he never returned to tape and mud.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As I have already noted, Mr. Pollex did not provide the court with any expert opinion report dealing with the alleged deficiencies. Mr. Pollex relied on photographs that he took of the inside of his house in support of this claim. However, with the exception of an area under the stairs that was not taped and mudded by the plaintiff and some areas in the kitchen, Mr. Pollex did not provide any photographs depicting the work before he had applied a coat of primer paint and Mr. Bigras had done the repair work. Most of the photographs showed the house after Mr. Bigras had done the "repair" work. They are of no assistance in determining the quality of the work done by the plaintiff. Mr. Pollex and Mr. Bigras also referred to some very poor quality photographs of painted walls as evidencing poor workmanship. I was unable to draw any such conclusions from the photographs.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With regard to some of the locations where Mr. Pollex suggested the plaintiff had neglected to place corner-bead, I am satisfied that no corner-bead was required because the corners would be covered by wooden mouldings.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It appears that most of the work that was done by Mr. Bigras was in the family room, although some was done in the kitchen and upstairs hall. I am satisfied that there was an area under the stairs leading to a crawlspace where the plaintiff had placed drywall but had neglected to do any taping or filling and Mr. Bigras completed that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Mr. Bigras testified that he and his two sons did the repair work over the course of four or five days. In cross-examination, Mr. Bigras admitted that his sons did most of the work and his role was to see that they did the work correctly. Mr. Bigras provided an invoice, dated November 13, 2006, for the repair work in the amount of $4,170.00, plus $250.20 for GST, for a total of $4,420.20. Mr. Bigras testified that after he had done the repair work he painted the interior of the house with primer at a cost of $593.60.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 found this evidence as to the cost of this "remedial" work amazing and incredible. It represents nearly half the cost of the initial Contract price to supply install, tape and mud the whole house and more than twice the amount ($1,947.84) that what the plaintiff paid its subcontractor for taping and mudding the whole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Quite apart from my scepticism of the amount charged by Mr. Bigras, I am not persuaded, on the evidence, that the vast majority of this work was required. Given the lack of any independent expert opinion evidence, I am not prepared to find that the defendants have made out this claim with the exception of the cost of taping and mudding the area under the stairs and a few areas in the kitchen where some drywall screws needed to be sunk and mudded. Considering the size of that area and the cost of taping and mudding the house, I believe that an allowance of $500.00 is reasonable for this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3. Deficiencies with regard to the second floor ceilings - Claim of $1,500.00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defendants assert that in addition to the deficiencies repaired by Mr. Bigras, the plaintiff failed to properly finish the ceilings on the upper floor of the house. Mr. Pollex testified that Mr. Bigras gave him an oral quote of $1,000.00 to fix the ceilings but he did not have the money to have them fixed. Mr. Pollex provided Mr. Bigras' written estimate in that amount, dated April 2, 2009. Mr. Bigras testified that the cost would be $1500.00 as of the date of trial, due to the time that would be involved moving furniture.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Once again, Mr. Pollex provided no independent expert opinion evidence to support this claim, nor did he provide any photographs of the upstairs ceilings from which one could make a determination as to whether the work was properly done. The defendants have failed to establish this claim on a balance of probabilities.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4. Cost to replace bathtub - Claim of $1,872.35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Mr. Pollex claims that Mr. Gorchinski, the sub-contract whom the plaintiff hired to do the taping and mudding, slipped when standing on stilts inside the soaker tub in the master bedroom ensuite bathroom, struck the faucets or spout and cracked the fibreglass tub where the spout is fastened to the tub. Mr. Gorchinski denied standing in the tub while wearing stilts and denied damaging the tub.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Mr. Pollex provided a quotation for the price of a replacement tub and installation charges totalling $1,872.35.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Mr. Pollex provided photographs of the tub and faucets which show a hairline crack that extends out about one-half inch from the metal ring where the spout attaches to the tub. There is no evidence that the small crack in any way renders the tub unusable or that the small crack cannot be sealed. Even if the plaintiff caused this small crack, I am not satisfied that it should be liable for a new tub rather than the cost of repair. However, I am not satisfied the crack was caused by the plaintiff's subcontractor as opposed to being caused by over-tightening the spout when it was attached to the tub. The photographs show no apparent damage to either of the faucets or to the spout itself, which I expect would have occurred if a stilt struck the spout or the faucets with sufficient force to displace them and cause the tub to crack.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5. Damage to gate posts - Claim $1,806.08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At the time the plaintiff did the work under its contract there was a metal chain that stretched between two metal post on either side of the driveway leading up to the defendants' house. This chain was padlocked to one of the metal posts. Mr. Pollex claimed that Mr. Gorchinski damaged the posts when he bent them over using his vehicle in order to lower the chain to allow his vehicle to pass. Mr. Pollex gave evidence that he had built large underground concrete foundations for each of the posts including two-foot-by-two-foot blocks of concrete with two eight-foot-long horizontal arms extending out to stabilize the posts. He said that re-bar was set into the concrete foundation and the posts were welded to the rebar. Mr. Pollex claimed that he dug out the posts and found that the rebar was twisted and the concrete was cracked. Mr. Pollex provided his own estimate to replace and reset the posts and their retaining structures in the amount of $1,434.00, plus the cost of concrete, although he has done nothing to repair the gate poles.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Mr. Gorchinski admitted that one day when he came to the site Mr. Pollex was not there to unlock the chain and that he pushed the metal poles over to drop the chain. He testified, however, that the poles were simply set into the soil and that he was able to push them back into alignment without difficulty.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 quite simply do not accept Mr. Pollex's evidence. It is implausible and, in my view, does not accord with the photographs that Mr. Pollex provided. If the metal poles were set in the kind of subterranean structure that Mr. Pollex described and if the force applied to the poles was sufficient not only to bend those posts but also to twist the rebar and crack the concrete foundation, one would surely expect some disturbance of the soil surrounding the posts. However, no soil disturbance can be seen in the photographs. Further, having taken photographs to show the bent poles, it is only reasonable to expect that Mr. Pollex would have taken photographs of the twisted re-bar and cracked concrete if he had excavated it, as he testified. In addition, since Mr. Pollex could not afford to rebuild the substructure, according to him, there was no reason to excavate, remove the substructure and refill the holes rather than simply wait until he could afford to re-build at the time of excavation.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While I accept that the poles were pushed over, I do not accept that there was any significant damage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6. Claim for stolen tools - Claim $3,313.09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Mr. Pollex seeks damages against the plaintiff in the amount of $3,313.09 for tools and equipment that he alleges were taken from the crawlspace in his house on September 14, 2006. He alleges that the tools and equipment must have been stolen by Mr. Gorchinski because Mr. Gorchinski was working at his house that day. He seeks to hold the plaintiff vicariously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Mr. Gorchinski denied that he stole anything from Mr. Pollex.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 would not be prepared to conclude on this evidence that Mr. Gorchinski committed a theft but, even if he had, I am satisfied that the plaintiff would not be vicariously liable for a theft committed by Mr. Gorchinski.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In determining whether vicarious liability exists, it is important to distinguish between the relationship of employer and employee as compared to employer and independent contractor. The latter does not generally give rise to vicarious liability. The distinction between the two types of relationship is dependent upon the degree of control exercised by the employer. Even if a relationship of employer and employee exists, tortious conduct will give rise to vicarious liability only where it was committed by the employee in the course of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Thus, in </w:t>
      </w:r>
      <w:r>
        <w:rPr>
          <w:rFonts w:ascii="arial" w:eastAsia="arial" w:hAnsi="arial" w:cs="arial"/>
          <w:i/>
          <w:color w:val="000000"/>
          <w:sz w:val="20"/>
          <w:lang w:val="en-US" w:eastAsia="en-US" w:bidi="ar-SA"/>
        </w:rPr>
        <w:t>671122 Ontario Ltd. v. Sagaz Industries Canada Inc.</w:t>
      </w:r>
      <w:r>
        <w:rPr>
          <w:rFonts w:ascii="arial" w:eastAsia="arial" w:hAnsi="arial" w:cs="arial"/>
          <w:color w:val="000000"/>
          <w:sz w:val="20"/>
          <w:lang w:val="en-US" w:eastAsia="en-US" w:bidi="ar-SA"/>
        </w:rPr>
        <w:t xml:space="preserve">, </w:t>
      </w:r>
      <w:hyperlink r:id="rId543" w:history="1">
        <w:r>
          <w:rPr>
            <w:rFonts w:ascii="arial" w:eastAsia="arial" w:hAnsi="arial" w:cs="arial"/>
            <w:i/>
            <w:color w:val="0077CC"/>
            <w:sz w:val="20"/>
            <w:u w:val="single"/>
            <w:shd w:val="clear" w:color="auto" w:fill="FFFFFF"/>
            <w:lang w:val="en-US" w:eastAsia="en-US" w:bidi="ar-SA"/>
          </w:rPr>
          <w:t>[2001] 2 S.C.R. 983</w:t>
        </w:r>
      </w:hyperlink>
      <w:r>
        <w:rPr>
          <w:rFonts w:ascii="arial" w:eastAsia="arial" w:hAnsi="arial" w:cs="arial"/>
          <w:color w:val="000000"/>
          <w:sz w:val="20"/>
          <w:lang w:val="en-US" w:eastAsia="en-US" w:bidi="ar-SA"/>
        </w:rPr>
        <w:t>, Major J. stated at paras. 33-34: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The most common relationship that attracts vicarious liability is that between employer and employee, formerly master and servant. This is distinguished from the relationship of an employer and independent contractor which, subject to certain limited exceptions (see </w:t>
      </w:r>
      <w:r>
        <w:rPr>
          <w:rFonts w:ascii="arial" w:eastAsia="arial" w:hAnsi="arial" w:cs="arial"/>
          <w:i/>
          <w:color w:val="000000"/>
          <w:sz w:val="20"/>
          <w:lang w:val="en-US" w:eastAsia="en-US" w:bidi="ar-SA"/>
        </w:rPr>
        <w:t>Atiyah</w:t>
      </w:r>
      <w:r>
        <w:rPr>
          <w:rFonts w:ascii="arial" w:eastAsia="arial" w:hAnsi="arial" w:cs="arial"/>
          <w:color w:val="000000"/>
          <w:sz w:val="20"/>
          <w:lang w:val="en-US" w:eastAsia="en-US" w:bidi="ar-SA"/>
        </w:rPr>
        <w:t>, supra, at pp. 327-78), typically does not give rise to a claim for vicarious liability. If a worker is determined to be an employee as opposed to an independent contractor such that vicarious liability can attach to the employer, this is not the end of the analysis. The tortious conduct has to be committed by the employee in the course of employment. For the reasons that follow, this second stage of the analysis is not relevant and need not be analysed in the present appeal.</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What is the difference between an employee and an independent contractor and why should vicarious liability more likely be imposed in the former case than in the latter? This question has been the subject of much debate. The answer lies with the element of control that the employer has over the direct tortfeasor (the worker). If the employer does not control the activities of the worker, the policy justifications underlying vicarious liability will not be satisfied.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Even if the relationship between the plaintiff and Mr. Gorchinski could be characterized as that of employer and employee, as to which I have considerable doubt, I am satisfied that a theft committed by Mr. Gorchinski while he was at the jobsite is completely unconnected to his job and could not be considered to have been committed within the course of his employment so as to create vicarious liability on the part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7. Claim for extra rent paid due and storage costs incurred due to delay - Claim $2,400.00 and $1,101.75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defendants submit that the drywall installation ought to have been completed by the end of August but was not completed until the end of November because of the plaintiff's delay in doing the work and the defendants' need to have repair work done. They claim the cost of renting premises at $800.00 per month for three additional months beyond August, that is, for the months of September, October and November. The defendants also claim as damages the costs of renting a storage container to store their belongings for three additional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 would reject these claims. In the first place, the evidence does not establish that the plaintiff agreed to complete the work by any specific date. Secondly, I have rejected the majority of the defendants' claim with respect to deficiencies and, accordingly, I would reject the contention that the defendants were delayed in occupying the house because of the need to do repair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8. Claim to replace broken window - Claim $366.45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defendants claim $366.45 as the cost of replacing a window in the family room that they claim was cracked by the persons who delivered the drywall. While the window may have been cracked, the evidence simply does not prove that the delivery persons were responsible. I would deny this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9. Cost to replace beds - Claim $4,225.20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defendants claim that because of the delay in gaining occupancy they had to store two mattress and box-spring sets in the garage. They say the mattress sets got wet, mouldy and infested with mice and had to be destroyed. Mr. Pollex testified that he and his wife used one mattress set in the rental suite where they lived while the house was being built and placed that set in the garage when they moved out of their rental suite to stay with friends until the house was finished. When testifying regarding this aspect of the counterclaim, Mr. Pollex was far from clear as to when he and his wife moved out of the rental suite. At one point, Mr. Pollex said it was in early October that he stored both mattress sets in the garage. This evidence is contradictory to the evidence that Mr. Pollex paid an additional three months' rent due to the delay. I am satisfied that Mr. Pollex and his wife remained in their rental suite, using one of the mattress sets, at least through October based on evidence that Mr. Pollex provided to show that he paid rent for the month of October.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Mr. Pollex said that he had stored another mattress set in a container and moved that set to the garage when he stopped renting the container. He paid storage charges on the container for the month of November. I find that the mattresses were not moved to the garage in early October as Mr. Pollex claimed.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This finding creates a real problem with this claim. The defendants assess their damages based on an invoice from a furniture store dated October 8, 2006, for the purchase of two new mattress sets before the mattresses could have been stored in the garage.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There are other problems with this claim. I am not satisfied that the plaintiff is responsible for any delay claim. The damage to the mattresses, if there was any, was due to failing to properly wrap them for storage or failure to store them in the upstairs spare bedroom in the house, which could have been used for that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 therefore, reject this claim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11. Claim for damages for improperly filing lien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defendants claim damages on the basis that the plaintiff improperly filed its claim of builders lien. Having accepted the plaintiff's evidence regarding the Contract and having rejected that of the defendants, I am satisfied that the plaintiff was entitled to file the lien and dismiss this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SUMMARY AND DISPOSITION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The plaintiff is entitled to judgment in the amount of $10,970.26, being the contract price less $500.00 on account of the cost of deficiency work that I have allowed, together with interest in accordance with the </w:t>
      </w:r>
      <w:r>
        <w:rPr>
          <w:rFonts w:ascii="arial" w:eastAsia="arial" w:hAnsi="arial" w:cs="arial"/>
          <w:i/>
          <w:color w:val="000000"/>
          <w:sz w:val="20"/>
          <w:lang w:val="en-US" w:eastAsia="en-US" w:bidi="ar-SA"/>
        </w:rPr>
        <w:t>Court Order Interest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The plaintiff is also entitled to a declaration that it is entitled to a lien, pursuant to the </w:t>
      </w:r>
      <w:r>
        <w:rPr>
          <w:rFonts w:ascii="arial" w:eastAsia="arial" w:hAnsi="arial" w:cs="arial"/>
          <w:i/>
          <w:color w:val="000000"/>
          <w:sz w:val="20"/>
          <w:lang w:val="en-US" w:eastAsia="en-US" w:bidi="ar-SA"/>
        </w:rPr>
        <w:t>Builders Lien Act</w:t>
      </w:r>
      <w:r>
        <w:rPr>
          <w:rFonts w:ascii="arial" w:eastAsia="arial" w:hAnsi="arial" w:cs="arial"/>
          <w:color w:val="000000"/>
          <w:sz w:val="20"/>
          <w:lang w:val="en-US" w:eastAsia="en-US" w:bidi="ar-SA"/>
        </w:rPr>
        <w:t>, in the amount of $10,970.26, against the lands and premises owned by the defendants and legally described 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PID 017-427-282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Parcel A, Except: Part Dedicated Road on Plan LMP39083;</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Section 27, Township 19, New Westminster District Plan LMP1087 (the "Lands"), the "Lien".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plaintiff is entitled to a declaration that the Lien is the first charge, lien or encumbrance as against the Lands in priority to all the right, title and interest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In default of the payment of the amount secured by the Lien the Lands are to be sold for the purpose of realizing the amount secured by the Lien.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defendants' counterclaim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plaintiff is entitled to costs of the action, including a reasonable sum for the cost of preparing and filing the Claim of Lien.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B.M. JOYCE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03" style="position:absolute;z-index:25188659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05"/>
          <w:headerReference w:type="default" r:id="rId906"/>
          <w:footerReference w:type="even" r:id="rId907"/>
          <w:footerReference w:type="default" r:id="rId908"/>
          <w:headerReference w:type="first" r:id="rId909"/>
          <w:footerReference w:type="first" r:id="rId91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11" w:history="1">
        <w:r>
          <w:rPr>
            <w:rFonts w:ascii="arial" w:eastAsia="arial" w:hAnsi="arial" w:cs="arial"/>
            <w:b/>
            <w:bCs/>
            <w:i/>
            <w:color w:val="0077CC"/>
            <w:kern w:val="32"/>
            <w:sz w:val="28"/>
            <w:szCs w:val="32"/>
            <w:u w:val="single"/>
            <w:shd w:val="clear" w:color="auto" w:fill="FFFFFF"/>
            <w:lang w:val="en-US" w:eastAsia="en-US" w:bidi="ar-SA"/>
          </w:rPr>
          <w:t>Warlow v. Dr. Sadeghi, [2019] B.C.J. No. 517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Iyer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4-8, 12-15,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1,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S126901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[2019] B.C.J. No. 517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2019 BCSC 463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24 B.C.L.R. (6th) 134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54 C.C.L.T. (4th) 229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2019 CarswellBC 732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Elaine Elizabeth Warlow, Plaintiff, and Dr. Ali Sadeghi, Dr. Ali Sadeghi Inc., Dr. Perry Trester, Dr. E. Marks, Dr. Tony David,Drs. John (or Jane) Doe #1, 2, and 3, and Nurses John (or Jane) Roe #1, 2, and 3,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(85 paras.)</w:t>
      </w:r>
    </w:p>
    <w:p>
      <w:pPr>
        <w:jc w:val="both"/>
        <w:rPr>
          <w:rFonts w:ascii="arial" w:eastAsia="arial" w:hAnsi="arial" w:cs="arial"/>
          <w:sz w:val="20"/>
          <w:lang w:val="en-US" w:eastAsia="en-US" w:bidi="ar-SA"/>
        </w:rPr>
      </w:pPr>
      <w:bookmarkStart w:id="256" w:name="Counsel_36"/>
      <w:bookmarkEnd w:id="25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04" style="position:absolute;z-index:2516961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M. Murphy, E. Dvorak, Articled Student.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T. Hinkson, J. Lauwers, K. Soe, Articled Student.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57" w:name="Judgment_36"/>
      <w:bookmarkEnd w:id="257"/>
      <w:r>
        <w:pict>
          <v:line id="_x0000_s1205" style="position:absolute;z-index:25174732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BACKGROUND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Before the surgery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The day of the surgery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 After the surgery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 Impact on Ms. Warlow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 The Trial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 Expert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INFORMED CONSENT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The discussion of risk between Ms. Warlow and Dr. Sadeghi</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B. Should Dr. Sadeghi have disclosed that nerve pain was a possible consequence and that it could be permanent?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 Would an adequately informed reasonable person have consented?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CONCLUSION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3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58" w:name="IYER J."/>
            <w:bookmarkEnd w:id="258"/>
            <w:r>
              <w:rPr>
                <w:rFonts w:ascii="arial" w:eastAsia="arial" w:hAnsi="arial" w:cs="arial"/>
                <w:b/>
                <w:color w:val="000000"/>
                <w:sz w:val="30"/>
                <w:lang w:val="en-US" w:eastAsia="en-US" w:bidi="ar-SA"/>
              </w:rPr>
              <w:t>IYER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I. </w:t>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litigation arises out of oral surgery performed on October 4, 2010, by the defendant, Dr. Ali Sadeghi, on the plaintiff, Elaine Warlow, to remove an impacted wisdom tooth. During the surgery, Dr. Sadeghi injured a nerve in Ms. Warlow's lower right jaw. As a result, she suffered permanent and debilitating nerve pain that has altered virtually every aspect of her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Ms. Warlow sued Dr. Sadeghi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By the time of trial, the dispute between the parties had narrowed significantly. They agreed that Dr. Sadeghi had performed the wisdom tooth extraction to the required standard of care. They also agreed that the nerve injury had had devastating consequences for Ms. Warlow.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central issue relating to liability in this case is whether Dr. Sadeghi obtained informed consent from Ms. Warlow before the surgery. Specifically, did Dr. Sadeghi adequately disclose the risk of facial nerve or neuropathic pain, including that the risk could be permanent, before the surgery? If he did not, would a reasonable person in Ms. Warlow's circumstances who had been adequately informed of the risk have consented to the extraction? To succeed in her claim, Ms. Warlow must prove both that Dr. Sadeghi did not adequately disclose the risk, and that a properly informed reasonable person in Ms. Warlow's circumstances would have decided not to go ahead with the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For the reasons that follow, I find that Dr. Sadeghi did not adequately inform Ms. Warlow of the risk that having her wisdom tooth extracted could result in temporary or permanent nerve pain. However, Dr. Sadeghi was not required to expressly disclose the risk of permanent severe nerve pain because that risk is too remote. Further, I find that a reasonable person in Ms. Warlow's circumstances would have decided to go ahead with the surgery even if the risks had been fully disclosed.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II. </w:t>
      </w:r>
      <w:r>
        <w:rPr>
          <w:rFonts w:ascii="arial" w:eastAsia="arial" w:hAnsi="arial" w:cs="arial"/>
          <w:b/>
          <w:color w:val="000000"/>
          <w:sz w:val="20"/>
          <w:u w:val="single"/>
          <w:lang w:val="en-US" w:eastAsia="en-US" w:bidi="ar-SA"/>
        </w:rPr>
        <w:t>BACKGROUND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Before the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2010, Ms. Warlow was 41 years old, and living in Vancouver. She had training and work experience in the beauty industry, but since 2001, she had primarily worked as a full-time server at Sportstown, a busy restaurant in a Richmond sports complex. She enjoyed her work and was very good at it. She usually worked the busiest shifts, took extra shifts, and also worked part-time at other jobs. She had an active social life and enjoyed the outdoors, the gym, dancing and clubbing with friends.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Ms. Warlow was a generally healthy person. She had undergone medical procedures in the past, including two sinus surgeries and had had other dental work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August 2010, Ms. Warlow successfully applied for a position as a flight attendant with Sunwing Airlines. After completing medical, fitness, and security clearances, she commenced Sunwing's flight attendant training program towards the end of September 2010. The four to five week program is intensive. It is safety focused, including fire, water safety and crash training, as well as weekly written exams. The passing grade is 90%.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Also in September 2010, Ms. Warlow was experiencing a painful toothache and facial swelling in her lower right jaw. She went to her regular dentist, Dr. Gardner, about the problem. Dr. Gardner's clinical notes record that Ms. Warlow came in on September 17, 2010, for an emergency appointment and that he tested the vitality of tooth 46. She went to his office again on September 23. Dr. Gardner's notes for that visit state that the plan was to do restorative work on tooth 46 and tooth 47 (her lower right first and second molars), but that work could not be done because he was unable to freeze the area adequately. Dr. Gardner therefore placed some interim restorative material on those teeth as a temporary solution and told Ms. Warlow to call him if the pain got worse.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Ms. Warlow's recollection was different. She did not remember seeing Dr. Gardner at all on September 17, 2010. She stated firmly that she saw him on September 23, and that this was not a pre-arranged appointment to have fillings done. Rather, she said she made the appointment on the morning of September 23 because she woke up that morning in pain. She agreed that Dr. Gardner could not freeze the area because of the pain she was experiencing and that he told her to call him if the pain got worse.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pain did get worse, but when Ms. Warlow called Dr. Gardner later that day, she was told that he had left the office. Ms. Warlow looked on the internet for emergency dentists and found Dr. Martin. He was able to see her that afternoon. Dr. Martin's clinical notes record that Ms. Warlow had pain and swelling in the gum around tooth 47 and that she had seen her regular dentist earlier that day for restorative work. He recorded that he was unable to probe the area without significant pain, and noted that she appeared to have a gum infection, which he described as a "gingival abscess, possible impacted food". He was unable to do anything because of the amount of pain Ms. Warlow was in. He prescribed antibiotics for the infection and scheduled a follow-up appointment.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Ms. Warlow saw Dr. Martin for the follow-up appointment on September 29, 2010. He took a panoramic x-ray of her mouth ("panorex"). He recorded that the infection was improved, but that the area was still achy. He noted that Ms. Warlow had "8-9 mm pockets" on the distal side of tooth 47. This was a concern as deep gum pockets are prone to infection. Dr. Martin wrote that pericoronitis (inflammation and infection of the gum around a wisdom tooth) was likely. He recommended to Ms. Warlow that she have her lower right impacted wisdom tooth (tooth 48) extracted. He arranged for her to see Dr. David, an oral and maxillofacial surgeon, on October 4, 2010 for a possible extraction.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the week prior to October 4, 2010, Ms. Warlow completed the first week of the Sunwing flight attendant training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Ms. Warlow was told not to eat or drink after midnight the night before the October 4 appointment and to arrange for a ride home if she went ahead with the surgery. She followed those instructions.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The day of the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On October 4, 2010, Ms. Warlow arrived at Dr. David's office and was told that Dr. Sadeghi, another oral and maxillofacial surgeon, was going to see her instead of Dr. David (Dr. Sadeghi and Dr. David practiced together). Dr. Sadeghi met Ms. Warlow, reviewed the forms she had completed when she arrived at the office and discussed the situation with her. He recommended that tooth 48 be extracted. Ms. Warlow agreed and signed a generic consent form for oral surgery. The form stated that "the anticipated nature and effect of the proposed surgery" with intravenous sedation had been explained to Ms. Warlow, and continued: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confirm that I have been informed that as a result of the surgery, I may experience some of the more common post operative symptoms such as: swelling, discomfort, dry socket, or infection. </w:t>
      </w:r>
      <w:r>
        <w:rPr>
          <w:rFonts w:ascii="arial" w:eastAsia="arial" w:hAnsi="arial" w:cs="arial"/>
          <w:color w:val="000000"/>
          <w:sz w:val="20"/>
          <w:u w:val="single"/>
          <w:lang w:val="en-US" w:eastAsia="en-US" w:bidi="ar-SA"/>
        </w:rPr>
        <w:t>I am aware that in some situations there is a risk of temporary and/or permanent numbness or altered sensation of the lower lip, chin, gums or tongue</w:t>
      </w:r>
      <w:r>
        <w:rPr>
          <w:rFonts w:ascii="arial" w:eastAsia="arial" w:hAnsi="arial" w:cs="arial"/>
          <w:color w:val="000000"/>
          <w:sz w:val="20"/>
          <w:lang w:val="en-US" w:eastAsia="en-US" w:bidi="ar-SA"/>
        </w:rPr>
        <w:t>. I am aware that the removal of some upper teeth can result in sinus problems that may require additional treatment. I am also aware that teeth and/or restorations adjacent to the surgical area may require replacement following surgery.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evidence of Dr. Sadeghi and Ms. Warlow differs as to what they discussed prior to the surgery. I will address that in my analysis of informed consent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Dr. Sadeghi performed the surgery and extracted tooth 48. He testified that the amount of bleeding led him to suspect that he had injured the inferior alveolar nerve ("IAN"), which is located close to that tooth.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After Ms. Warlow recovered from the sedation, Dr. Sadeghi met with her and her friend, Katie Richardson, who was driving Ms. Warlow home. He provided her with an after-surgery dental care package and prescriptions for pain and to reduce swelling. He told her he would call her later that day after the anaesthetic had worn 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accounts of Dr. Sadeghi on the one hand, and Ms. Warlow and Ms. Richardson on the other, differ about Dr. Sadeghi's demeanour at this meeting and whether that was when he first told her that he might have injured her IAN. As this evidence does not relate to the issue of informed consent, it is not necessary to address it.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After the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As recorded in his clinical notes, Dr. Sadeghi followed up with Ms. Warlow after the surgery. She experienced continuing numbness in her lip and chin as well as pain. Dr. Sadeghi prescribed various medications but the pain persisted. Ms. Warlow began to experience a burning sensation, electric shocks, and throbbing.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On November 2, 2010, Ms. Warlow had a root canal performed on tooth 47 by Dr. Ashkan Hafezi, to whom she had been referred by Dr. Sadeghi. Dr. Hafezi's records note that Ms. Warlow would be seeing Dr. Gardner for final restorations on tooth 46 and tooth 47.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Thereafter, Ms. Warlow saw a number of specialists, including an oral science specialist and pain specialists, as well as her family doctor, seeking treatment for her persistent and significant face pain. None of the treatments they prescribed helped. In 2011, she was referred to Dr. Christopher Honey, a neurosurgeon with expertise in the neurosurgical treatment of neuropathic pain, including neuropathic face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Dr. Honey first saw Ms. Warlow on March 10, 2011. In his opinion, Ms. Warlow's facial pain was caused by injury to the IAN, a branch of the trigeminal nerve. According to Dr. Honey, this type of neuropathic pain is particularly difficult to treat. He recommended that Ms. Warlow undergo motor cortex stimulation surgery. That procedure involves implanting an electrode in the brain. It is connected to a wire that runs under the skin of the neck to a battery pack implanted under the skin of the chest. An external remote control sends signals to the brain to take away the sensation of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Dr. Honey performed the three-hour surgery. Afterwards, Ms. Warlow underwent extensive testing to find a level of stimulation that would alleviate the pain. However, the device did not help at all. Ms. Warlow also experienced complications following the surgery, including an infection of the incision in her chest. Ultimately, the device was turned off and Dr. Honey operated on Ms. Warlow again in early 2015 to remove it.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 Impact on Ms. Warlow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Following the October 4, 2010 surgery, Ms. Warlow was not able to resume her flight attendant training program. She was able to transfer into a subsequent training class, albeit with lower seniority. Ms. Warlow passed the course and got her "wings" in December 2010. She worked as a flight attendant on two flights, one in December and the other in early January 2011. However the ongoing nerve pain and the side effects of the medications she was prescribed made it impossible for her to continue. She took unpaid sick leave and was not able to return to Sunwing. Ultimately, her employment was terminated on February 1,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Two weeks after the October 4, 2010 surgery, Ms. Warlow resumed working as a server at Sportstown. However, the pain meant that she had to work fewer and shorter shifts: only in the daytime and only two shifts per week. She did not have the same level of energy, and the combination of nerve pain and medication affected her ability to concentrate, her organizational skills, and her tolerance for noise. Both the quality of her work and the income she derived from it were adversely affected.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Ms. Warlow's life changed dramatically in many other respects. Eating was very difficult and she lost a lot of weight. She no longer exercised, went dancing or socialized. She devoted her very limited energy to trying to support herself financially and trying to find treatment to alleviate her pain. Over time, the pain increased, as did Ms. Warlow's social isolation. Ms. Warlow continued to try to work as a server and in other jobs, but could not work for more than a few hours at a time. Her work performance was adversely affected by her nerve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April 2018, Ms. Warlow moved from Vancouver to Victoria because of financial difficulty. She has been unable to find any steady work consistent with the significant limitations imposed by her condition. She continues to look for work in Victoria and earns some money by cleaning homes two or three mornings per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It is no exaggeration to say that Ms. Warlow's life has been devastated by the chronic and unresponsive neuropathic face pain from which she has suffered for over eight years. There is nothing to suggest that her situation will ever change.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Ms. Warlow testified at the trial. She called a number of witnesses who testified about the changes they observed in Ms. Warlow before and after the surgery, as her neuropathic face pain continued and all efforts to alleviate it failed. She also called witnesses who testified about Sunwing's flight attendant training program and employment structure. I accept their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Ms. Warlow called Dr. Sujay Mehta, a general dentist who focuses on oral face pain, and sought to qualify him as an expert on informed consent in dentistry. I agreed with Dr. Sadeghi that, as a general dentist, Dr. Mehta was not qualified to opine on the standard of care, including the standard for informed consent, expected of an expert oral and maxillofacial surgeon. Ms. Warlow tendered no other expert evidence on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At the close of the plaintiff's case, the defendant brought a no evidence motion. I dismissed it on the basis that, even absent expert medical evidence tendered by the plaintiff on the standard of informed consent, the plaintiff had led sufficient evidence to surmount the "no evidence" bar.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Dr. Sadeghi testified on his own behalf. He called no lay witnesses.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 Expert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Dr. Honey was qualified as an expert in surgical treatment of neuropathic face pain. In his opinion, Ms. Warlow's face pain was caused by the injury to her IAN during the October 4, 2010 surgery. He described her prognosis as "chronic, severe facial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Dr. Sadeghi called Dr. Martin Aidelbaum who was qualified as an expert on the standard of care applicable to "an oral and maxillofacial surgeon practicing in British Columbia in 2010, including the risks, benefits and alternatives to surgical extraction of lower wisdom teeth and the disclosure of those matters to patients". Dr. Sadeghi provided Dr. Aidelbaum with extensive background material, including all of Ms. Warlow's relevant medical and dental records, the pleadings, full transcripts of Mr. Warlow's and Dr. Sadeghi's examinations for discovery, and 173 factual assumptions.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Dr. Aidelbaum's report does not identify what parts of those materials he relied upon in forming his opinions, and he was not able to answer questions about that on cross-examination. The portion of Dr. Aidelbaum's report opining on informed consent is skeletal. After reiterating Dr. Sadeghi's notes of his interactions with Ms. Warlow before the surgery, Dr. Aidelbaum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Sadeghi completed an appropriate history, physical examination, diagnostic imaging and review of the risks and benefits of the proposed surgery.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preparation, the assessment, the history and informed consent met the standard of care expected of an Oral and Maxillofacial Surgeon.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Ms. Warlow submits that Dr. Aidelbaum's report should be given minimal weight. I agree. A bald assertion that the standard of care was met is of little assistance to me in determining whether Dr. Sadeghi should have disclosed the risk of permanent nerve pain to Ms. Warlow.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Dr. Aidelbaum acknowledged that injury to the IAN is a known risk associated with extraction of the lower wisdom teeth. Turning to the consequences of such an injury, Dr. Aidelbaum agreed that the academic literature shows that nerve pain can significantly affect a person's life. With respect to permanent disabling nerve pain, Dr. Aidelbaum testified that IAN injury leading to that outcome is extremely uncommon: he said that he has performed some 30,000 wisdom tooth extractions and has never encountered such a consequence or heard of a case other than that of Ms. Warlow. He said that the only other case of permanent debilitating face pain arising from nerve injury that he was aware of was caused by the injection of a local anaesthetic for placement of a crown.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Both parties called experts to quantify damages. In light of the conclusion I have reached, it is not necessary to address that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III. </w:t>
      </w:r>
      <w:r>
        <w:rPr>
          <w:rFonts w:ascii="arial" w:eastAsia="arial" w:hAnsi="arial" w:cs="arial"/>
          <w:b/>
          <w:color w:val="000000"/>
          <w:sz w:val="20"/>
          <w:u w:val="single"/>
          <w:lang w:val="en-US" w:eastAsia="en-US" w:bidi="ar-SA"/>
        </w:rPr>
        <w:t>INFORMED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Since 1980, the Supreme Court of Canada has affirmed that the law of informed consent protects the patient's right to know and requires a high standard of disclosure: see </w:t>
      </w:r>
      <w:r>
        <w:rPr>
          <w:rFonts w:ascii="arial" w:eastAsia="arial" w:hAnsi="arial" w:cs="arial"/>
          <w:i/>
          <w:color w:val="000000"/>
          <w:sz w:val="20"/>
          <w:lang w:val="en-US" w:eastAsia="en-US" w:bidi="ar-SA"/>
        </w:rPr>
        <w:t>Reibl v. Hughes</w:t>
      </w:r>
      <w:r>
        <w:rPr>
          <w:rFonts w:ascii="arial" w:eastAsia="arial" w:hAnsi="arial" w:cs="arial"/>
          <w:color w:val="000000"/>
          <w:sz w:val="20"/>
          <w:lang w:val="en-US" w:eastAsia="en-US" w:bidi="ar-SA"/>
        </w:rPr>
        <w:t xml:space="preserve">, </w:t>
      </w:r>
      <w:hyperlink r:id="rId265" w:history="1">
        <w:r>
          <w:rPr>
            <w:rFonts w:ascii="arial" w:eastAsia="arial" w:hAnsi="arial" w:cs="arial"/>
            <w:i/>
            <w:color w:val="0077CC"/>
            <w:sz w:val="20"/>
            <w:u w:val="single"/>
            <w:shd w:val="clear" w:color="auto" w:fill="FFFFFF"/>
            <w:lang w:val="en-US" w:eastAsia="en-US" w:bidi="ar-SA"/>
          </w:rPr>
          <w:t>[1980] 2 S.C.R. 880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Hopp v. Lepp</w:t>
      </w:r>
      <w:r>
        <w:rPr>
          <w:rFonts w:ascii="arial" w:eastAsia="arial" w:hAnsi="arial" w:cs="arial"/>
          <w:color w:val="000000"/>
          <w:sz w:val="20"/>
          <w:lang w:val="en-US" w:eastAsia="en-US" w:bidi="ar-SA"/>
        </w:rPr>
        <w:t xml:space="preserve">, </w:t>
      </w:r>
      <w:hyperlink r:id="rId264" w:history="1">
        <w:r>
          <w:rPr>
            <w:rFonts w:ascii="arial" w:eastAsia="arial" w:hAnsi="arial" w:cs="arial"/>
            <w:i/>
            <w:color w:val="0077CC"/>
            <w:sz w:val="20"/>
            <w:u w:val="single"/>
            <w:shd w:val="clear" w:color="auto" w:fill="FFFFFF"/>
            <w:lang w:val="en-US" w:eastAsia="en-US" w:bidi="ar-SA"/>
          </w:rPr>
          <w:t>[1980] 2 S.C.R. 192</w:t>
        </w:r>
      </w:hyperlink>
      <w:r>
        <w:rPr>
          <w:rFonts w:ascii="arial" w:eastAsia="arial" w:hAnsi="arial" w:cs="arial"/>
          <w:color w:val="000000"/>
          <w:sz w:val="20"/>
          <w:lang w:val="en-US" w:eastAsia="en-US" w:bidi="ar-SA"/>
        </w:rPr>
        <w:t xml:space="preserve">. In other words, the paternalistic approach, under which the professional was considered to be best placed to decide what treatment is in the patient's best interest, has been rejected in favour of a patient-centred approach: </w:t>
      </w:r>
      <w:r>
        <w:rPr>
          <w:rFonts w:ascii="arial" w:eastAsia="arial" w:hAnsi="arial" w:cs="arial"/>
          <w:i/>
          <w:color w:val="000000"/>
          <w:sz w:val="20"/>
          <w:lang w:val="en-US" w:eastAsia="en-US" w:bidi="ar-SA"/>
        </w:rPr>
        <w:t>Arndt v. Smith</w:t>
      </w:r>
      <w:r>
        <w:rPr>
          <w:rFonts w:ascii="arial" w:eastAsia="arial" w:hAnsi="arial" w:cs="arial"/>
          <w:color w:val="000000"/>
          <w:sz w:val="20"/>
          <w:lang w:val="en-US" w:eastAsia="en-US" w:bidi="ar-SA"/>
        </w:rPr>
        <w:t xml:space="preserve">, </w:t>
      </w:r>
      <w:hyperlink r:id="rId268" w:history="1">
        <w:r>
          <w:rPr>
            <w:rFonts w:ascii="arial" w:eastAsia="arial" w:hAnsi="arial" w:cs="arial"/>
            <w:i/>
            <w:color w:val="0077CC"/>
            <w:sz w:val="20"/>
            <w:u w:val="single"/>
            <w:shd w:val="clear" w:color="auto" w:fill="FFFFFF"/>
            <w:lang w:val="en-US" w:eastAsia="en-US" w:bidi="ar-SA"/>
          </w:rPr>
          <w:t>[1997] 2 S.C.R. 539</w:t>
        </w:r>
      </w:hyperlink>
      <w:r>
        <w:rPr>
          <w:rFonts w:ascii="arial" w:eastAsia="arial" w:hAnsi="arial" w:cs="arial"/>
          <w:color w:val="000000"/>
          <w:sz w:val="20"/>
          <w:lang w:val="en-US" w:eastAsia="en-US" w:bidi="ar-SA"/>
        </w:rPr>
        <w:t xml:space="preserve"> at 553.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Chen v. Ross</w:t>
      </w:r>
      <w:r>
        <w:rPr>
          <w:rFonts w:ascii="arial" w:eastAsia="arial" w:hAnsi="arial" w:cs="arial"/>
          <w:color w:val="000000"/>
          <w:sz w:val="20"/>
          <w:lang w:val="en-US" w:eastAsia="en-US" w:bidi="ar-SA"/>
        </w:rPr>
        <w:t xml:space="preserve">, </w:t>
      </w:r>
      <w:hyperlink r:id="rId912" w:history="1">
        <w:r>
          <w:rPr>
            <w:rFonts w:ascii="arial" w:eastAsia="arial" w:hAnsi="arial" w:cs="arial"/>
            <w:i/>
            <w:color w:val="0077CC"/>
            <w:sz w:val="20"/>
            <w:u w:val="single"/>
            <w:shd w:val="clear" w:color="auto" w:fill="FFFFFF"/>
            <w:lang w:val="en-US" w:eastAsia="en-US" w:bidi="ar-SA"/>
          </w:rPr>
          <w:t>2014 BCSC 374</w:t>
        </w:r>
      </w:hyperlink>
      <w:r>
        <w:rPr>
          <w:rFonts w:ascii="arial" w:eastAsia="arial" w:hAnsi="arial" w:cs="arial"/>
          <w:color w:val="000000"/>
          <w:sz w:val="20"/>
          <w:lang w:val="en-US" w:eastAsia="en-US" w:bidi="ar-SA"/>
        </w:rPr>
        <w:t xml:space="preserve">, aff'd </w:t>
      </w:r>
      <w:hyperlink r:id="rId913" w:history="1">
        <w:r>
          <w:rPr>
            <w:rFonts w:ascii="arial" w:eastAsia="arial" w:hAnsi="arial" w:cs="arial"/>
            <w:i/>
            <w:color w:val="0077CC"/>
            <w:sz w:val="20"/>
            <w:u w:val="single"/>
            <w:shd w:val="clear" w:color="auto" w:fill="FFFFFF"/>
            <w:lang w:val="en-US" w:eastAsia="en-US" w:bidi="ar-SA"/>
          </w:rPr>
          <w:t>2015 BCCA 250</w:t>
        </w:r>
      </w:hyperlink>
      <w:r>
        <w:rPr>
          <w:rFonts w:ascii="arial" w:eastAsia="arial" w:hAnsi="arial" w:cs="arial"/>
          <w:color w:val="000000"/>
          <w:sz w:val="20"/>
          <w:lang w:val="en-US" w:eastAsia="en-US" w:bidi="ar-SA"/>
        </w:rPr>
        <w:t>, Justice Ballance explained what a health professional must disclose in order to ensure the patient has provided informed consent. She emphasized at paras. 303-304 that even remote risks that carry very serious consequences must be disclosed: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[303] Before obtaining a patient's consent and implementing a course of treatment, the doctor must disclose to the patient the nature of the proposed treatment, its gravity, and any associated material, special and unusual risks that a reasonable person in the patient's shoes would want to know: </w:t>
      </w:r>
      <w:r>
        <w:rPr>
          <w:rFonts w:ascii="arial" w:eastAsia="arial" w:hAnsi="arial" w:cs="arial"/>
          <w:i/>
          <w:color w:val="000000"/>
          <w:sz w:val="20"/>
          <w:lang w:val="en-US" w:eastAsia="en-US" w:bidi="ar-SA"/>
        </w:rPr>
        <w:t>Reibl</w:t>
      </w:r>
      <w:r>
        <w:rPr>
          <w:rFonts w:ascii="arial" w:eastAsia="arial" w:hAnsi="arial" w:cs="arial"/>
          <w:color w:val="000000"/>
          <w:sz w:val="20"/>
          <w:lang w:val="en-US" w:eastAsia="en-US" w:bidi="ar-SA"/>
        </w:rPr>
        <w:t xml:space="preserve">. In addition to informing the patient about the frequency or statistical chance of a material or special risk arising, the physician must also explain the nature and severity of the injury that could ensue: </w:t>
      </w:r>
      <w:r>
        <w:rPr>
          <w:rFonts w:ascii="arial" w:eastAsia="arial" w:hAnsi="arial" w:cs="arial"/>
          <w:i/>
          <w:color w:val="000000"/>
          <w:sz w:val="20"/>
          <w:lang w:val="en-US" w:eastAsia="en-US" w:bidi="ar-SA"/>
        </w:rPr>
        <w:t>Brock v. Anderson</w:t>
      </w:r>
      <w:r>
        <w:rPr>
          <w:rFonts w:ascii="arial" w:eastAsia="arial" w:hAnsi="arial" w:cs="arial"/>
          <w:color w:val="000000"/>
          <w:sz w:val="20"/>
          <w:lang w:val="en-US" w:eastAsia="en-US" w:bidi="ar-SA"/>
        </w:rPr>
        <w:t xml:space="preserve">, </w:t>
      </w:r>
      <w:hyperlink r:id="rId914" w:history="1">
        <w:r>
          <w:rPr>
            <w:rFonts w:ascii="arial" w:eastAsia="arial" w:hAnsi="arial" w:cs="arial"/>
            <w:i/>
            <w:color w:val="0077CC"/>
            <w:sz w:val="20"/>
            <w:u w:val="single"/>
            <w:shd w:val="clear" w:color="auto" w:fill="FFFFFF"/>
            <w:lang w:val="en-US" w:eastAsia="en-US" w:bidi="ar-SA"/>
          </w:rPr>
          <w:t>2003 BCSC 1359</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[304] In the aftermath of </w:t>
      </w:r>
      <w:r>
        <w:rPr>
          <w:rFonts w:ascii="arial" w:eastAsia="arial" w:hAnsi="arial" w:cs="arial"/>
          <w:i/>
          <w:color w:val="000000"/>
          <w:sz w:val="20"/>
          <w:lang w:val="en-US" w:eastAsia="en-US" w:bidi="ar-SA"/>
        </w:rPr>
        <w:t>Reibl</w:t>
      </w:r>
      <w:r>
        <w:rPr>
          <w:rFonts w:ascii="arial" w:eastAsia="arial" w:hAnsi="arial" w:cs="arial"/>
          <w:color w:val="000000"/>
          <w:sz w:val="20"/>
          <w:lang w:val="en-US" w:eastAsia="en-US" w:bidi="ar-SA"/>
        </w:rPr>
        <w:t xml:space="preserve">, the courts have taken an expansive approach in characterizing risks that carry serious consequences as constituting material risks. In the result, the duty to disclose necessitates informing a patient of even a statistically remote risk where the potential consequences of it are sufficiently serious that a reasonable patient would likely consider it to be significant: </w:t>
      </w:r>
      <w:r>
        <w:rPr>
          <w:rFonts w:ascii="arial" w:eastAsia="arial" w:hAnsi="arial" w:cs="arial"/>
          <w:i/>
          <w:color w:val="000000"/>
          <w:sz w:val="20"/>
          <w:lang w:val="en-US" w:eastAsia="en-US" w:bidi="ar-SA"/>
        </w:rPr>
        <w:t>Brito (Guardian ad litem of) v. Woolley</w:t>
      </w:r>
      <w:r>
        <w:rPr>
          <w:rFonts w:ascii="arial" w:eastAsia="arial" w:hAnsi="arial" w:cs="arial"/>
          <w:color w:val="000000"/>
          <w:sz w:val="20"/>
          <w:lang w:val="en-US" w:eastAsia="en-US" w:bidi="ar-SA"/>
        </w:rPr>
        <w:t xml:space="preserve">, </w:t>
      </w:r>
      <w:hyperlink r:id="rId273" w:history="1">
        <w:r>
          <w:rPr>
            <w:rFonts w:ascii="arial" w:eastAsia="arial" w:hAnsi="arial" w:cs="arial"/>
            <w:i/>
            <w:color w:val="0077CC"/>
            <w:sz w:val="20"/>
            <w:u w:val="single"/>
            <w:shd w:val="clear" w:color="auto" w:fill="FFFFFF"/>
            <w:lang w:val="en-US" w:eastAsia="en-US" w:bidi="ar-SA"/>
          </w:rPr>
          <w:t>2003 BCCA 397</w:t>
        </w:r>
      </w:hyperlink>
      <w:r>
        <w:rPr>
          <w:rFonts w:ascii="arial" w:eastAsia="arial" w:hAnsi="arial" w:cs="arial"/>
          <w:color w:val="000000"/>
          <w:sz w:val="20"/>
          <w:lang w:val="en-US" w:eastAsia="en-US" w:bidi="ar-SA"/>
        </w:rPr>
        <w:t xml:space="preserve">, leave to appeal to S.C.C. refused, </w:t>
      </w:r>
      <w:hyperlink r:id="rId915" w:history="1">
        <w:r>
          <w:rPr>
            <w:rFonts w:ascii="arial" w:eastAsia="arial" w:hAnsi="arial" w:cs="arial"/>
            <w:i/>
            <w:color w:val="0077CC"/>
            <w:sz w:val="20"/>
            <w:u w:val="single"/>
            <w:shd w:val="clear" w:color="auto" w:fill="FFFFFF"/>
            <w:lang w:val="en-US" w:eastAsia="en-US" w:bidi="ar-SA"/>
          </w:rPr>
          <w:t>[2003] S.C.C.A. No. 418</w:t>
        </w:r>
      </w:hyperlink>
      <w:r>
        <w:rPr>
          <w:rFonts w:ascii="arial" w:eastAsia="arial" w:hAnsi="arial" w:cs="arial"/>
          <w:color w:val="000000"/>
          <w:sz w:val="20"/>
          <w:lang w:val="en-US" w:eastAsia="en-US" w:bidi="ar-SA"/>
        </w:rPr>
        <w:t>, 2004 CarswellBC 880 (S.C.C.).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This does not include every conceivable risk. Risks that are not reasonably foreseeable need not be disclosed: Lewis N. Klar et al., </w:t>
      </w:r>
      <w:r>
        <w:rPr>
          <w:rFonts w:ascii="arial" w:eastAsia="arial" w:hAnsi="arial" w:cs="arial"/>
          <w:i/>
          <w:color w:val="000000"/>
          <w:sz w:val="20"/>
          <w:lang w:val="en-US" w:eastAsia="en-US" w:bidi="ar-SA"/>
        </w:rPr>
        <w:t>Remedies in Tort</w:t>
      </w:r>
      <w:r>
        <w:rPr>
          <w:rFonts w:ascii="arial" w:eastAsia="arial" w:hAnsi="arial" w:cs="arial"/>
          <w:color w:val="000000"/>
          <w:sz w:val="20"/>
          <w:lang w:val="en-US" w:eastAsia="en-US" w:bidi="ar-SA"/>
        </w:rPr>
        <w:t xml:space="preserve"> (Toronto: Thomson Reuters, 2018) (loose-leaf updated 2018, release 6), vol. 2, c. 1, part III at para. 144. The fact that a risk subsequently materializes does not prove that it should have been disclosed. Equally, the fact that it is standard professional practice not to disclose a particular risk does not mean that disclosure is not required: </w:t>
      </w:r>
      <w:r>
        <w:rPr>
          <w:rFonts w:ascii="arial" w:eastAsia="arial" w:hAnsi="arial" w:cs="arial"/>
          <w:i/>
          <w:color w:val="000000"/>
          <w:sz w:val="20"/>
          <w:lang w:val="en-US" w:eastAsia="en-US" w:bidi="ar-SA"/>
        </w:rPr>
        <w:t>Ediger (Guardian ad litem of) v. Johnston</w:t>
      </w:r>
      <w:r>
        <w:rPr>
          <w:rFonts w:ascii="arial" w:eastAsia="arial" w:hAnsi="arial" w:cs="arial"/>
          <w:color w:val="000000"/>
          <w:sz w:val="20"/>
          <w:lang w:val="en-US" w:eastAsia="en-US" w:bidi="ar-SA"/>
        </w:rPr>
        <w:t xml:space="preserve">, </w:t>
      </w:r>
      <w:hyperlink r:id="rId297" w:history="1">
        <w:r>
          <w:rPr>
            <w:rFonts w:ascii="arial" w:eastAsia="arial" w:hAnsi="arial" w:cs="arial"/>
            <w:i/>
            <w:color w:val="0077CC"/>
            <w:sz w:val="20"/>
            <w:u w:val="single"/>
            <w:shd w:val="clear" w:color="auto" w:fill="FFFFFF"/>
            <w:lang w:val="en-US" w:eastAsia="en-US" w:bidi="ar-SA"/>
          </w:rPr>
          <w:t>2009 BCSC 386</w:t>
        </w:r>
      </w:hyperlink>
      <w:r>
        <w:rPr>
          <w:rFonts w:ascii="arial" w:eastAsia="arial" w:hAnsi="arial" w:cs="arial"/>
          <w:color w:val="000000"/>
          <w:sz w:val="20"/>
          <w:lang w:val="en-US" w:eastAsia="en-US" w:bidi="ar-SA"/>
        </w:rPr>
        <w:t xml:space="preserve"> at paras. 148-155.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Inadequate disclosure is therefore the first element a plaintiff must establish on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based on an alleged lack of informed consent. In addressing this element, the court must consider what risks had to be disclosed and whether they were adequately disclosed.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Even if the plaintiff establishes that a risk that was not disclosed (or not adequately disclosed) ought to have been disclosed, the plaintiff must prove a second element to establish lack of informed consent. He or she must also show that adequate disclosure would have made a difference -- that is, knowing the undisclosed risk would have caused him or her to decline the proposed treatment. The courts have adopted a "modified objective test" to answer this question. The court must decide whether a reasonable person in the plaintiff's shoes, "being the average prudent person who possesses the plaintiff's reasonable beliefs, fears, desires and expectations," would have withheld consent if the risks had been adequately disclosed: </w:t>
      </w:r>
      <w:r>
        <w:rPr>
          <w:rFonts w:ascii="arial" w:eastAsia="arial" w:hAnsi="arial" w:cs="arial"/>
          <w:i/>
          <w:color w:val="000000"/>
          <w:sz w:val="20"/>
          <w:lang w:val="en-US" w:eastAsia="en-US" w:bidi="ar-SA"/>
        </w:rPr>
        <w:t>Arndt</w:t>
      </w:r>
      <w:r>
        <w:rPr>
          <w:rFonts w:ascii="arial" w:eastAsia="arial" w:hAnsi="arial" w:cs="arial"/>
          <w:color w:val="000000"/>
          <w:sz w:val="20"/>
          <w:lang w:val="en-US" w:eastAsia="en-US" w:bidi="ar-SA"/>
        </w:rPr>
        <w:t xml:space="preserve"> at 544; </w:t>
      </w:r>
      <w:r>
        <w:rPr>
          <w:rFonts w:ascii="arial" w:eastAsia="arial" w:hAnsi="arial" w:cs="arial"/>
          <w:i/>
          <w:color w:val="000000"/>
          <w:sz w:val="20"/>
          <w:lang w:val="en-US" w:eastAsia="en-US" w:bidi="ar-SA"/>
        </w:rPr>
        <w:t>Chen</w:t>
      </w:r>
      <w:r>
        <w:rPr>
          <w:rFonts w:ascii="arial" w:eastAsia="arial" w:hAnsi="arial" w:cs="arial"/>
          <w:color w:val="000000"/>
          <w:sz w:val="20"/>
          <w:lang w:val="en-US" w:eastAsia="en-US" w:bidi="ar-SA"/>
        </w:rPr>
        <w:t xml:space="preserve"> at para. 307. This is a highly fact-based inquiry. Any questions the plaintiff asks during the informed consent discussion will be relevant, as will the plaintiff's own testimony about how adequate disclosure would have affected his or her decision: </w:t>
      </w:r>
      <w:r>
        <w:rPr>
          <w:rFonts w:ascii="arial" w:eastAsia="arial" w:hAnsi="arial" w:cs="arial"/>
          <w:i/>
          <w:color w:val="000000"/>
          <w:sz w:val="20"/>
          <w:lang w:val="en-US" w:eastAsia="en-US" w:bidi="ar-SA"/>
        </w:rPr>
        <w:t>Arndt</w:t>
      </w:r>
      <w:r>
        <w:rPr>
          <w:rFonts w:ascii="arial" w:eastAsia="arial" w:hAnsi="arial" w:cs="arial"/>
          <w:color w:val="000000"/>
          <w:sz w:val="20"/>
          <w:lang w:val="en-US" w:eastAsia="en-US" w:bidi="ar-SA"/>
        </w:rPr>
        <w:t xml:space="preserve"> at 550.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In summary, to establish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based on a lack of informed consent, a plaintiff must prove each of the following elements on a balance of probabilities:</w:t>
      </w:r>
      <w:r>
        <w:rPr>
          <w:rFonts w:ascii="arial" w:eastAsia="arial" w:hAnsi="arial" w:cs="arial"/>
          <w:sz w:val="20"/>
          <w:lang w:val="en-US" w:eastAsia="en-US" w:bidi="ar-SA"/>
        </w:rPr>
        <w:cr/>
      </w:r>
    </w:p>
    <w:p>
      <w:pPr>
        <w:numPr>
          <w:numId w:val="1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risk that should have been disclosed to the plaintiff was not disclosed or not adequately disclosed in advance of the procedure; and</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reasonable person in the plaintiff's circumstances would not have consented to the procedure if properly advised of that risk.</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The discussion of risk between Ms. Warlow and Dr. Sadeghi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Ms. Warlow and Dr. Sadeghi agree that Dr. Sadeghi reviewed with her the forms she had completed, conducted a facial examination, and showed her the panorex, pointing out how tooth 48 had rotated close to tooth 47 and also indicating the location of her IAN canal. He recommended that Ms. Warlow agree to have tooth 48 extracted that day. Both say that Ms. Warlow read and signed the standard consent form that Dr. Sadeghi gave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Ms. Warlow's recollection was that the conversation lasted only a few minutes and that Dr. Sadeghi did not discuss with her any alternatives other than extraction of tooth 48. He told her that the tooth should have "come out 20 years ago." She testified that she asked Dr. Sadeghi expressly about whether there was any alternative to extracting tooth 48 and that he responded that it "had to come out today." She agreed that she did not ask any other questions about risks or consequences of the proposed procedure and that she followed Dr. Sadeghi's recommendation because she trusted his professional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With respect to the disclosure of risks, Ms. Warlow agreed that Dr. Sadeghi told her about the possibility of nerve damage, but described it as "pins and needles" and "tingling", and that he did not tell her it could be permanent. She also stated that Dr. Sadeghi did not take an additional x-ray until after the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Dr. Sadeghi's chart notes reflect that he took a periapical x-ray before the surgery to determine whether tooth 47 was healthy. As that image depicts tooth 48 as well as tooth 47, I accept that it was taken prior to the extraction. Ms. Warlow is mistaken in this aspect of her recollection.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Dr. Sadeghi's chart notes of his discussion with Ms. Warlow state: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Patient informed infection [secondary] #47 and not related to #48 but all risks, benefits, alternatives of surgery including but not limited to numbness lip/chin/tongue (temp vs. permanent) infection, dry socket, pain, bleeding discussed and consented.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Dr. Sadeghi testified that this chart note contains his usual short form wording summarizing his standard informed consent discussion with a patient regarding the extraction of a lower wisdom tooth. He explained that, following his standard practice, he would have discussed two alternatives to extracting tooth 48 with Ms. Warlow: extracting tooth 47 instead, or leaving things as they were. He said he would have described to her the risks associated with both alternatives. He gave evidence of those risks.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Dr. Sadeghi said that he told Ms. Warlow that extracting tooth 47 would mean removing a functional molar, leaving the corresponding molar in her upper jaw without a complement and rendering it dysfunctional. Alternatively, leaving things as they were created the risk that acute infection, like the one that had originally sent Ms. Warlow to Dr. Gardner and Dr. Martin, could recur. Dr. Sadeghi said he told Ms. Warlow that if the infection recurred, it would necessitate further antibiotic use and a risk of antibiotics becoming ineffective. He said that a subsequent infection could also spread to the jaw and neck, and might lead to hospitalization and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Dr. Sadeghi said that he described to Ms. Warlow the consequences of injuring her IAN when extracting tooth #48 as altered sensation, including pins and needles and numbness, which could be temporary or permanent. He said that he would have told Ms. Warlow that the chance of injuring her IAN was 1.5-2%, as it is his standard practice to quantify risks as percentages.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Based on the times noted in the chart, Dr. Sadeghi estimated that it would have taken 15-20 minutes to meet with Ms. Warlow, take the periapical x-ray, do the facial examination, review the x-rays, and discuss the risks and alternatives with her. Although challenged on cross-examination, he was consistent in that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Dr. Sadeghi conceded that in describing the risk of nerve injury associated with the extraction of tooth 48, he did not tell Ms. Warlow that there was any risk of "permanent nerve pain" or "permanent neuropathic pain." He said that "pins and needles" is the standard way of describing neuropathic pain to lay persons. He explained that he does not inform patients of the risk of permanent neuropathic pain because it is so remote. He said he has seen no studies that quantify this particular risk, and that he has never encountered a case of permanent neuropathic pain resulting from an IAN injury. He said that it was not worth increasing a patient's anxiety about a surgery by disclosing such an unlikely possibility.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Dr. Sadeghi agreed on cross-examination that he was aware that IAN injury can have life-changing effects, but stated that he was unaware that such an injury could be as severe and unresponsive to treatment as the pain experienced by Ms. Warlow.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Both Ms. Warlow and Dr. Sadeghi were credible witnesses. My assessment of the relative reliability of their evidence on this point in no way suggests that one is more truthful than the other. It is clear that both answered the questions put to them as honestly and comprehensively as they could.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I find that Dr. Sadeghi's evidence of what he discussed with Ms. Warlow prior to the surgery is more reliable than her account and, to the extent that they conflict, I prefer his. This is for three reasons. First, Dr. Sadeghi had a standard practice for discussing risks of various surgeries. At the time he operated on Ms. Warlow, he had performed some 5,000 wisdom tooth extractions. Although I agree with Ms. Warlow that his evidence expanding on his chart notes may well reflect his recollection of his standard practice rather than his recollection of the conversation he had with her on October 4, 2010, there is no evidence to suggest that he would have deviated from that practice when speaking with Ms. Warlow that day. In </w:t>
      </w:r>
      <w:r>
        <w:rPr>
          <w:rFonts w:ascii="arial" w:eastAsia="arial" w:hAnsi="arial" w:cs="arial"/>
          <w:i/>
          <w:color w:val="000000"/>
          <w:sz w:val="20"/>
          <w:lang w:val="en-US" w:eastAsia="en-US" w:bidi="ar-SA"/>
        </w:rPr>
        <w:t>Belknap v. Meakes</w:t>
      </w:r>
      <w:r>
        <w:rPr>
          <w:rFonts w:ascii="arial" w:eastAsia="arial" w:hAnsi="arial" w:cs="arial"/>
          <w:color w:val="000000"/>
          <w:sz w:val="20"/>
          <w:lang w:val="en-US" w:eastAsia="en-US" w:bidi="ar-SA"/>
        </w:rPr>
        <w:t xml:space="preserve">, </w:t>
      </w:r>
      <w:hyperlink r:id="rId916" w:history="1">
        <w:r>
          <w:rPr>
            <w:rFonts w:ascii="arial" w:eastAsia="arial" w:hAnsi="arial" w:cs="arial"/>
            <w:i/>
            <w:color w:val="0077CC"/>
            <w:sz w:val="20"/>
            <w:u w:val="single"/>
            <w:shd w:val="clear" w:color="auto" w:fill="FFFFFF"/>
            <w:lang w:val="en-US" w:eastAsia="en-US" w:bidi="ar-SA"/>
          </w:rPr>
          <w:t>[1989] B.C.J. No. 2187</w:t>
        </w:r>
      </w:hyperlink>
      <w:r>
        <w:rPr>
          <w:rFonts w:ascii="arial" w:eastAsia="arial" w:hAnsi="arial" w:cs="arial"/>
          <w:color w:val="000000"/>
          <w:sz w:val="20"/>
          <w:lang w:val="en-US" w:eastAsia="en-US" w:bidi="ar-SA"/>
        </w:rPr>
        <w:t xml:space="preserve"> (C.A.), the Court of Appeal accepted at paras. 39-40 that a court can make findings of fact about a professional's conduct on a particular day by relying on evidence of the professional's standard 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Second, Ms. Warlow's recollection on certain points is inconsistent with the documentary evidence. She had no recollection of having seen Dr. Gardner on September 17, 2010 for an emergency appointment and was certain that this was the reason she saw him on September 23. This is contrary to Dr. Gardner's clinical records. It is very likely that Ms. Warlow is remembering two appointments as one. Ms. Warlow was also mistaken in her recollection of when the periapical x-ray was taken.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Third, prior to October 4, 2010, Ms. Warlow had been experiencing considerable pain in her mouth, which continued after the surgery. She acknowledged that she has experienced memory problems due to the pain and pain medications.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 conclude that it is more likely than not that Dr. Sadeghi did discuss alternatives to the extraction of tooth 48 with Ms. Warlow, including the risks associated with them. He told her that extracting tooth 48 included a risk of "temporary or permanent nerve injury", which he described as altered sensation, pins and needles and/or numbness. He did not tell her that there was any risk of neuropathic or nerve "pain," and, beyond this general description, he did not expressly identify that permanent nerve pain was a possible consequence of the surgery. I accept that the disclosure of this information likely felt rushed to Ms. Warlow, as she was hearing it for the first time, whereas for Dr. Sadeghi it was standard and unremarkable information.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Should Dr. Sadeghi have disclosed that nerve pain was a possible consequence and that it could be permanent?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Ms. Warlow's position on what Dr. Sadeghi ought to have told her about the potential consequences of nerve injury is not entirely clear. At the outset of her submissions on this issue, Ms. Warlow submitted that Dr. Sadeghi ought to have disclosed the risk of "neuropathic pain", instead of describing that damage to the IAN could cause "pins and needles". However, later in her written submissions, Ms. Warlow suggests that Dr. Sadeghi was required to disclose expressly the risk of permanent nerve pain: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Dr. Sadeghi testifies that his discussion of "pins and needles" was meant to encompass neuropathic pain. Ms. Warlow submits that the case authorities are clear that such a limited description does not amount to </w:t>
      </w:r>
      <w:r>
        <w:rPr>
          <w:rFonts w:ascii="arial" w:eastAsia="arial" w:hAnsi="arial" w:cs="arial"/>
          <w:i/>
          <w:color w:val="000000"/>
          <w:sz w:val="20"/>
          <w:lang w:val="en-US" w:eastAsia="en-US" w:bidi="ar-SA"/>
        </w:rPr>
        <w:t>adequate</w:t>
      </w:r>
      <w:r>
        <w:rPr>
          <w:rFonts w:ascii="arial" w:eastAsia="arial" w:hAnsi="arial" w:cs="arial"/>
          <w:color w:val="000000"/>
          <w:sz w:val="20"/>
          <w:lang w:val="en-US" w:eastAsia="en-US" w:bidi="ar-SA"/>
        </w:rPr>
        <w:t xml:space="preserve"> informed consent. For a lay person to hear "pins and needles" does not prepare or inform them of the risk of severe, debilitating, chronic neuropathic pain.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It is therefore necessary to consider both whether Dr. Sadeghi was required to include "pain" in his description of the possible consequences of nerve injury and also whether he was required to address the risk of permanent nerve pain more thoroughly than just saying that any consequences of nerve injury could be temporary or permanent.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Rawlings v. Lindsay</w:t>
      </w:r>
      <w:r>
        <w:rPr>
          <w:rFonts w:ascii="arial" w:eastAsia="arial" w:hAnsi="arial" w:cs="arial"/>
          <w:color w:val="000000"/>
          <w:sz w:val="20"/>
          <w:lang w:val="en-US" w:eastAsia="en-US" w:bidi="ar-SA"/>
        </w:rPr>
        <w:t xml:space="preserve">, </w:t>
      </w:r>
      <w:hyperlink r:id="rId269" w:history="1">
        <w:r>
          <w:rPr>
            <w:rFonts w:ascii="arial" w:eastAsia="arial" w:hAnsi="arial" w:cs="arial"/>
            <w:i/>
            <w:color w:val="0077CC"/>
            <w:sz w:val="20"/>
            <w:u w:val="single"/>
            <w:shd w:val="clear" w:color="auto" w:fill="FFFFFF"/>
            <w:lang w:val="en-US" w:eastAsia="en-US" w:bidi="ar-SA"/>
          </w:rPr>
          <w:t>[1982] B.C.J. No. 209</w:t>
        </w:r>
      </w:hyperlink>
      <w:r>
        <w:rPr>
          <w:rFonts w:ascii="arial" w:eastAsia="arial" w:hAnsi="arial" w:cs="arial"/>
          <w:color w:val="000000"/>
          <w:sz w:val="20"/>
          <w:lang w:val="en-US" w:eastAsia="en-US" w:bidi="ar-SA"/>
        </w:rPr>
        <w:t xml:space="preserve"> (S.C.), Justice McLachlin (as she then was) found that the defendant oral surgeon knew that that 5-10% of patients whose x-rays show roots extending near the mandibular nerve canal will suffer "nerve involvement" when the wisdom tooth is extracted. Dr. Lindsay knew that in most cases, these consequences are temporary, but occasionally they are permanent, and he had seen three or four such cases over his years of practice (at para. 9). Dr. Lindsay told Ms. Rawlings that there was a 10% risk of "numbness", but he did not say that it could persist for weeks or months or could even be permanent.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Importantly, McLachlin J. found at para. 8 that, despite Dr. Lindsay's mention of numbness, Ms. Rawlings "left his office January 9th under the impression that there was no significant possibility of any serious or permanent injury associated with the operation."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McLachlin J. concluded that Dr. Lindsay's failure to expressly advise Ms. Rawlings about the duration of symptoms associated with nerve damage, including the remote possibility that the damage might be permanent, meant that he had not satisfied his legal obligation to adequately disclose the risks of the procedure. </w:t>
      </w:r>
      <w:r>
        <w:rPr>
          <w:rFonts w:ascii="arial" w:eastAsia="arial" w:hAnsi="arial" w:cs="arial"/>
          <w:i/>
          <w:color w:val="000000"/>
          <w:sz w:val="20"/>
          <w:lang w:val="en-US" w:eastAsia="en-US" w:bidi="ar-SA"/>
        </w:rPr>
        <w:t>Rawlings</w:t>
      </w:r>
      <w:r>
        <w:rPr>
          <w:rFonts w:ascii="arial" w:eastAsia="arial" w:hAnsi="arial" w:cs="arial"/>
          <w:color w:val="000000"/>
          <w:sz w:val="20"/>
          <w:lang w:val="en-US" w:eastAsia="en-US" w:bidi="ar-SA"/>
        </w:rPr>
        <w:t xml:space="preserve"> was cited with approval by the Court of Appeal in </w:t>
      </w:r>
      <w:r>
        <w:rPr>
          <w:rFonts w:ascii="arial" w:eastAsia="arial" w:hAnsi="arial" w:cs="arial"/>
          <w:i/>
          <w:color w:val="000000"/>
          <w:sz w:val="20"/>
          <w:lang w:val="en-US" w:eastAsia="en-US" w:bidi="ar-SA"/>
        </w:rPr>
        <w:t>Brito (Guardian ad litem of) v. Woolley</w:t>
      </w:r>
      <w:r>
        <w:rPr>
          <w:rFonts w:ascii="arial" w:eastAsia="arial" w:hAnsi="arial" w:cs="arial"/>
          <w:color w:val="000000"/>
          <w:sz w:val="20"/>
          <w:lang w:val="en-US" w:eastAsia="en-US" w:bidi="ar-SA"/>
        </w:rPr>
        <w:t xml:space="preserve">, </w:t>
      </w:r>
      <w:hyperlink r:id="rId273" w:history="1">
        <w:r>
          <w:rPr>
            <w:rFonts w:ascii="arial" w:eastAsia="arial" w:hAnsi="arial" w:cs="arial"/>
            <w:i/>
            <w:color w:val="0077CC"/>
            <w:sz w:val="20"/>
            <w:u w:val="single"/>
            <w:shd w:val="clear" w:color="auto" w:fill="FFFFFF"/>
            <w:lang w:val="en-US" w:eastAsia="en-US" w:bidi="ar-SA"/>
          </w:rPr>
          <w:t>2003 BCCA 397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In the present case, Dr. Sadeghi said that he did not use the word "pain" when disclosing the risks of the surgery to Ms. Warlow, using the terms such as "pins and needles," "altered sensation," and "numbness" instead because he did not want to cause patients unnecessary anxiety. Unlike Dr. Lindsay, Dr. Sadeghi did disclose that these consequences could be temporary or permanent. However, I find that Dr. Sadeghi's description of risk would have left Ms. Warlow under the impression that the consequences of a nerve injury were relatively minor.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 agree with Ms. Warlow that telling a dental patient that there is a risk of temporary or permanent "pins and needles" or "numbness" conveys a qualitatively different meaning than telling that person that there is a risk of temporary or permanent nerve "pain". This is because the sensation of pins and needles or numbness is strongly associated with the relatively benign and temporary effects of local anaesthetic in the gums wearing off. "Pain" has more serious connotations to the ordinary patient, as evidenced by Dr. Sadeghi's reluctance to use that term.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 conclude that, in describing the consequences of the risk of nerve injury to Ms. Warlow, Dr. Sadeghi ought to have included the word "pain" along with the other terms he 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Dr. Sadeghi did tell Ms. Warlow that the consequences of injury to her IAN could be temporary or permanent. I understand Ms. Warlow to be taking the position that he ought to have specifically mentioned that there was a possibility of "severe, debilitating, chronic neuropathic pain". The evidence does not establish that this was a reasonably foreseeable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Dr. Sadeghi quantified the risk of any injury to the IAN, whether temporary or permanent, at 1.5-2%. He testified that the risk of permanent neuropathic pain arising from IAN injury as "infinitesimally small." He was not aware of any cases of injuries akin to Ms. Warlow's arising from wisdom tooth extractions. Dr. Aidelbaum gave similar evidence: he had never heard of permanent and severe nerve pain arising from IAN injury either.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Dr. Honey testified that in his neurosurgical practice he has seen a few cases of permanent neuropathic face pain arising from dental procedures but did not say whether any of those cases arose from lower wisdom tooth extraction.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Two academic articles reviewing the literature on the risk of nerve injury arising from wisdom tooth extraction were put to Dr. Sadeghi in cross-examination. Neither is helpful. Although they quantify the risk of nerve injury as ranging from 0.4% to 22% (and I note that Dr. Sadeghi disagreed with the 22% figure), that range includes injuries to the lingual nerve as well as to the IAN. The risk of permanent (as opposed to temporary) nerve injury is not quantified at all. The studies do not distinguish among a number of potentially significant variables, such as whether the anaesthesia is general or local, or the architecture of the patient's jaw and teeth.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In summary, there is no evidence before me that Dr. Sadeghi knew or could have known and expressly quantified the risk of permanent and severe nerve pain arising from lower wisdom tooth extraction. This specific risk was not reasonably foreseeable. I conclude that Dr. Sadeghi's description that the consequences of injury to the IAN during surgery could be "temporary or permanent" was adequate.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Would an adequately informed reasonable person have consented?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 have concluded that Dr. Sadeghi ought to have described to Ms. Warlow the possible consequences of injury to her IAN as including nerve pain, not only pins and needles, numbness, and altered sensation. Would a reasonable person in Ms. Warlow's circumstances have consented to the surgery if the consequences of nerve injury had been adequately described?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For the following reasons, I conclude that an adequately informed reasonable person in Ms. Warlow's circumstances would have chosen to go ahead with the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Ms. Warlow had just begun a new career as a flight attendant, which she described as her "dream job". She testified that she had completed the first week of the four to five week training program the week before October 4, 2010. Just before the training program started, Ms. Warlow had experienced an acute gum infection that was so painful she sought emergency help.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Thus, when Dr. Sadeghi discussed the risks, benefits and alternatives to extracting tooth 48 on October 4, 2010, Ms. Warlow would have had a very clear idea of what an acute gum infection feels like. A reasonable person in her circumstances, particularly someone embarking on a new career and actively engaged in an intensive training program, would want to avoid the risk of recurring infections. Ms. Warlow had had previous sinus and dental work</w:t>
      </w:r>
      <w:bookmarkStart w:id="259" w:name="Backward_fnref_fnr-1_1"/>
      <w:hyperlink w:anchor="Forward_fnref_fnr-1" w:history="1">
        <w:r>
          <w:rPr>
            <w:rFonts w:ascii="arial" w:eastAsia="arial" w:hAnsi="arial" w:cs="arial"/>
            <w:b/>
            <w:color w:val="BE161D"/>
            <w:sz w:val="20"/>
            <w:shd w:val="clear" w:color="auto" w:fill="FFFFFF"/>
            <w:vertAlign w:val="superscript"/>
            <w:lang w:val="en-US" w:eastAsia="en-US" w:bidi="ar-SA"/>
          </w:rPr>
          <w:t>1</w:t>
        </w:r>
      </w:hyperlink>
      <w:bookmarkEnd w:id="259"/>
      <w:r>
        <w:rPr>
          <w:rFonts w:ascii="arial" w:eastAsia="arial" w:hAnsi="arial" w:cs="arial"/>
          <w:color w:val="000000"/>
          <w:sz w:val="20"/>
          <w:lang w:val="en-US" w:eastAsia="en-US" w:bidi="ar-SA"/>
        </w:rPr>
        <w:t>, and said she generally trusted and relied on the advice of professionals in matters of health care. Removal of a wisdom tooth, even an impacted wisdom tooth, is a relatively common procedure. Ms. Warlow did not ask Dr. Sadeghi any questions about the risks of nerve injury or about the consequences of such injury. For example, she did not ask him to explain more about the sensations associated with nerve injury or to quantify the risk of permanent as opposed to temporary consequences. She did not tell him about the flight attendant training program or ask about whether the surgery would have any impact on her ability to return to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In saying this, I do not intend to suggest that Ms. Warlow ought to have asked those questions. It was entirely reasonable for her not to have done so. However, I must take into account the fact that she did not make those inquiries in applying the reasonable person test. There is nothing to suggest that Ms. Warlow had any particular concerns that would have made her less likely to consent to the surgery if Dr. Sadeghi had described the consequences of the 1.5-2% risk of temporary or permanent nerve injury as including pain, as well as altered sensation, pins and needles, and/or numbness.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Ms. Warlow was asked in her direct examination whether she would have consented to the surgery if she had known that it would turn out as it did. She said that she would not have gone ahead if she had known she would "end up like this." As Dr. Sadeghi points out in his submission, that evidence is not particularly helpful. No one who undergoes a medical procedure that leaves them worse off than before would consent to the procedure if they knew for certain that would happen. Rather, it is useful to ask whether a plaintiff would have gone ahead if he or she had been fully informed about the risks of material adverse consequences.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That question was not put clearly to Ms. Warlow. After stating that she would not have consented to the surgery if she had known the outcome, the questioning continued as follows:</w:t>
      </w:r>
      <w:r>
        <w:rPr>
          <w:rFonts w:ascii="arial" w:eastAsia="arial" w:hAnsi="arial" w:cs="arial"/>
          <w:sz w:val="20"/>
          <w:lang w:val="en-US" w:eastAsia="en-US" w:bidi="ar-SA"/>
        </w:rPr>
        <w:cr/>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And what about the possibility of complications?</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Well, what do you mean by that "no"?</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As far as a possibility of how I'd end up now?</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yes</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that was explained to you what would your reaction be?</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would have left. I wouldn't have - I would have asked for a second opinion or I - if it was told to me then I would have known. I would have had options.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For the reasons given in the preceding section, I have found that the possibility of permanent debilitating nerve pain was so remote that it was not required to be disclosed. It is clear that Ms. Warlow understood "complications" to mean "the possibility of how I'd end up now". Having found that this was not a reasonably foreseeable outcome, Ms. Warlow's evidence does not address whether she would have agreed to go ahead with the surgery if Dr. Sadeghi had included nerve pain in his description of a 1.5-2% risk of temporary or permanent nerve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In summary, the circumstances relevant to the reasonable person analysis are:</w:t>
      </w:r>
      <w:r>
        <w:rPr>
          <w:rFonts w:ascii="arial" w:eastAsia="arial" w:hAnsi="arial" w:cs="arial"/>
          <w:sz w:val="20"/>
          <w:lang w:val="en-US" w:eastAsia="en-US" w:bidi="ar-SA"/>
        </w:rPr>
        <w:cr/>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Ms. Warlow had recently experienced an acute gum infection and understandably would have been concerned to avoid a recurrence, especially because she was embarking on an exciting new career;</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Both Dr. Martin and Dr. Sadeghi advised Ms. Warlow that extraction of her wisdom tooth was the best option for her and Ms. Warlow generally trusted and relied upon the advice of health professionals;</w:t>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Wisdom tooth removal is a common procedure;</w:t>
      </w:r>
    </w:p>
    <w:p>
      <w:pPr>
        <w:numPr>
          <w:numId w:val="1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Ms. Warlow had had various kinds of dental work previously; and</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Ms. Warlow consented to the surgery knowing that there was a 1.5-2% risk of temporary or permanent nerve injury that could result in altered sensation, numbness and/or pins and needles.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Considering all of these circumstances, I find that a reasonable person in Ms. Warlow's shoes would have consented to the extraction of tooth 48 by Dr. Sadeghi, even if properly advised that the consequences of nerve injury included temporary or permanent nerve pain as well as the other sensations Dr. Sadeghi described.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IV. </w:t>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As Ms. Warlow has not established the elements required to prove lack of informed consent, it follows that she cannot succeed in 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In arriving at that conclusion I want to be very clear that Ms. Warlow did nothing wrong. She acted rationally and reasonably in response to her mouth pain by seeking out, obtaining, and relying upon the advice and assistance of appropriate professionals. There was no way that she -- or Dr. Sadeghi -- could have foreseen the consequences of the surgery. Ms. Warlow's injury has been devastating. The fact that her claim has not succeeded means that, going forward, she will also likely have to cope with significant financial hardship. Although the law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does not afford her a remedy, I say this to acknowledge the harsh reality of Ms. Warlow's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Ms. Warlow's claim is dismissed. If the parties cannot agree on costs, they may apply to me to speak to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IYER J.</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r>
        <w:pict>
          <v:line id="_x0000_s1206" style="position:absolute;z-index:251798528" from="0,15pt" to="180pt,15pt" strokecolor="#bcbeb0" strokeweight="0.5pt">
            <v:stroke linestyle="single"/>
          </v:line>
        </w:pict>
      </w:r>
    </w:p>
    <w:p>
      <w:pPr>
        <w:rPr>
          <w:rFonts w:ascii="arial" w:eastAsia="arial" w:hAnsi="arial" w:cs="arial"/>
          <w:sz w:val="20"/>
          <w:lang w:val="en-US" w:eastAsia="en-US" w:bidi="ar-SA"/>
        </w:rPr>
      </w:pPr>
    </w:p>
    <w:p>
      <w:pPr>
        <w:spacing w:before="120" w:after="20" w:line="240" w:lineRule="atLeast"/>
        <w:ind w:left="720" w:hanging="360"/>
        <w:jc w:val="both"/>
        <w:rPr>
          <w:rFonts w:ascii="arial" w:eastAsia="arial" w:hAnsi="arial" w:cs="arial"/>
          <w:sz w:val="20"/>
          <w:lang w:val="en-US" w:eastAsia="en-US" w:bidi="ar-SA"/>
        </w:rPr>
      </w:pPr>
      <w:bookmarkStart w:id="260" w:name="Forward_fnref_fnr-1_1"/>
      <w:hyperlink w:anchor="Backward_fnref_fnr-1" w:history="1">
        <w:r>
          <w:rPr>
            <w:rFonts w:ascii="arial" w:eastAsia="arial" w:hAnsi="arial" w:cs="arial"/>
            <w:b/>
            <w:color w:val="BE161D"/>
            <w:sz w:val="18"/>
            <w:shd w:val="clear" w:color="auto" w:fill="FFFFFF"/>
            <w:lang w:val="en-US" w:eastAsia="en-US" w:bidi="ar-SA"/>
          </w:rPr>
          <w:t>1</w:t>
        </w:r>
      </w:hyperlink>
      <w:bookmarkEnd w:id="260"/>
      <w:r>
        <w:rPr>
          <w:rFonts w:ascii="arial" w:eastAsia="arial" w:hAnsi="arial" w:cs="arial"/>
          <w:sz w:val="20"/>
          <w:lang w:val="en-US" w:eastAsia="en-US" w:bidi="ar-SA"/>
        </w:rPr>
        <w:tab/>
      </w:r>
      <w:r>
        <w:rPr>
          <w:rFonts w:ascii="arial" w:eastAsia="arial" w:hAnsi="arial" w:cs="arial"/>
          <w:color w:val="6D6E71"/>
          <w:sz w:val="18"/>
          <w:lang w:val="en-US" w:eastAsia="en-US" w:bidi="ar-SA"/>
        </w:rPr>
        <w:t>Dr. Sadeghi's submissions state that Ms. Warlow had previously had her other wisdom teeth extracted. However this was not in evidence at the trial and I have not considered it. There was evidence that she had had one or more root canals and crowns, and restorative work.</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07" style="position:absolute;z-index:25184870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17"/>
          <w:headerReference w:type="default" r:id="rId918"/>
          <w:footerReference w:type="even" r:id="rId919"/>
          <w:footerReference w:type="default" r:id="rId920"/>
          <w:headerReference w:type="first" r:id="rId921"/>
          <w:footerReference w:type="first" r:id="rId92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23" w:history="1">
        <w:r>
          <w:rPr>
            <w:rFonts w:ascii="arial" w:eastAsia="arial" w:hAnsi="arial" w:cs="arial"/>
            <w:b/>
            <w:bCs/>
            <w:i/>
            <w:color w:val="0077CC"/>
            <w:kern w:val="32"/>
            <w:sz w:val="28"/>
            <w:szCs w:val="32"/>
            <w:u w:val="single"/>
            <w:shd w:val="clear" w:color="auto" w:fill="FFFFFF"/>
            <w:lang w:val="en-US" w:eastAsia="en-US" w:bidi="ar-SA"/>
          </w:rPr>
          <w:t>W.J.R. v. British Columbia, [2005] B.C.J. No. 561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Morrison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31, February 1 and 2,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17,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S024338</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[2005] B.C.J. No. 561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BCSC 372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137 A.C.W.S. (3d) 1105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W.J.R., plaintiff, and Her Majesty the Queen in Right of the Province of British Columbia,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(92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08" style="position:absolute;z-index:2516971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61" w:name="Keywords_36"/>
      <w:bookmarkEnd w:id="261"/>
      <w:r>
        <w:rPr>
          <w:rFonts w:ascii="arial" w:eastAsia="arial" w:hAnsi="arial" w:cs="arial"/>
          <w:b/>
          <w:color w:val="000000"/>
          <w:sz w:val="20"/>
          <w:lang w:val="en-US" w:eastAsia="en-US" w:bidi="ar-SA"/>
        </w:rPr>
        <w:t xml:space="preserve">Civil procedure — Parties — Class or representative actions — Certification — Common interests — Members of class — Representative plaintiff — Government Law — Crown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by Crown — Health law — Hospitals and health care facilities — Liability — Duty of care.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62" w:name="Case Summary_36"/>
            <w:bookmarkEnd w:id="26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WJR against the respondent Province, British Columbia for certification of the action as a class proceeding pursuant to the provisions of the Class Proceedings Act. WJR also sought an amendment to the Writ of Summons and Statement of Claim adding WHM as a plaintiff in the action and that WHM be appointed as the Representative Plaintiff for the Class. A provincial mental health facility known as the Woodlands School was a residential facility for the care and control of mentally handicapped persons and persons in need of psychiatric care. WJR was at Woodlands from 1972 to 1975, between the ages of 14 and 17. He alleged repeated sexual and physical assaults by Woodlands staff members. WHM was admitted to Woodlands in 1964 at the age of five and on three other occasions. He also alleged physical and sexual abuse by Woodlands staff members. They alleged duties were owed by the Province to them, including fiduciary duties. Woodlands operated from 1878 to 1996. Its population ranged from 1200 to a few hundred. WJR contended that the requirements of the CPA were satisfied and certification of the Class was therefore mandatory. The Province alleged that class action treatment was unsuitable. The Province admitted the pleadings disclosed a cause of action.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63" w:name="Holdings of Court_30"/>
            <w:bookmarkEnd w:id="263"/>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WJR satisfied the requirements of s. 4 of the CPA. The pleadings disclosed a cause of action. There was an identifiable class of two or more persons. The claims of the Class Members raised common issues. A class proceeding was the preferable procedure for the fair and effective resolution of the common issues, given the history of the institution, the types of allegations raised, and the special vulnerabilities of the proposed Class Members. There was no evidence to suggest that the representative plaintiff, WHM, could not fairly and adequately represent the interests of the Class. A plan had been produced, and there was no evidence with regard to any conflict of interest. The access to justice for the individual Class Members would be assisted by a class action, where there was one single trial of the common issues. To rule otherwise could well deprive a number of proposed members of an opportunity to pursue a claim. An order was granted amending the Writ of Summons and Statement of Claim to add WHM as a plaintiff to the action.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64" w:name="Legislation Cited_24"/>
      <w:bookmarkEnd w:id="26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09" style="position:absolute;z-index:2517483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Canadian Charter of Rights and Freedoms, 1982, ss. 7, 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Class Proceedings Act, </w:t>
      </w:r>
      <w:hyperlink r:id="rId924" w:history="1">
        <w:r>
          <w:rPr>
            <w:rFonts w:ascii="arial" w:eastAsia="arial" w:hAnsi="arial" w:cs="arial"/>
            <w:i/>
            <w:color w:val="0077CC"/>
            <w:sz w:val="20"/>
            <w:u w:val="single"/>
            <w:shd w:val="clear" w:color="auto" w:fill="FFFFFF"/>
            <w:lang w:val="en-US" w:eastAsia="en-US" w:bidi="ar-SA"/>
          </w:rPr>
          <w:t>R.S.B.C. 1996, c. 50, ss. 1</w:t>
        </w:r>
      </w:hyperlink>
      <w:r>
        <w:rPr>
          <w:rFonts w:ascii="arial" w:eastAsia="arial" w:hAnsi="arial" w:cs="arial"/>
          <w:color w:val="000000"/>
          <w:sz w:val="20"/>
          <w:lang w:val="en-US" w:eastAsia="en-US" w:bidi="ar-SA"/>
        </w:rPr>
        <w:t>, 2, 4, 4(1)(a), 4(1)(b), 4(1)(c), 4(1)(d), 4(1)(e), 4(2).</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65" w:name="Counsel_37"/>
      <w:bookmarkEnd w:id="26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10" style="position:absolute;z-index:2517995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James M. Poyner, Kenneth J. Baxter, and Patrick J. Poyner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Ward K. Branch and Deborah Baumgard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Public Guardian and Trustee: Gail Dickson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66" w:name="Judgment_37"/>
      <w:bookmarkEnd w:id="266"/>
      <w:r>
        <w:pict>
          <v:line id="_x0000_s1211" style="position:absolute;z-index:251849728"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corrigendum was released by the Court March 22, 2005. The correction has been made to the text and the corrigendum is appended to this document.]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67" w:name="MORRISON J."/>
            <w:bookmarkEnd w:id="267"/>
            <w:r>
              <w:rPr>
                <w:rFonts w:ascii="arial" w:eastAsia="arial" w:hAnsi="arial" w:cs="arial"/>
                <w:b/>
                <w:color w:val="000000"/>
                <w:sz w:val="30"/>
                <w:lang w:val="en-US" w:eastAsia="en-US" w:bidi="ar-SA"/>
              </w:rPr>
              <w:t>MORRISON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 seeks that this action be certified as a class proceeding pursuant to the provisions of the Class Proceedings Act, </w:t>
      </w:r>
      <w:r>
        <w:rPr>
          <w:rFonts w:ascii="arial" w:eastAsia="arial" w:hAnsi="arial" w:cs="arial"/>
          <w:i/>
          <w:color w:val="000000"/>
          <w:sz w:val="20"/>
          <w:lang w:val="en-US" w:eastAsia="en-US" w:bidi="ar-SA"/>
        </w:rPr>
        <w:t>R.S.B.C. 1996, c. 50</w:t>
      </w:r>
      <w:r>
        <w:rPr>
          <w:rFonts w:ascii="arial" w:eastAsia="arial" w:hAnsi="arial" w:cs="arial"/>
          <w:color w:val="000000"/>
          <w:sz w:val="20"/>
          <w:lang w:val="en-US" w:eastAsia="en-US" w:bidi="ar-SA"/>
        </w:rPr>
        <w:t xml:space="preserve"> (the "CPA"). Counsel for the plaintiff also seeks an amendment to the Writ of Summons and Statement of Claim adding WHM as a plaintiff in this action and that WHM be appointed as the Representative Plaintiff for the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proposes that there is an identifiable Class which consists of the plaintiff in this action, and at least 200 other individuals who may qualify as Class Members. The plaintiff submits that the Class be defined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All persons resident in British Columbia, who were confined to the provincial institution more recently known as Woodlands School and who, while so confined, suffered physical, sexual, emotional and/or psychological abuse and have suffered injury, loss or damage as a result thereof.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claims the Statement of Claim raises a number of common issues, and for the purposes of a proposed class action, those common issues are as follows:</w:t>
      </w:r>
      <w:r>
        <w:rPr>
          <w:rFonts w:ascii="arial" w:eastAsia="arial" w:hAnsi="arial" w:cs="arial"/>
          <w:sz w:val="20"/>
          <w:lang w:val="en-US" w:eastAsia="en-US" w:bidi="ar-SA"/>
        </w:rPr>
        <w:cr/>
      </w:r>
    </w:p>
    <w:p>
      <w:pPr>
        <w:numPr>
          <w:numId w:val="1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defendant negligent or in breach of fiduciary duty in failing to take reasonable measures in the operation or management of Woodlands School to protect those persons therein confined from abusive conduct of a physical, sexual, emotional and/or psychological nature by employees, agents or other persons similarly confined in the institution?</w:t>
      </w:r>
    </w:p>
    <w:p>
      <w:pPr>
        <w:numPr>
          <w:numId w:val="1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answer to common issue no. 1 is "yes", was the defendant guilty of conduct that justifies an award of punitive damages?</w:t>
      </w:r>
    </w:p>
    <w:p>
      <w:pPr>
        <w:numPr>
          <w:numId w:val="1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answer to common issue no. 2 is "yes", what amount of punitive damages is awarded?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suggests that a resident Class Member may opt out of this proceeding by notifying the law firm of Poyner Baxter in a time and manner directed by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defendant opposes the application, stating that this case is not suitable for class action treatment. The defence alleges that the proposed class definition is not appropriate under these circumstances; it is not objective. Further, there are other more practical and efficient means to resolve any claims that persons may have with regard to Woodlands School. That class certification is not a proper tool to root out "a few bad apples".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Legislation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brings this application under the CPA. Section 2 of the CPA provides that one member of a class of persons resident in British Columbia may begin a proceeding in court on behalf of members of that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Section 4 of the CPA provides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Class certification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836"/>
        <w:gridCol w:w="836"/>
        <w:gridCol w:w="314"/>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w:t>
            </w:r>
          </w:p>
        </w:tc>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court must certify a proceeding as a class proceeding on an application under section 2 or 3 if all of the following requirements are met: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pleadings disclose a cause of action;</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an identifiable class of 2 or more persons;</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claims of the class members raise common issues, whether or not those common issues predominate over issues affecting only individual members;</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class proceeding would be the preferable procedure for the fair and efficient resolution of the common issues;</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 representative plaintiff who</w:t>
      </w:r>
    </w:p>
    <w:p>
      <w:pPr>
        <w:numPr>
          <w:numId w:val="3"/>
        </w:numPr>
        <w:tabs>
          <w:tab w:val="clear" w:pos="148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would fairly and adequately represent the interests of the class,</w:t>
      </w:r>
    </w:p>
    <w:p>
      <w:pPr>
        <w:numPr>
          <w:numId w:val="4"/>
        </w:numPr>
        <w:tabs>
          <w:tab w:val="clear" w:pos="148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has produced a plan for the proceeding that sets out a workable method of advancing the proceeding on behalf of the class and of notifying class members of the proceeding, and</w:t>
      </w:r>
    </w:p>
    <w:p>
      <w:pPr>
        <w:numPr>
          <w:numId w:val="5"/>
        </w:numPr>
        <w:tabs>
          <w:tab w:val="clear" w:pos="148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does not have, on the common issues, an interest that is in conflict with the interests of other class members.</w:t>
      </w:r>
    </w:p>
    <w:p>
      <w:pPr>
        <w:numPr>
          <w:numId w:val="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determining whether a class proceeding would be the preferable procedure for the fair and efficient resolution of the common issues, the court must consider all relevant matters including the following:</w:t>
      </w:r>
    </w:p>
    <w:p>
      <w:pPr>
        <w:numPr>
          <w:numId w:val="7"/>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questions of fact or law common to the members of the class predominate over any questions affecting only individual members;</w:t>
      </w:r>
    </w:p>
    <w:p>
      <w:pPr>
        <w:numPr>
          <w:numId w:val="7"/>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a significant number of the members of the class have a valid interest in individually controlling the prosecution of separate actions;</w:t>
      </w:r>
    </w:p>
    <w:p>
      <w:pPr>
        <w:numPr>
          <w:numId w:val="7"/>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class proceeding would involve claims that are or have been the subject of any other proceedings;</w:t>
      </w:r>
    </w:p>
    <w:p>
      <w:pPr>
        <w:numPr>
          <w:numId w:val="7"/>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other means of resolving the claims are less practical or less efficient;</w:t>
      </w:r>
    </w:p>
    <w:p>
      <w:pPr>
        <w:numPr>
          <w:numId w:val="7"/>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administration of the class proceeding would create greater difficulties than those likely to be experienced if relief were sought by other means.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Under s. 1 of the CPA, "common issues" are defined to mean:</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common but not necessarily identical issues of fact, or</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common but not necessarily identical issues of law that arise from common but not necessarily identical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defendant concedes there is a cause of action disclosed.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 provincial mental health facility known as the Woodlands School or Woodlands ("Woodlands") was a residential facility for the care and control of mentally handicapped persons and persons in need of psychiatric care. Located in New Westminster, British Columbia, it was operated by the defendant from 1878 to 1996, when the facility was closed. Admissions to Woodlands were either by voluntary committal, or under the relevant statutory health authority legislation of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 on the original Statement of Claim was W.J.R. who was born March 14, 1958, now 47 years old. He was at Woodlands from 1972 to 1975, between the ages of 14 and 17. In the claim, he alleges repeated sexual assaults by staff members at Woodlands, plus repeated physical abuse. There are also allegations of psychological and emotional abuse, and a claim that he was deprived of proper food and nutrition. Also that he was denied access to a proper education and skill training.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Counsel for the plaintiff seeks to add the additional plaintiff, WHM in an amended writ and statement of claim. This plaintiff was born March 23, 1959 and will soon be 46 years of age. He was sent to Woodlands in August, 1964 by his parents when he was 5 years of age. He was re-admitted on three other occasions, in June, 1965 at the age of 6, in July, 1965 and then in June, 1973 when he was 14. He alleges physical abuse by staff at Woodlands when he was 6 1/2 years of age, and that he was badly beaten by 3 staff members at Woodlands when he was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At the age of 14, he alleges that over a 6 month period, on 2 to 3 occasions a week, he was forced by a staff member to perform oral sex on that staff member. An eye condition was not diagnosed until he was 12, resulting in visual problems that persist.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On behalf of both men, the allegations are of sexual and physical assault, intentional infliction of mental suffering,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breaches of duty and breaches of fiduciary duty committed by the Crown through its authorized servants, agents, representatives and/or employees. Further, that the plaintiffs continue to suffer harm and injury including physical injury, mental distress and anguish, loss of dignity and self-esteem, humiliation and embarrassment, impairment of normal and proper sexual functioning, impairment of relationships with family members and other persons, psychological trauma, continuing fears and anxiety, and forgone career and educational opportunities. There are also allegations of depression, suicidal thoughts and gestures, post-traumatic stress disorder, sleeping disorders, problems with anger management, loss of income, loss of ability to earn income and loss of enjoyment of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They allege duties owed by the defendant to the plaintiffs, including fiduciary duties. The duties alleged to be owed by the defendant to the plaintiffs are set out in detail in paragraphs 15 and 16 of the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Woodlands' population of children and adults ranged from 1200 to a few hundred, depending on the years. There were complaints of abuse over the years. In the spring of 2000, the Ministry of Children and Family Development (formerly the Ministry for Children and Families) ("the Ministry") commissioned an administrative review of Woodlands to be prepared by Dulcie McCallum. Her report, submitted to the Ministry, was dated August, 2001. The title of the review was The Need To Know.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brief, that report found that Woodlands presented an opportunity for abuse to occur, and that both physical and sexual abuse did occur at Woodlands. Ms. McCallum found that by the late 1970s there was a policy at Woodlands that abuse would not be tolerated, but Woodlands responded to any allegations of abuse more as a personnel issue, and the focus was not on the needs of the residents. She further found a lack of internal safeguards to prevent abuse, and the report voiced a concern with regard to abuse as an issue for parents of those residents at Woodlands. Ms. McCallum reported no evidence that parents or relatives were notified when an incident of abuse may have occurred, and there was little evidence of police involvement. She found systemic abuse, and an absence of any integrated approach to abuse at Woodlands.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On May 30, 2003 the then Minister of Children and Family Development issued what amounted to an apology in addressing the members of the legislature in Victoria. The apology recognized that some did not receive the level of care and treatment that they deserved at the institution, that the institutional model was now recognized as "flawed" and there had been mistreatment of some. And that some of those were developmentally disabled people. The apology recognized that harm had been suffered by some former residents of Woodlands. The period for the review was primarily from 1975 to 1992, given the records available for Ms. McCallum.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Position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plaintiff contends that the requirements of s. 4 of the CPA have been satisfied, and as the CPA is procedural, once s. 4 is satisfied, certification of the Class by the court is mandatory.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Section 4(1)(a) states that the pleadings must disclose a cause of action. At this stage also, the court assumes that the facts alleged in the pleadings are true. The plaintiff is alleging that the defendant breached its duty of care and the fiduciary duties which it owed to the plaintiff and to the putative class. Counsel for the plaintiff states the action is framed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he refers to it as "systemic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and breach of fiduciary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Section 4(1)(b) states there must be an identifiable class of 2 or more persons. In addition to Mr. W.J.R. and the proposed plaintiff, WHM, counsel for the plaintiff has provided information that their office has communicated with at least 200 potential members of the Class. In addition, the Public Guardian and Trustee of British Columbia ("PGT"), earlier in these proceedings, filed an affidavit that it was his understanding that there were approximately 1500 former residents of Woodlands still alive. It is acknowledged that obviously a number of former residents of Woodlands will be deceased by now. But the numbers are not known at this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Relying on the decision of Bywater v. Toronto Transit Commission </w:t>
      </w:r>
      <w:hyperlink r:id="rId925" w:history="1">
        <w:r>
          <w:rPr>
            <w:rFonts w:ascii="arial" w:eastAsia="arial" w:hAnsi="arial" w:cs="arial"/>
            <w:i/>
            <w:color w:val="0077CC"/>
            <w:sz w:val="20"/>
            <w:u w:val="single"/>
            <w:shd w:val="clear" w:color="auto" w:fill="FFFFFF"/>
            <w:lang w:val="en-US" w:eastAsia="en-US" w:bidi="ar-SA"/>
          </w:rPr>
          <w:t>(1998), 27 C.P.C. (4th) 172</w:t>
        </w:r>
      </w:hyperlink>
      <w:r>
        <w:rPr>
          <w:rFonts w:ascii="arial" w:eastAsia="arial" w:hAnsi="arial" w:cs="arial"/>
          <w:color w:val="000000"/>
          <w:sz w:val="20"/>
          <w:lang w:val="en-US" w:eastAsia="en-US" w:bidi="ar-SA"/>
        </w:rPr>
        <w:t xml:space="preserve"> (Ont. Ct. Gen. Div.), the plaintiff says there is sufficient evidence for an identifiable class of persons in this case. In the Bywater decision, persons who had been exposed to smoke from a fire in a subway tunnel, part of the Toronto Transit Commission System, were seen as an identifiable class of persons in a certification application under the Ontario CPA. The court there found that the class definition did not have to include a reference to damages resulting from smoke inhalation as this would unduly narrow the class and anticipate entitlement.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Section 4(1)(c) is the source of much of the dispute in this application. That section states that a requirement to be met before certification is that the claims of the class members must raise common issues, whether or not those common issues predominate over issues affecting only individual members. The plaintiff is correct in saying that at this stage, common issues are not to be weighed against individual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Both parties have referred to Rumley v. British Columbia, </w:t>
      </w:r>
      <w:hyperlink r:id="rId926" w:history="1">
        <w:r>
          <w:rPr>
            <w:rFonts w:ascii="arial" w:eastAsia="arial" w:hAnsi="arial" w:cs="arial"/>
            <w:i/>
            <w:color w:val="0077CC"/>
            <w:sz w:val="20"/>
            <w:u w:val="single"/>
            <w:shd w:val="clear" w:color="auto" w:fill="FFFFFF"/>
            <w:lang w:val="en-US" w:eastAsia="en-US" w:bidi="ar-SA"/>
          </w:rPr>
          <w:t>[2001] 3 S.C.R. 184</w:t>
        </w:r>
      </w:hyperlink>
      <w:r>
        <w:rPr>
          <w:rFonts w:ascii="arial" w:eastAsia="arial" w:hAnsi="arial" w:cs="arial"/>
          <w:color w:val="000000"/>
          <w:sz w:val="20"/>
          <w:lang w:val="en-US" w:eastAsia="en-US" w:bidi="ar-SA"/>
        </w:rPr>
        <w:t xml:space="preserve">, </w:t>
      </w:r>
      <w:hyperlink r:id="rId926" w:history="1">
        <w:r>
          <w:rPr>
            <w:rFonts w:ascii="arial" w:eastAsia="arial" w:hAnsi="arial" w:cs="arial"/>
            <w:i/>
            <w:color w:val="0077CC"/>
            <w:sz w:val="20"/>
            <w:u w:val="single"/>
            <w:shd w:val="clear" w:color="auto" w:fill="FFFFFF"/>
            <w:lang w:val="en-US" w:eastAsia="en-US" w:bidi="ar-SA"/>
          </w:rPr>
          <w:t>2001 SCC 69</w:t>
        </w:r>
      </w:hyperlink>
      <w:r>
        <w:rPr>
          <w:rFonts w:ascii="arial" w:eastAsia="arial" w:hAnsi="arial" w:cs="arial"/>
          <w:color w:val="000000"/>
          <w:sz w:val="20"/>
          <w:lang w:val="en-US" w:eastAsia="en-US" w:bidi="ar-SA"/>
        </w:rPr>
        <w:t>. This case concerned Jericho Hill School, a residential school for children who were deaf, and also some children who were blind. The school operated from the 1950s to 1992 when it was closed. An investigation ordered by the government established that there was widespread abuse of children at the school, abuse that was sexual, physical and emotional.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application was denied in the initial chambers hearing, but was allowed by the B.C. Court of Appeal. Mackenzie J.A. and the B.C. Court of Appeal found that the duty of the school was to "reasonably protect its students from sexual abuse" throughout the time that the school was operating. That was a period of 42 years. The Supreme Court of Canada confirmed that all members share an interest in the question of duty and breach of standard of care, and the resolution of those issues would be necessary to a resolution of each class member's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the case before me, counsel for the plaintiff argues that a class action will avoid duplication of factual and/or legal analysis. That the resolution of the issues is necessary to the resolution of each class member's claim here, as it was in Rumley. And further, the issue is a substantial ingredient of each of the class member's claims. There will obviously be individual issues of causation and damages to be litigated later in separate trials, should certification be granted.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At paragraph 21 of the Court of Appeal decision in Rumley </w:t>
      </w:r>
      <w:hyperlink r:id="rId927" w:history="1">
        <w:r>
          <w:rPr>
            <w:rFonts w:ascii="arial" w:eastAsia="arial" w:hAnsi="arial" w:cs="arial"/>
            <w:i/>
            <w:color w:val="0077CC"/>
            <w:sz w:val="20"/>
            <w:u w:val="single"/>
            <w:shd w:val="clear" w:color="auto" w:fill="FFFFFF"/>
            <w:lang w:val="en-US" w:eastAsia="en-US" w:bidi="ar-SA"/>
          </w:rPr>
          <w:t>(1999), 72 B.C.L.R. (3d) 1</w:t>
        </w:r>
      </w:hyperlink>
      <w:r>
        <w:rPr>
          <w:rFonts w:ascii="arial" w:eastAsia="arial" w:hAnsi="arial" w:cs="arial"/>
          <w:color w:val="000000"/>
          <w:sz w:val="20"/>
          <w:lang w:val="en-US" w:eastAsia="en-US" w:bidi="ar-SA"/>
        </w:rPr>
        <w:t>, Mackenzie J.A. stated "The overall history and evolution of the school is likely to be important background for the claims generally, and it would be needlessly expensive to require proof in separate individual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Both counsel also pointed to the decision of Hollick v. Toronto (City), </w:t>
      </w:r>
      <w:hyperlink r:id="rId928" w:history="1">
        <w:r>
          <w:rPr>
            <w:rFonts w:ascii="arial" w:eastAsia="arial" w:hAnsi="arial" w:cs="arial"/>
            <w:i/>
            <w:color w:val="0077CC"/>
            <w:sz w:val="20"/>
            <w:u w:val="single"/>
            <w:shd w:val="clear" w:color="auto" w:fill="FFFFFF"/>
            <w:lang w:val="en-US" w:eastAsia="en-US" w:bidi="ar-SA"/>
          </w:rPr>
          <w:t>[2001] 3 S.C.R. 158</w:t>
        </w:r>
      </w:hyperlink>
      <w:r>
        <w:rPr>
          <w:rFonts w:ascii="arial" w:eastAsia="arial" w:hAnsi="arial" w:cs="arial"/>
          <w:color w:val="000000"/>
          <w:sz w:val="20"/>
          <w:lang w:val="en-US" w:eastAsia="en-US" w:bidi="ar-SA"/>
        </w:rPr>
        <w:t xml:space="preserve">, </w:t>
      </w:r>
      <w:hyperlink r:id="rId928" w:history="1">
        <w:r>
          <w:rPr>
            <w:rFonts w:ascii="arial" w:eastAsia="arial" w:hAnsi="arial" w:cs="arial"/>
            <w:i/>
            <w:color w:val="0077CC"/>
            <w:sz w:val="20"/>
            <w:u w:val="single"/>
            <w:shd w:val="clear" w:color="auto" w:fill="FFFFFF"/>
            <w:lang w:val="en-US" w:eastAsia="en-US" w:bidi="ar-SA"/>
          </w:rPr>
          <w:t>2001 SCC 68</w:t>
        </w:r>
      </w:hyperlink>
      <w:r>
        <w:rPr>
          <w:rFonts w:ascii="arial" w:eastAsia="arial" w:hAnsi="arial" w:cs="arial"/>
          <w:color w:val="000000"/>
          <w:sz w:val="20"/>
          <w:lang w:val="en-US" w:eastAsia="en-US" w:bidi="ar-SA"/>
        </w:rPr>
        <w:t>. Hollick involved an application for certification under Ontario's CPA based on complaints of noise and physical pollution from a landfill near the city. In that case, the common issues were found to be negligible compared to the individual issues. Certification was sought for some 30,000 people who lived in the vicinity of the landfill. The motions judge ordered certification, but the Divisional Court overturned the certification, stating that an identifiable class had not been established, nor had the plaintiff satisfied the commonality requirement. The court found there must be a "substantial ingredient" of the common issue in each member's claim. Although the representative need not show that everyone in the class shares the same interest in the resolution of the proposed common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this case, the plaintiff has taken the proposed common issues directly from the Rumley decision. Relying on the Rumley decision, the plaintiff suggests that the proposed common issues in this case are the same as those approved by the B.C. Court of Appeal and affirmed by the Supreme Court of Canada in Rumley.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paragraph 27 of the Supreme Court decision, Chief Justice McLachlin agreed that the class members shared an interest in whether or not Jericho Hill School had breached their duty of care. Further, that no class member could prevail without showing that duty and breach. That these would be necessary to the resolution of each member's claim. She agreed with the B.C. Court of Appeal that the issues of duty and breach were common to the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Counsel for the plaintiff argues that the same should be found here. While the answer may not be common, the question or issue is common.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The most recent case cited by both counsel is the Ontario Court of Appeal case of Cloud v. Canada </w:t>
      </w:r>
      <w:hyperlink r:id="rId929" w:history="1">
        <w:r>
          <w:rPr>
            <w:rFonts w:ascii="arial" w:eastAsia="arial" w:hAnsi="arial" w:cs="arial"/>
            <w:i/>
            <w:color w:val="0077CC"/>
            <w:sz w:val="20"/>
            <w:u w:val="single"/>
            <w:shd w:val="clear" w:color="auto" w:fill="FFFFFF"/>
            <w:lang w:val="en-US" w:eastAsia="en-US" w:bidi="ar-SA"/>
          </w:rPr>
          <w:t>(2004), 2 C.P.C. (6th) 199</w:t>
        </w:r>
      </w:hyperlink>
      <w:r>
        <w:rPr>
          <w:rFonts w:ascii="arial" w:eastAsia="arial" w:hAnsi="arial" w:cs="arial"/>
          <w:color w:val="000000"/>
          <w:sz w:val="20"/>
          <w:lang w:val="en-US" w:eastAsia="en-US" w:bidi="ar-SA"/>
        </w:rPr>
        <w:t xml:space="preserve"> (Ont.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This was an application for certification for class action on behalf of former students of the Mohawk Institute Residential School, a native residential school in Ontario. The majority of the Divisional Court upheld the motion judge in finding that the action should not be certified, on the grounds that there was no identifiable class of plaintiffs and no common issues, thus a class action was not the preferred procedure. However, the Ontario Court of Appeal upheld the dissenting judgment of Cullity J. in the Divisional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The court agreed that the primary challenge in a residential school case was to determine if there were common issues, and that was the primary issue in the Cloud case. The action covered the years from 1922 to 1969, with 150 to 180 students at the school each year. The claim was that the school was run in a way designed to create an atmosphere of fear, intimidation and brutality. Damages were sought for breach of fiduciary duty,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physical and sexual abuse and breach of aboriginal rights and Treaty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dissenting judgment of Cullity J. in the Ontario Divisional Court, in finding there were common issues sufficient to satisfy the Ontario CPA, had cited Rumley with approval. At paragraph 29 of the Court of Appeal judgment, referring to the reasons of Cullity J.,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focused on the duty of care said to be owed to all members of the student class and the fiduciary duty owed both to them and the families ... He found that the common issues could be defined in terms of those duties and their breach.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Cullity J. had further found that as in Rumley, there was a failure to have proper management and operations procedures in place that reasonably could have prevented the abuse which occurred. He also found, and this was also approved by the Ontario Court of Appeal, that punitive damages were also properly included as common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At para. 32, the Appeal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summary, he found that the focus of the trial of the common issues would be on the conduct of the respondents rather than on the precise circumstances of particular class members and that the existence of individual issues such as limitation periods or causation of harm to individual students was not enough to outweigh the conclusion that resolution of the common issues would significantly advance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Appeal Court continued to quote with approval from the dissenting judgment of Cullity J., and dealt with the common issues requirement at length in its judgment, from paras. 48 to 72 inclusive.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brief, the common issue was found to be the alleged breach of various duties said to be owed, with focus on how and why the respondents ran the school, in relation to systemic breach of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At para. 56,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Relying on Rumley, he (Cullity J.) found that a substantial part of each claim was the alleged breach of the various legal duties said to be owed to all class members. For the student class these duties are framed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fiduciary obligation and aboriginal rights. For the other two classes the claim is one of fiduciary obligation. The need to determine the existence of these duties and whether they were breached in respect of all class members is a significant part of the claim of each class member. Finally, he found that the claim for an aggregate assessment of damages for the breaches found and the claim for punitive damages for the respondents' conduct also met the commonality requirement.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court agreed with the assessment of Cullity J. At para. 69, Goudge J.A., writing for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Nevertheless, it is my view that whether the respondents owed legal obligations to the class members that were breached by the way the respondents ran the School is a necessary and substantial part of each class member's claim. No individual can succeed in his or her claim to recover for harm suffered because of the way the respondents ran the School without establishing these obligations and their breach. The common trial will take these claims to the point where only causation and harm remain to be established. In my view it will adjudicate a substantial part of each class member's claim by doing so. Hence the appellants have met the commonality requirement.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Section 4(1)(d) of the CPA sets out the requirement that a class proceeding should be the preferable procedure for the fair and efficient resolution of the common issues. Section 4(2) sets out the relevant matters that the court must consider in determining whether a class proceeding would be the preferable procedure for a fair and efficient resolution of the common issues. There are five matters set out:</w:t>
      </w:r>
      <w:r>
        <w:rPr>
          <w:rFonts w:ascii="arial" w:eastAsia="arial" w:hAnsi="arial" w:cs="arial"/>
          <w:sz w:val="20"/>
          <w:lang w:val="en-US" w:eastAsia="en-US" w:bidi="ar-SA"/>
        </w:rPr>
        <w:cr/>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questions of fact or law common to the members of the class predominate over any questions affecting only individual members;</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a significant number of the members of the class have a valid interest in individually controlling the prosecution of separate actions;</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class proceeding would involve claims that are or have been the subject of any other proceedings;</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other means of resolving the claims are less practical or less efficient;</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administration of the class proceeding would create greater difficulties than those likely to be experienced if relief were sought by other means.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Supreme Court dealt with the first factor of whether questions of fact or law common to the members of the class would predominate over any questions affecting only individual members at para. 36 of the Rumley decision. Stating that the issues of injury and causation would be litigated later in individual proceedings, if the common issue were decided in favour of the class, the court was of the view that the individual issues would be a relatively minor aspect of the Rumley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essential question is whether the school should have prevented the abuse or responded to it differently. I would conclude that the common issues predominate over those affecting only individual class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Counsel for the plaintiff takes the same view in this case before the court. That the essential question is whether the school should have prevented the abuse or responded to it differently, the issues of systemic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fiduciary duty. I agree that the common issues in this case do predominate over those affecting only individual class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the case before me, there is no suggestion that a significant number of members of the class have a valid interest in individually controlling the prosecution of separate actions. Nor is there evidence to suggest that any significant number of class members would prefer to proceed individually. As counsel points out, if there is certification, each class member would retain control over his or her individual action, and his or her ultimate recovery would be determined by the outcome in that individual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As for the issues set out in s. 4(2)(d) and (e), whether there are other means of resolving the claims that would be more practical and efficient, or whether the administration of the class action would create greater difficulties, again, the plaintiff looks to Rumley and also Cloud. In those two cases, as well as the case at bar, the proposed class members can be said to be particularly vulnerable. At paragraph 39 in the Rumley decision, Chief Justice McLachlin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Litigation is always a difficult process but I am convinced that it will be extraordinarily so for the class members here. Allowing the suit to proceed as a class action may go some way toward mitigating the difficulties that will be faced by the class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She also quoted Mackenzie J.A.'s conclusion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communications barriers faced by the students both at the time of the assaults alleged and currently in the litigation process favour a common process to explain the significance of those barriers and to elicit relevant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Mackenzie J.A. felt that a group action "should assist in marshalling the expertise required to assist individual students in communicating their testimony effectively." The court in Cloud echoed those sentiments.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this case, the majority of Class Members are apparently mentally handicapped. To say they are vulnerable is stating the obvious.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Section 4(1)(e) requires that the representative plaintiff must fairly and adequately represent the class, not have a conflict of interest, and must have a plan for the resolution of proceedings. Counsel for the plaintiff submits that WHM satisfies these requirements. He was at Woodlands for a substantial time during the 1960s and 1970s, and he alleges both physical and sexual abuse on a number of occasions. He has lived on his own and now manages his own affairs, and has been employed for the last 12 years. He is apparently able to instruct counsel, and there is no evidence of any conflict that would prevent him from acting as a representative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A proposed litigation plan has been filed as an exhibit. Presumably the plan will be changed from time to time should certification go ahead. The plan is obviously prepared by counsel for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Position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The defendant opposes the motion for certification, saying that it is not the proper tool to "root out a few bad apples". As an illustration of the unsuitability of class action treatment, counsel for the defence points to two decisions in British Columbia where individuals alleged misconduct at Woodlands. Boyd v. British Columbia, </w:t>
      </w:r>
      <w:hyperlink r:id="rId930" w:history="1">
        <w:r>
          <w:rPr>
            <w:rFonts w:ascii="arial" w:eastAsia="arial" w:hAnsi="arial" w:cs="arial"/>
            <w:i/>
            <w:color w:val="0077CC"/>
            <w:sz w:val="20"/>
            <w:u w:val="single"/>
            <w:shd w:val="clear" w:color="auto" w:fill="FFFFFF"/>
            <w:lang w:val="en-US" w:eastAsia="en-US" w:bidi="ar-SA"/>
          </w:rPr>
          <w:t>[2001] B.C.J. No. 963</w:t>
        </w:r>
      </w:hyperlink>
      <w:r>
        <w:rPr>
          <w:rFonts w:ascii="arial" w:eastAsia="arial" w:hAnsi="arial" w:cs="arial"/>
          <w:color w:val="000000"/>
          <w:sz w:val="20"/>
          <w:lang w:val="en-US" w:eastAsia="en-US" w:bidi="ar-SA"/>
        </w:rPr>
        <w:t xml:space="preserve">, </w:t>
      </w:r>
      <w:hyperlink r:id="rId930" w:history="1">
        <w:r>
          <w:rPr>
            <w:rFonts w:ascii="arial" w:eastAsia="arial" w:hAnsi="arial" w:cs="arial"/>
            <w:i/>
            <w:color w:val="0077CC"/>
            <w:sz w:val="20"/>
            <w:u w:val="single"/>
            <w:shd w:val="clear" w:color="auto" w:fill="FFFFFF"/>
            <w:lang w:val="en-US" w:eastAsia="en-US" w:bidi="ar-SA"/>
          </w:rPr>
          <w:t>2001 BCSC 667</w:t>
        </w:r>
      </w:hyperlink>
      <w:r>
        <w:rPr>
          <w:rFonts w:ascii="arial" w:eastAsia="arial" w:hAnsi="arial" w:cs="arial"/>
          <w:color w:val="000000"/>
          <w:sz w:val="20"/>
          <w:lang w:val="en-US" w:eastAsia="en-US" w:bidi="ar-SA"/>
        </w:rPr>
        <w:t xml:space="preserve"> and H.(J.) v. British Columbia, </w:t>
      </w:r>
      <w:hyperlink r:id="rId931" w:history="1">
        <w:r>
          <w:rPr>
            <w:rFonts w:ascii="arial" w:eastAsia="arial" w:hAnsi="arial" w:cs="arial"/>
            <w:i/>
            <w:color w:val="0077CC"/>
            <w:sz w:val="20"/>
            <w:u w:val="single"/>
            <w:shd w:val="clear" w:color="auto" w:fill="FFFFFF"/>
            <w:lang w:val="en-US" w:eastAsia="en-US" w:bidi="ar-SA"/>
          </w:rPr>
          <w:t>[1998] B.C.J. No. 2926</w:t>
        </w:r>
      </w:hyperlink>
      <w:r>
        <w:rPr>
          <w:rFonts w:ascii="arial" w:eastAsia="arial" w:hAnsi="arial" w:cs="arial"/>
          <w:color w:val="000000"/>
          <w:sz w:val="20"/>
          <w:lang w:val="en-US" w:eastAsia="en-US" w:bidi="ar-SA"/>
        </w:rPr>
        <w:t xml:space="preserve"> (S.C.). Quoting from the Boyd decision, counsel said the cases illustrate the limited relevance of one resident's experience to the allegations or complaint of another resident.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defence argues that a class action offers no benefit to the court, the defendant, or any proposed class members. It would not improve access to justice, and a doomed or flawed class action would only create frustration with the justice system, rather than improved access. That each case must turn upon its own specific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defence points to the varying legal status of Woodlands residents, some who have the PGT looking after them, some who have private Committees and some persons who are now competent.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Admission policies changed over time, some were involuntary commitments, some came in through different policies. And the statutes governing the treatment of patients at Woodlands changed with the times and possibility with different governments. Policies and manuals changed, and there was a wide variation of resident population. In the view of the defence, there was too much variety to prove systemic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pointing to the residents who suffered from a variety of conditions and diseases and disabilities. The length of stay varied, the functional levels varied.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As far as staff were concerned, the defence refers to Woodlands as "a small city staffed by a remarkable array of different individuals with different responsibilities, skills and duties." They ranged from doctors, nurses, social workers to security staff, groundskeepers, teachers, etc. There were also volunteers on site, family members, religious advisors and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premises consisted of 58 acres and a number of buildings. Different wards fulfilled different needs. Some were maximum security for male residents, for example, others were for younger children. There were also two offsite camps. It was never a "one size fits all" institution.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Education and training of the residents varied a great deal, as did work experience. Recreation and social opportunities were equally varied. The defence says that allegations of abuse were not limited to onsite at Woodlands.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Thus there is the concern of the defence that the proposed class action as defined does not limit the necessary enquiry by time or space or the character or type of abuses. Counsel refers to it as a factual quagmire to be examined, and that such is without parallel in Canadian class litigation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evidential burden is on the plaintiff, and the defence claims the plaintiff has failed to satisfy this burden for two main reasons: first, there are no issues common to the entire class, and second, the class structure is not the preferable procedure, as the claims are too individual. The defence argues that a class action would delay rather than increase the speed of settling any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Counsel for the defence relies upon the case of Western Canadian Shopping Centres Inc. v. Dutton, </w:t>
      </w:r>
      <w:hyperlink r:id="rId932" w:history="1">
        <w:r>
          <w:rPr>
            <w:rFonts w:ascii="arial" w:eastAsia="arial" w:hAnsi="arial" w:cs="arial"/>
            <w:i/>
            <w:color w:val="0077CC"/>
            <w:sz w:val="20"/>
            <w:u w:val="single"/>
            <w:shd w:val="clear" w:color="auto" w:fill="FFFFFF"/>
            <w:lang w:val="en-US" w:eastAsia="en-US" w:bidi="ar-SA"/>
          </w:rPr>
          <w:t>[2001] 2 S.C.R. 534</w:t>
        </w:r>
      </w:hyperlink>
      <w:r>
        <w:rPr>
          <w:rFonts w:ascii="arial" w:eastAsia="arial" w:hAnsi="arial" w:cs="arial"/>
          <w:color w:val="000000"/>
          <w:sz w:val="20"/>
          <w:lang w:val="en-US" w:eastAsia="en-US" w:bidi="ar-SA"/>
        </w:rPr>
        <w:t xml:space="preserve"> to say that the test of "success for one class member must mean success for all" has not been met. That case involved over 200 investors who became participants in a federal program by purchasing debentures in the plaintiff company. A class action was commenced when interest that had been promised was not paid, and the complaint was that the sole shareholder and various affiliates and advisors had breached fiduciary duties to the investors by mismanaging funds. The issue was the Court of Appeal's allowance of individualized discovery from each class member. The Supreme Court found that to allow such discovery at that stage of proceedings would be premature. That action also determined that a class action should not be foreclosed on the ground that there is uncertainty as to the resolution of issues common to all class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Arguing that the facts in this Woodlands situation are too varied in terms of timeframe participants and abuse etc., the defence relies upon Caputo v. Imperial Tobacco Ltd. </w:t>
      </w:r>
      <w:hyperlink r:id="rId933" w:history="1">
        <w:r>
          <w:rPr>
            <w:rFonts w:ascii="arial" w:eastAsia="arial" w:hAnsi="arial" w:cs="arial"/>
            <w:i/>
            <w:color w:val="0077CC"/>
            <w:sz w:val="20"/>
            <w:u w:val="single"/>
            <w:shd w:val="clear" w:color="auto" w:fill="FFFFFF"/>
            <w:lang w:val="en-US" w:eastAsia="en-US" w:bidi="ar-SA"/>
          </w:rPr>
          <w:t>(2004), 236 D.L.R. (4th) 348</w:t>
        </w:r>
      </w:hyperlink>
      <w:r>
        <w:rPr>
          <w:rFonts w:ascii="arial" w:eastAsia="arial" w:hAnsi="arial" w:cs="arial"/>
          <w:color w:val="000000"/>
          <w:sz w:val="20"/>
          <w:lang w:val="en-US" w:eastAsia="en-US" w:bidi="ar-SA"/>
        </w:rPr>
        <w:t xml:space="preserve"> (Ont. S.C.). There the court decided that the application failed to disclose an identifiable class. The proposed class was all residents of Ontario, living or deceased, who had smoked cigarettes manufactured by the defendants, and all persons having derivative claims. The potential class was between 2.4 and 1.5 million members. The time span was approximately 50 years. The defence argues that like the Caputo case, the plaintiff in this case has not put forward sufficient evidence of any substantial ingredients of the claim common to all class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Counsel for the defence put forward a great number of cases, but many of them were of limited assistance, with facts varying so widely as to make them inapplicable to this case. I cannot agree with the position of the defence that the court will not be in a position to provide a single comprehensive answer in a common issues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Nieberg (Litigation Guardian of) v. Simcoe County District School Board, </w:t>
      </w:r>
      <w:hyperlink r:id="rId934" w:history="1">
        <w:r>
          <w:rPr>
            <w:rFonts w:ascii="arial" w:eastAsia="arial" w:hAnsi="arial" w:cs="arial"/>
            <w:i/>
            <w:color w:val="0077CC"/>
            <w:sz w:val="20"/>
            <w:u w:val="single"/>
            <w:shd w:val="clear" w:color="auto" w:fill="FFFFFF"/>
            <w:lang w:val="en-US" w:eastAsia="en-US" w:bidi="ar-SA"/>
          </w:rPr>
          <w:t>[2004] O.J. No. 2524</w:t>
        </w:r>
      </w:hyperlink>
      <w:r>
        <w:rPr>
          <w:rFonts w:ascii="arial" w:eastAsia="arial" w:hAnsi="arial" w:cs="arial"/>
          <w:color w:val="000000"/>
          <w:sz w:val="20"/>
          <w:lang w:val="en-US" w:eastAsia="en-US" w:bidi="ar-SA"/>
        </w:rPr>
        <w:t xml:space="preserve"> (Ont. S.C.), was cited by the defence as a similar situation where no proper common issues were found. In Nieberg, the plaintiff sought certification with respect to alleged violations of ss. 7 and 15 of the Charter of Rights and Freedoms on behalf of special-needs students. The court there held it was too much of a generality to suggest that each proposed member's Charter rights were breached, and that this could only be determined through an individual and detailed analysis for each student, of their personal education plan. The court concluded at para. 40 that the facts in that case did not meet "the required degree of particularity of common issues to make proceeding by way of class action fair or efficient. Instead, such an action would ultimately break down into individual proceedings." I cannot agree that this is the same situation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Counsel for the defence set out an analysis of the significant factual differences between Rumley and the case at bar. In particular, the factual differences of the number of years involved, the class size, the potential staff defendants, the individuality of the plaintiffs, the types of claims, vicarious liability pleaded, and the acceptance of responsibility. Counsel also pointed to significant differences in scope in the Cloud case, the residential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Vicarious liability was not an issue in Rumley. In this case, while the plaintiff is not pursuing vicarious liability at this stage, they are not abandoning the claim, raising the possibility that it will come into play at a later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The defence has concerns with regard to the scope of the claim. They point out that although in Rumley, the court recognized both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fiduciary duty, the concept of fiduciary duty is less amenable to certification. Also, in Rumley, the claims were limited to sexual abuse only, whereas here, the claims include physical and emotional abuse as well as sexual abuse. In Rumley, the Court of Appeal refused to certify any cause of action other than a claim for sexual abuse. By including sexual, physical and emotional abuse in this case, the defence argues that the causes of action become more sensitive to particular facts in individual cases. Limitation issues come to the fore, and the difficulties with class certification become greater.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defence says that the scope of the class and the issues are so wide and varied that a class action is the wrong strategy. The court needs all the information, facts and precision, and needs to examine both sides of all issues, before making such an important determination. Counsel argues that the court has a triage function, and to hear the abstract issue or issues first, is not the most direct or efficient route. Rather, the disputes must be dealt with by hearing the cases individually.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Other issues have to be considered, such as common law principles which may protect caregivers in some circumstances from liability and tort. It is suggested that the Woodlands staff face unique challenges. There is also a consideration of consent, according to the defence. This would require a detailed examination of evidence with regard to programs and individual treatment. There may also be an issue as to whether persons standing in the position of parents can use reasonable force on a child where necessary as a corrective measure. The defence also questions the claim of emotional abuse, and whether that constitutes an actionable tort.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long list of complaints made by the plaintiff will require individual analysis in order to determine liability, according to the defence. For example, in Rumley, the allegations were limited to claims of sexual abuse. There was a refusal to certify certain other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In drawing further distinctions between this case and the Rumley decision, counsel for the defendant notes that in Rumley, certification was assisted by the fact that the government had already accepted responsibility. Whereas in this case, no such admissions have been made. The apology by Mr. Hogg in the legislature was neither an admission of liability, a consent to class certification or an agreement that there was systemic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at Woodlands; although the Crown concedes there were problems "with the institutional model".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With regard to Dulcie McCallum's Report, the defence has not objected to the admission of this Report for this application, for the purpose of giving the court background information. However, such findings would not be admissible as proof of their contents, nor amount to evidence to be relied upon for certifying the action as a class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With regard to punitive damages, if the first common issue fails, then punitive damages, as subsidiary damages must also fail, as they do not stand alone, sufficient to sustain an application for certification. In any event, the defence argues that punitive damages are not an appropriate common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Counsel for the defence concludes by arguing that there is no common issue that can be resolved in one trial without the court receiving evidence from individual class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Is a class action the preferable procedure? This raises litigation management, and the court must consider how the litigation will be conducted throughout.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Despite the able argument of counsel for the defence, I am in agreement with the position of the plaintiff with regard to s. 4(2) of the CPA in considering the relevant factors in assessing preferability. I do not agree that the individual issues overwhelm the common issues in this case. There is obviously a serious question of volume, with as yet an unknown number of class members, and a time period still to be defined. In Rumley, the time period is 42 years. In Cloud, it was 47 years. Counsel for the plaintiffs at this time are unable to give a definitive answer as to the span of time in this case. That date will have to be fixed in due course after more information is obtained with regard to the individual Class Members. What is known is that those at Woodlands in the beginning years would no longer be alive at this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There are a number of individual issues which will be central to each person's claim. But those individual issues do not overwhelm the common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As was stated in paragraphs 83 and 84 of the Cloud decision: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common issues are fundamental to the action. They cannot be described as negligible in relation to the consequential individual issues nor the claim as a whole. To resolve the debate about the existence of the legal duties on which the claim is founded and whether these duties were breached is to significantly advance the 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assessment is not quantitative so much as qualitative. It is not driven by the mere number of individual adjudications that may remain after the common trial. ... Although the number of individual adjudications appears to have been uncertain, the time frame of the action alone suggests that it might be relatively high. [Referring to the Rumley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In my view, this case is very similar to the Cloud case, where resolving the common issues will take the action a long way. I also agree that a single trial of the common issues will be a substantive saving to both the litigants and to the judicial process. In Cloud, a concern was expressed that without a common trial, issues would have to be dealt with in each individual action "at an obvious cost in judicial time possibly resulting in inconsistent outcomes. As Cullity J. said, A single trial would make it unnecessary to adduce more than once evidence of the history establishment and operation of the School and the involvement of each of the respondents." (at para. 86).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On the issue of an interest in controlling individual litigation, the defence suggests there are several factors which would make individual litigation the more favourable option for proposed class members. For example, class members might be forced to make a decision as to whether to proceed with litigation before coming to emotional terms with the issue. On receiving notice, they must decide whether they agree to be bound by the result, or whether they should maintain their individual rights by opting out. Once in a class action, the class member loses the ability to choose their own counsel, settle their own claim on terms that they might wish to be bound by, and also lose the ability to control the management and timing of the litigation itself. In my view, there is ample protection for such individual decisions under the CPA.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defence suggests that a multi-plaintiff structure could be one efficient method to settle individual claims, preferable to a class action. In my view, that argument is not persuasive in these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As in the Cloud case, behaviour modification is not a factor to be considered here. Woodlands has been closed for a number of years, similar to the situation in Cloud.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 am persuaded that the plaintiff has satisfied the requirements of s. 4 of the CPA, based on the material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pleadings disclose a cause of action, as has been admitted.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There is an identifiable class of two or more persons, and I am satisfied that the claims of the Class Members raise common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There is no question in my mind that a class proceeding is the preferable procedure for the fair and effective resolution of the common issues, given the history of the institution, the types of allegations raised, and the special vulnerabilities of the proposed Class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There is no evidence to suggest that the representative plaintiff, WHM, cannot fairly and adequately represent the interests of the Class. A plan has been produced, and there is no evidence with regard to any conflict of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decisions in Rumley and Cloud have been particularly persuasive, and of assistance in reaching my decision. I can only conclude that the access to justice for the individual Class Members will be assisted by a class action, where there is one single trial of the common issues. To rule otherwise may well deprive a number of proposed members of an opportunity to pursue a claim. I have regard to the comments of Chief Justice McLachlin in Rumley at paragraph 39, which has been quoted previously.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application for certification should succeed.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 plaintiff seeks an amendment to the Writ of Summons and Statement of Claim which would add WHM as a plaintiff to this action. There will be an order granting such amendment. The Writ of Summons and Statement of Claim are amended in the form attached as Exhibit "A" to the affidavit of Kenneth J. Baxter, sworn October 1,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There will also be an order appointing WHM as the Representative Plaintiff for the Class. This action is certified as a class proceeding pursuant to the provisions of the Class Proceedings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 Class shall be defined as follows:</w:t>
      </w:r>
      <w:r>
        <w:rPr>
          <w:rFonts w:ascii="arial" w:eastAsia="arial" w:hAnsi="arial" w:cs="arial"/>
          <w:sz w:val="20"/>
          <w:lang w:val="en-US" w:eastAsia="en-US" w:bidi="ar-SA"/>
        </w:rPr>
        <w:cr/>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persons resident in British Columbia, who were confined to the provincial institution more recently known as Woodlands School and who, while so confined, suffered physical, sexual, emotional and/or psychological abuse and have suffered injury, loss or damage as a result thereof.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 proceeding shall be certified on a basis of the common issues as set out in paragraph 15(c) of the Baxter affidavit, as set out in paragraph 3 of this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A resident class member may opt out of this proceeding by notifying Poyner Baxter in a time and manner agreed upon by the parties or directed by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MORRISON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Released: March 22,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 This Corrigendum is issued with respect to my Reasons for Judgment published March 17,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 On page 28 paragraphs [90]2. and [90]3. shall be changed to paragraphs [91] and [92].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MORRISON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12" style="position:absolute;z-index:25188761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35"/>
          <w:headerReference w:type="default" r:id="rId936"/>
          <w:footerReference w:type="even" r:id="rId937"/>
          <w:footerReference w:type="default" r:id="rId938"/>
          <w:headerReference w:type="first" r:id="rId939"/>
          <w:footerReference w:type="first" r:id="rId94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41" w:history="1">
        <w:r>
          <w:rPr>
            <w:rFonts w:ascii="arial" w:eastAsia="arial" w:hAnsi="arial" w:cs="arial"/>
            <w:b/>
            <w:bCs/>
            <w:i/>
            <w:color w:val="0077CC"/>
            <w:kern w:val="32"/>
            <w:sz w:val="28"/>
            <w:szCs w:val="32"/>
            <w:u w:val="single"/>
            <w:shd w:val="clear" w:color="auto" w:fill="FFFFFF"/>
            <w:lang w:val="en-US" w:eastAsia="en-US" w:bidi="ar-SA"/>
          </w:rPr>
          <w:t>Zalaba v. Lau, [2017] B.C.J. No. 622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S.F. Kelleher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22, June 24, September</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15, October 12, November 7, 29,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30,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S151833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[2017] B.C.J. No. 622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2017 BCSC 525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Tunde Zalaba, Plaintiff, and Amanda Lau, Vancouver Coastal Health Authority and Rossali Pilapil-Lee,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13" style="position:absolute;z-index:2516981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68" w:name="Keywords_37"/>
      <w:bookmarkEnd w:id="268"/>
      <w:r>
        <w:rPr>
          <w:rFonts w:ascii="arial" w:eastAsia="arial" w:hAnsi="arial" w:cs="arial"/>
          <w:b/>
          <w:color w:val="000000"/>
          <w:sz w:val="20"/>
          <w:lang w:val="en-US" w:eastAsia="en-US" w:bidi="ar-SA"/>
        </w:rPr>
        <w:t xml:space="preserve">Health law — Health care professionals — Liability (malpractice)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Particular professions — Doctors — Practice and procedure — Application by the defendants for dismissal of the plaintiff Zalaba's action allowed — Zalaba's action for damages was a medical malpractice claim — She alleged that she underwent an unnecessary surgical procedure to remove her uterus — Zalaba stated that the medical procedure was for cervical cancer, but that she did not have cancer — The matter was suitable for summary trial — The medical records did not support Zalaba's allegations — In contrast, there was expert evidence that supported the defendants' case, and the evidence established that Zalaba was correctly diagnosed with a carcinoma of the cervix.</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Professional responsibility — Self-governing professions — Duties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Liability — Professions — Health care — Doctors — Application by the defendants for dismissal of the plaintiff Zalaba's action allowed — Zalaba's action for damages was a medical malpractice claim — She alleged that she underwent an unnecessary surgical procedure to remove her uterus — Zalaba stated that the medical procedure was for cervical cancer, but that she did not have cancer — The matter was suitable for summary trial — The medical records did not support Zalaba's allegations — In contrast, there was expert evidence that supported the defendants' case, and the evidence established that Zalaba was correctly diagnosed with a carcinoma of the cervix.</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69" w:name="Case Summary_37"/>
            <w:bookmarkEnd w:id="26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defendants to have the plaintiff Zalaba's action dismissed. The two individual defendants were physicians and the defendant Vancouver Coastal Health Authority operated the British Columbia Cancer Agency. Zalaba's action for damages was a medical malpractice claim. She alleged that she underwent an unnecessary surgical procedure to remove her uterus in March 2013. Zalaba stated that the medical procedure was for cervical cancer, but that she did not have cancer.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70" w:name="Holdings of Court_31"/>
            <w:bookmarkEnd w:id="270"/>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matter was suitable for summary trial. A summary trial would avoid the costs of a conventional trial and there were no issues of dispute on the evidence sufficient to render the matter unsuitable. The evidence could be effectively adduced by affidavits and disposition on summary trial would better ensure a just, speedy, and relatively inexpensive determination of the matter on its merits. The medical records did not support Zalaba's allegations. In contrast, there was expert evidence that supported the defendants' case, and the evidence established that Zalaba was correctly diagnosed with a carcinoma of the cervix. Zalaba's claim was dismissed.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71" w:name="Legislation Cited_25"/>
      <w:bookmarkEnd w:id="27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14" style="position:absolute;z-index:2517493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Supreme Court Rules, Rule 1-3(1), Rule 9-7</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72" w:name="Counsel_38"/>
      <w:bookmarkEnd w:id="27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15" style="position:absolute;z-index:2518005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Tunde Zalaba: On her own behalf.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Amanda Lau: Joel A. Morris.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Rossali Pilapil-Lee: Nevin Fishman.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Vancouver Coastal Health Authority: Carla Forth, Q.C., Kristal M. Low.</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73" w:name="Judgment_38"/>
      <w:bookmarkEnd w:id="273"/>
      <w:r>
        <w:pict>
          <v:line id="_x0000_s1216" style="position:absolute;z-index:25185075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8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74" w:name="S.F. KELLEHER J."/>
            <w:bookmarkEnd w:id="274"/>
            <w:r>
              <w:rPr>
                <w:rFonts w:ascii="arial" w:eastAsia="arial" w:hAnsi="arial" w:cs="arial"/>
                <w:b/>
                <w:color w:val="000000"/>
                <w:sz w:val="30"/>
                <w:lang w:val="en-US" w:eastAsia="en-US" w:bidi="ar-SA"/>
              </w:rPr>
              <w:t>S.F. KELLEHER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These proceedings are pursuant to Rule 9-7 of the </w:t>
      </w:r>
      <w:r>
        <w:rPr>
          <w:rFonts w:ascii="arial" w:eastAsia="arial" w:hAnsi="arial" w:cs="arial"/>
          <w:i/>
          <w:color w:val="000000"/>
          <w:sz w:val="20"/>
          <w:lang w:val="en-US" w:eastAsia="en-US" w:bidi="ar-SA"/>
        </w:rPr>
        <w:t>Supreme Court Rules</w:t>
      </w:r>
      <w:r>
        <w:rPr>
          <w:rFonts w:ascii="arial" w:eastAsia="arial" w:hAnsi="arial" w:cs="arial"/>
          <w:color w:val="000000"/>
          <w:sz w:val="20"/>
          <w:lang w:val="en-US" w:eastAsia="en-US" w:bidi="ar-SA"/>
        </w:rPr>
        <w:t>. Each of the defendants has made an application to have the action dismissed. The three applications were heard together.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plaintiff's action for damages is a medical malpractice claim. Tunde Zalaba's claim is that she underwent an unnecessary surgical procedure in March 2013. Surgery was performed to remove her uterus. The plaintiff says that this was a medical procedure for cervical cancer. Her case is that she did not, in fact, have cancer. The plaintiff alleges that a histopathology report establishes that she did not have cancer.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 Rossali Pilapil-Lee is a family physician. She was the plaintiff's physician from September 2011 until October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defendant Amanda Lau is a physician. She was the plaintiff's family physician from October 2012 until September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defendant Vancouver Coastal Health Authority (the "Health Authority") operates the British Columbia Cancer Agency (the "Cancer Agency").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makes two other allegations in her Notice of Civil Claim: first, that she developed a "life threatening infection after the surgery"; and second, that she lost "100% of movement in both of her arms and shoulders".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There has been no evidence put forward in support of these two allegations. There is also no allegation that these conditions were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 conclude that the central allegation is that the surgery took place notwithstanding the fact that the plaintiff did not have cancer.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procedural history of this case is unusual. The defendants' application came on for hearing on January 22,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 is from Hungary and stated that she required an interpreter. On January 13, 2016 a few days before the hearing, she apparently informed the defendants that the interpreter she wished to use, Monika Gray, was not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defendants engaged an interpreter named Esther Vitalis. Ms. Vitalis is certified by the Society of Translators and Interpreters of B.C. She came to the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hearing began. Mr. Zalaba insisted that she could not understand the interpreter.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 objected to the interpreter on two bases: first, that she did not trust the interpreter, and second, that the interpreter spoke a different language.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 ruled that there was no basis for concluding that a lack of trust was justified. I said that Ms. Vitalis is a professional interpreter who is not only certified but is also on the list of ICBC interpreters and is used by the Hungarian Consulate for the same purpose. Ms. Vitalis informed the Court that any difference in dialect is minor and that she could carry out the 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 ruled that it was appropriate to proceed with Ms. Vitalis as the interpreter.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hearing then proceeded. Ms. Zalaba did not appear to be listening to the interpreter. She kept stating in a loud voice that she did not understand.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 decided to adjourn the hearing so that the plaintiff could bring the interpreter she preferred. I directed the defendants to retain an interpreter in the event the plaintiff's interpreter was not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hearing resumed on June 24,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At this hearing, Ms. Zalaba had a number of objections. First, she stated that this was a very private matter and she did not want members of the public in the courtroom. I explained to her that an open court is part of our tradition. The spectators in the courtroom decided to leave. I believe they were students or associates with one of the defendants' law firm.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Ms. Zalaba then objected to the new material that she had been provided. Ms. Forth, counsel for the Health Authority, told the Court that there was no new material and that Ms. Zalaba had simply been provided with another copy of materials she had already received. I explained to Ms. Zalaba that Ms. Forth is an officer of the court and that I accepted her word.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She then said that her daughter was sick and that she requested a new date. She also complained of high blood pressure and said that she was unable to continue under these "inhumane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 adjourned the hearing until the afternoon.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At that time, I ruled that I intended to proceed by having the defendants' allegations before me in writing and not requiring them to provide an oral presentation of their positions. This was acceptable to all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hearing was adjourned to September 15, 2016 for the purpose of providing Ms. Zalaba with the opportunity to present her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On September 15, 2016, Ms. Zalaba made an application to "replace the case management judge, Justice Kelleher". I treated it as an application that I recuse myself. I made the following oral ruling:</w:t>
      </w:r>
      <w:r>
        <w:rPr>
          <w:rFonts w:ascii="arial" w:eastAsia="arial" w:hAnsi="arial" w:cs="arial"/>
          <w:sz w:val="20"/>
          <w:lang w:val="en-US" w:eastAsia="en-US" w:bidi="ar-SA"/>
        </w:rPr>
        <w:cr/>
      </w:r>
    </w:p>
    <w:p>
      <w:pPr>
        <w:numPr>
          <w:numId w:val="1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This is an application by the plaintiffs to "replace the case management judge, Justice Kelleher". The application is dated September 1, 2016 and states the following as the factual basis: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have noticed conspiracy between Carla L. Forth and Justice Kelleher and I do not trust Justice Kelleher.</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will describe the background to this case.</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These proceedings are pursuant to Rule 9-7. Each of the three defendants has made an application to have the action dismissed. The three applications are being heard together.</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action for damages is a medical malpractice claim. Ms. Zalaba's claim is that she underwent an unnecessary surgical procedure in March 2013. Surgery was performed to remove her uterus. The plaintiff says that this was a medical procedure for cervical cancer. Her case is that she did not, in fact, have cancer. The plaintiff alleges that hysto-pathology report establishes that she did not have cancer.</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from Hungary. She is presenting her case with the assistance of an interpreter.</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Amanda Lau is a physician. She was the plaintiff's family physician from October 2012 until September 2013.</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Rossali Pilapil-Lee is a family physician. She was the plaintiff's physician from September 2011 until October 2012.</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Vancouver Health Authority operates the British Columbia Cancer Agency.</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Today is the fourth day of my involvement. The first day was on September 18, 2015. It was a case management meeting. One of the items raised by counsel for the Vancouver Health Authority was the need for documents from the B.C. Cancer Agency. Ms. Zalaba signed a consent form for the cancer agency to release these documents to Ms. Forth.</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actual hearing of the defendant's application began on January 22, 2016, the second of the four days.</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understand that on January 13, 2016 Ms. Zalaba emailed the defendants to say that Monika Gray, her interpreter, was not available. The defendants obtained a different interpreter, Esther Vitalis, who I understand is certified by the Society of Translators and Interpreters of B.C. She came to the hearing. The hearing began. Ms. Zalaba insisted she could not understand her and I made a ruling along these lines: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plaintiff requires an interpreter. At an earlier case management meeting Ms. Monika Gray performed this task. She is personally acquainted with the plaintiff. Ms. Gray is not willing or not able to be with us today.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defendants therefore arranged to engage an interpreter. Esther Vitalis is certified by the Society of Translators and Interpreters of B.C. to interpret between English and Hungarian.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plaintiff objects to her on two bases:</w:t>
      </w:r>
    </w:p>
    <w:p>
      <w:pPr>
        <w:numPr>
          <w:numId w:val="1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she does not trust the interpreter; and</w:t>
      </w:r>
    </w:p>
    <w:p>
      <w:pPr>
        <w:numPr>
          <w:numId w:val="13"/>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interpreter speaks a different language.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There is no basis to conclude there is justification for lack of trust. Ms. Vitalis is a professional. She is also on both the Hungarian Consul's and ICBC's lists of interpreters. Ms. Vitalis has informed the court that any difference in dialect is minor and that she can carry out the function. I conclude that it is appropriate to proceed with Ms. Vitalis as the interpreter.</w:t>
      </w:r>
    </w:p>
    <w:p>
      <w:pPr>
        <w:numPr>
          <w:numId w:val="1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hearing then proceeded. Ms. Zalaba did not appear to be listening to the interpreter. All she kept saying loudly is "no understand" or "not understand". I stood down. After considering the matter I decided that notwithstanding my earlier ruling, I would adjourn and set a new date when an interpreter satisfactory to Ms. Zalaba could attend.</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hearing resumed on June 24, 2016.</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Zalaba had a number of objections. First she stated that this was a very private matter and she did not want members of the public in the courtroom. I explained to her that an open court is part of our justice system. The spectators in the room decided to leave. I believe they were students or associates with one of the defendants' law firm.</w:t>
      </w:r>
    </w:p>
    <w:p>
      <w:pPr>
        <w:numPr>
          <w:numId w:val="1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Ms. Zalaba then objected to the new material she had been provided with. Counsel for the Vancouver Coastal Health Authority told the court that there was no new material and that Ms. Zalaba had simply been provided with another copy of materials she had already received. Ms. Zalaba did not accept that this was so. I explained to Ms. Zalaba that Ms. Forth is an officer of the court and that I accepted her word.</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Zalaba then said that her daughter was sick and she requested a new date. Ms. Salaba also complained of high blood pressure and said she was unable to continue under these "inhumane conditions".</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adjourned the hearing until the afternoon.</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that time I ruled that I intend to proceed by having the defendant's allegations before me in writing and not requiring them to provide an oral presentation of their position. The hearing was adjourned to a new date, today, at which time Ms. Zalaba would have the opportunity to present her case.</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hearing today, Ms. Zalaba raised specific complaints about the conduct of the hearing and of myself.</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Her first complaint was about an event at the case management meeting of September 18, 2015. She said that Ms. Forth asked her to sign a consent form for the release of documents from the B.C. Cancer Agency. Ms. Zalaba said that I approved this. I do not have a specific recollection but I am sure I would encourage Ms. Zalaba to sign such a consent form. This is a normal procedure to obtain relevant documents. I could well have explained to Ms. Zalaba as a self-represented litigant that this was normal procedure.</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Zalaba also complained that the document was sent by the Cancer Agency to Ms. Forth and not to her. Again, this is normal. Ms. Forth has told the court that she listed the material in her list of documents that was provided to Ms. Zalaba.</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Zalaba expressed objection to my conduct at the hearing of January 22nd. She said I disregarded to her objection to the translator. I ruled the hearing could continue.</w:t>
      </w:r>
    </w:p>
    <w:p>
      <w:pPr>
        <w:numPr>
          <w:numId w:val="2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 agree that I made such a ruling. I do not agree that I was in error. I decided later to adjourn because Ms. Zalaba kept insisting that she did not understand the interpreter.</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Zalaba objects that I was "playing with her nerves". I am certain that proceedings such as these are stressful for self-represented litigants. I tried to accommodate Ms. Zalaba. I regret that Ms. Zalaba found this stressful, but I cannot agree that I engaged in misconduct.</w:t>
      </w:r>
    </w:p>
    <w:p>
      <w:pPr>
        <w:numPr>
          <w:numId w:val="2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Ms. Zalaba objected to the events on the third day, June 24. Ms. Forth had provided new binders because the registry apparently advised the defendants that the court no longer had the binders. This advice from the registry was mistaken. In fact, I had retained all the binders.</w:t>
      </w:r>
    </w:p>
    <w:p>
      <w:pPr>
        <w:numPr>
          <w:numId w:val="2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 believe Ms. Forth provided these new binders to Ms. Zalaba. Ms. Zalaba objected to this "new material". Ms. Forth informed the court that there was no new material. Ms. Zalaba did not accept this. I explained to Ms. Zalaba that Ms. Forth is an officer of the court. That is, she is a barrister and solicitor. I accept her word when she assures me there is nothing new in the materials. I only add that two and a half months have passed and there is no suggestion that new materials were put before the court.</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Zalaba asserts that she cannot trust this judge because I appear to be "working with" Ms. Forth.</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should be unnecessary to say this, but I can assure Ms. Zalaba that I have had no contact with Ms. Forth outside the courtroom and outside the presence of Ms. Zalaba. I know Ms. Forth from her having appeared before me in other cases.</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Zalaba also raises the fact that her signature was not obtained on the last order. I waived the necessity of obtaining it on the basis that the entered order would be sent to her.</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August 2016 Ms. Zalaba asked Supreme Court Scheduling to schedule a hearing before me to address her application to have me disqualify myself. She says that she heard from Ms. Forth, not Supreme Court Scheduling, that the objection would be heard today.</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 I who decided that the objection would be dealt with today. Supreme Court Scheduling did, in fact, send an email to Ms. Zalaba and the other parties to this effect.</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Zalaba objects to my comment this morning. Ms. Forth made reference to what I thought was "Canadian Cancer Agency". I corrected her to clarify what she was saying.</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Zalaba tells the court that Ms. Forth is not behaving properly. She said at the last hearing "Ms. Forth began to speak before Ms. Zalaba had finished speaking". I do not recall it, but my observation is that Ms. Forth has conducted herself in a manner respectful of Ms. Zalaba. If anyone in this court behaves in an objectionable manner, even where there is no formal objection, it is my responsibility to maintain a civil hearing and I will do so.</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Zalaba complains that the court is not taking into account that she is self-represented. She said she feels like she is talking to the wall when she addresses the court. I assure you, Ms. Zalaba, I am taking into account your unfamiliarity with court procedure. I know it is stressful to be here without counsel. I assure you that I am listening to the points you make.</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Finally, Ms. Zalaba complains that she could not serve Mr. Joel Morris, counsel for Dr. Lau. His office apparently would not accept the delivery. I have not heard from Mr. Morris, but there is no complaint about lack of service.</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summarize, my duty is to hear the case. There are no grounds for disqualifying myself.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matter was adjourned to October 12,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On October 12, Ms. Zalaba was not prepared to proceed. She had asked for and been provided with discs containing a record of what had occurred in previous hearings. Ms. Zalaba told the Court there were technical difficulties with the discs and that she could not hear the voice of the translator.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Ms. Zalaba expressed the opinion that the Court would not listen to what she had to say but that she needed more time to prepare. She also referred to the proceedings as "corrupt".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Ms. Zalaba also argued that the interpreter, Ms. Gray, had been involved in another matter which required her to "work all night" the previous night. Ms. Zalaba argued the interpreter had not had enough sleep to translate properly.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Court determined from Ms. Gray that she had indeed been working through the previous night.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 ruled that the discs had nothing to do with what we were doing that day. The record of the procedural objections that had consumed the previous days were not relevant to that day's proceedings. I told Ms. Zalaba that she had the defendants' written material for several months. I explained that the next part of the hearing was for her to reply to those written arguments and to explain to the Court why her case should not be dismissed. The problem with the discs would not justify adjourning the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On the other hand, I said, the situation with the interpreter was a different matter. Ms. Gray told the Court that she worked all night and that she was concerned about the quality of translation.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We adjourned to November 7, 2016. Ms. Gray was available for that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On November 7, 2016, Ms. Zalaba provided the Court with a letter, which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Honourable Court!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still did not get over, that Justice Kelleher is going to continue with my case, because of multiple counts of conspiracy between Carla L. Forth and Justice Kellher. Justice Kelleher made a statement that my documents were lost and it had to be re-submitted, which I was notified with during the trial on June 24, 2016. Carla L Forth had those documents re-submitted, without my knowledge. Since I did not accept this, Justice Kelleher declared that he believes Carla L. Forth because she works for the Supreme Court. My words mean nothing. A document and an audio was supposed to be made of this trial on June 24, which I wanted to listen to but on the CD that they gave me was inaudible. After this, I asked for Justice Kelleher to be removed from my case and to have a new judge dealing with my case, which was rejected by Justice Kelleher. The trial held on January 22, 2016, was a full-day trial. Before the trial, I indicated that I am not willing to accept Eszter Vitalis as a translator, for various reasons, which was also ignored by Justice Kelleher. The trial took the whole day. They wanted to force their will on me and they did not take my words into account. Not all the recordings of the trial is on the CDs. Barely anything. So, the lack of confidence has not diminished but grown. On October 28 [</w:t>
      </w:r>
      <w:r>
        <w:rPr>
          <w:rFonts w:ascii="arial" w:eastAsia="arial" w:hAnsi="arial" w:cs="arial"/>
          <w:i/>
          <w:color w:val="000000"/>
          <w:sz w:val="20"/>
          <w:lang w:val="en-US" w:eastAsia="en-US" w:bidi="ar-SA"/>
        </w:rPr>
        <w:t>new handwritten date illegible</w:t>
      </w:r>
      <w:r>
        <w:rPr>
          <w:rFonts w:ascii="arial" w:eastAsia="arial" w:hAnsi="arial" w:cs="arial"/>
          <w:color w:val="000000"/>
          <w:sz w:val="20"/>
          <w:lang w:val="en-US" w:eastAsia="en-US" w:bidi="ar-SA"/>
        </w:rPr>
        <w:t>], 2016, I submitted a request to the Chief Justice which said that the next trial will be held on November 7, 2016. Unfortunately, even so, I have not received a respond. Until there is no decision by the Chief Justice, I am not willing to continue with this trial. I filed this civil case! Not Justice Kelleher nor Carla L. Forth. These two people hide the documents, which makes this trial unlawful.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personally, handing this statement to Justice Kellher, and to the Defendants lawyers during the trial on November 7, 2016.</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Tunde Zalaba</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Vancouver BC</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2016.11.07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 said the following in response: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believe the allegations in this document were addressed in my ruling of September 15, 2016. I will correct one item: I did not say that Ms. Forth works for the Supreme Court. What I said was that she was an officer of the court and that I believed what she advised the court. What that means is that lawyers as part of their professional duties have a duty to the court to conduct themselves professionally.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reviewed with the Chief Justice your statement that you are not prepared to proceed until you have heard from him. He tells me that he sent you an email on October 12, 2016. It reads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October 12, 2016</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By EMAIL: tundezalaba@gmail.com</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Dear Ms. Zalaba</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u w:val="single"/>
          <w:lang w:val="en-US" w:eastAsia="en-US" w:bidi="ar-SA"/>
        </w:rPr>
        <w:t>RE: Your letter and email of October 10, 2016</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have received your email of October 10, 2016 and the enclosed letter.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understand that the summary trial which was scheduled to proceed today before Mr. Justice Kelleher has been adjourned to November 7, 2016 for a one day hearing before Mr. Justice Kelleher. Mr. Justice Kelleher has made an order for you to be provided with a CD of the audio recording.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As Chief Justice, I do not interfere in cases on which other judges are presiding. Judges of this Court are accustomed to having litigants appear before them who do not have counsel. I can assure you that judges do not give priority to counsel, or consider their submissions more fully than the submissions made by a self-represented person such as yourself. Mr. Justice Kelleher will decide this case on its merits as any judge would do.</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will not be taking any steps in relation to this matter.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Yours truly,</w:t>
      </w:r>
    </w:p>
    <w:p>
      <w:pPr>
        <w:spacing w:before="120" w:line="260" w:lineRule="atLeast"/>
        <w:ind w:left="1080"/>
        <w:rPr>
          <w:rFonts w:ascii="arial" w:eastAsia="arial" w:hAnsi="arial" w:cs="arial"/>
          <w:sz w:val="20"/>
          <w:lang w:val="en-US" w:eastAsia="en-US" w:bidi="ar-SA"/>
        </w:rPr>
      </w:pPr>
      <w:r>
        <w:rPr>
          <w:rFonts w:ascii="arial" w:eastAsia="arial" w:hAnsi="arial" w:cs="arial"/>
          <w:i/>
          <w:color w:val="000000"/>
          <w:sz w:val="20"/>
          <w:lang w:val="en-US" w:eastAsia="en-US" w:bidi="ar-SA"/>
        </w:rPr>
        <w:t>C.E. Hinkson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Christopher E. Hinkson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Chief Justice of the Supreme Court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complaint about the quality of the compact discs is not something that is relevant here. The hearing is at this stage: the defendants, who are applying for an order dismissing your claim, have their written position before me. It is now up to you to respond to it. If you are not prepared to do so orally I will provide you with 30 days to provide a written response. If you file a response, the defendants will have 15 further days as an opportunity to respond to your response.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After that I will make a ruling.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there is no response from you I will make a ruling based on the material that is before 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Ms. Zalaba told the Court she had not received the email from the Chief Justice. She then applied to "suspend" the proceedings. I took this to be an application to adjourn the proceedings indefinitely. She told the Court it was her case and she had the right to decide whether to proceed at this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 replied that the proceedings would not be "suspended" and that I would be proceeding as I had ruled: Ms. Zalaba had 30 days to provide a written response.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Ms. Zalaba left the courtroom while the court was still in session.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On November 29, 2016, Ms. Zalaba appeared before me at her request. She said that the response of October 12, 2016 from the Chief Justice was not possible because her letter to the Chief Justice was dated October 21, 2016. The Chief Justice did receive a letter from Ms. Zalaba on October 10,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Ms. Zalaba did in fact also deliver a letter on October 21, 2016. Ms. Heidi McBride, legal counsel to the court, replied to it on December 1, 2016: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December 1, 2016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Dear Ms. Zalaba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 Zalaba v. Lau, VA S151833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legal counsel for the Supreme Court and I have been asked to respond to your letters which were delivered to Supreme Court Scheduling at the Vancouver Law Courts on October 21, 2016 (copies are enclosed).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You are concerned that there is a conspiracy against you between Mr. Justice Kelleher and the lawyer who acts for one of the parties that you have sued. You are also concerned that Mr. Justice Kelleher gives priority to the submissions made by counsel. This comment reveals a lack of knowledge and understanding about the judicial process and the role of judges in that process. A judge is required to hear the evidence presented in court, listen to the submissions made, and make a decision that accords with the law. Judges approach their role with independence, impartiality and fairness. They have a high degree of concern for the interests of all of the parties appearing before them and for maintaining the integrity of the judicial process. The fact that you have not obtained the orders that you have asked for (for example, an adjournment of the trial or the removal of the judge from the case) does mean that there is a conspiracy against you or that special treatment has been given to the parties that have lawyers.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appears that you are asking for a resolution of your case that is outside of the Supreme Court Civil Rules. This is not possible. The court operates on the basis of the Supreme Court Civil Rules. These rules describe the processes that a plaintiff must follow to have a claim decided or resolved. They also describe what the defendants can and must do. The same rules apply to all cases filed in the Supreme Court. The Supreme Court Civil Rules are not simple which may make it difficult for people who are not familiar with them to understand what is happening or what is expected. There are many resources to assist people become more familiar with the rules and procedures for civil litigation. Many of these resources are available in video format as well as in written format. If you have not already done so, I strongly encourage you to visit the Justice Education Society's website where you find various videos and printed materials that will clearly explain the civil litigation process including what you, as the plaintiff, must do to present your case including the evidence you need to gather and how it must be presented to the Court. The following link will take you to the Justice Education's website: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http://www.supremecourtbc.ca/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You may not be aware but it is not appropriate for individuals with matters before the court to correspond directly with judges regarding their cases. When one party writes a letter to the Court or to a specific judge, the other parties to the litigation do not know what was said by either the person writing the letter or by the Court or judge in response. A fundamental feature of our civil justice system is the requirement all proceedings be done in open court and that there be no secret or private conversations between one party and the judge in the absence of the other party or parties. This ensures that when making decisions judges only consider the evidence and submissions that have been presented by the parties in court and that each party has an opportunity to respond to, that the judge is not influenced by private communications or correspondence, and that all matters taken into consideration are part of the official court record. You must stop writing letters to the Court. No action can be taken by the Chief Justice or any other judge of the Court. If letters are received from you in the future, no response apart from acknowledging their receipt can be given.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Sincerely,</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Heidi McBride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Heidi McBride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Legal Counsel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Supreme Court of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She wrote a correction on December 12, 2016: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December 12, 2016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Dear Ms. Zalaba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 Zalaba v. Lau, VA S151833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has recently come to my attention that I made an error in the letter that I wrote to you on December 1, 2016 (copy enclosed for reference). In the second paragraph of that letter, the last sentence should read: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fact that you have not obtained the orders that you have asked for (for example, an adjournment of the trial or the removal of the judge from the case) does </w:t>
      </w:r>
      <w:r>
        <w:rPr>
          <w:rFonts w:ascii="arial" w:eastAsia="arial" w:hAnsi="arial" w:cs="arial"/>
          <w:b/>
          <w:color w:val="000000"/>
          <w:sz w:val="20"/>
          <w:lang w:val="en-US" w:eastAsia="en-US" w:bidi="ar-SA"/>
        </w:rPr>
        <w:t>not</w:t>
      </w:r>
      <w:r>
        <w:rPr>
          <w:rFonts w:ascii="arial" w:eastAsia="arial" w:hAnsi="arial" w:cs="arial"/>
          <w:color w:val="000000"/>
          <w:sz w:val="20"/>
          <w:lang w:val="en-US" w:eastAsia="en-US" w:bidi="ar-SA"/>
        </w:rPr>
        <w:t xml:space="preserve"> mean that there is a conspiracy against you or that special treatment has been given to the parties that have lawyers.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sorry for any confusion or misapprehension that my mistake may have caused you.</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Sincerely,</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Heidi McBride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Heidi McBride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Legal Counsel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Supreme Court of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On December 7, 2016, Ms. Zalaba filed an affidavit. She attached to the affidavit an exhibit, a letter to "Honourable Court". The relevant part of her letter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still reserve that the judge listened to my submissions orally, because the law and the Chief Justice states that my submissions need to be heard orally.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On January 23, 2017 I wrote a memorandum to Ms. Zalaba and the defendants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had previously ruled that I would consider any written submission received by Ms. Zalaba on or before December 7, 2016. On December 7, Ms. Zalaba filed an affidavit. Attached to that affidavit as Exhibit "B" is a letter to "Honourable Court" in which Ms. Zalaba wrote in relevant part: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still reserve that the judge listened to my submissions orally, because the law and the Chief Justice states that my submissions need to be heard orally.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will not be hearing oral submissions from Ms. Zalaba or any of the defendants. I am, however, prepared to provide Ms. Zalaba with one further opportunity to make a submission in writing on the merits of the defendants' application. That is, Ms. Zalaba may advise the Court in writing why the defendants' applications should be dismissed. Any such submission will be considered if it is received on or before Tuesday, February 7, 2017. Ms. Zalaba should forward a copy of any submission to Mr. Morris, Mr. Fishman and Ms. Forth.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No submission has been received.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Suitability for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 turn to the defendants' applications. They all seek an order dismissing the action against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first issue to be considered is whether this case is suitable for summary trial under Rule 9-7. That Rule provides:</w:t>
      </w:r>
      <w:r>
        <w:rPr>
          <w:rFonts w:ascii="arial" w:eastAsia="arial" w:hAnsi="arial" w:cs="arial"/>
          <w:sz w:val="20"/>
          <w:lang w:val="en-US" w:eastAsia="en-US" w:bidi="ar-SA"/>
        </w:rPr>
        <w:cr/>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hearing of a summary trial application, the court may</w:t>
      </w:r>
    </w:p>
    <w:p>
      <w:pPr>
        <w:numPr>
          <w:numId w:val="4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grant judgment in favour of any party, either on an issue or generally, unless</w:t>
      </w:r>
    </w:p>
    <w:p>
      <w:pPr>
        <w:numPr>
          <w:numId w:val="41"/>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is unable, on the whole of the evidence before the court on the application, to find the facts necessary to decide the issues of fact or law, or</w:t>
      </w:r>
    </w:p>
    <w:p>
      <w:pPr>
        <w:numPr>
          <w:numId w:val="42"/>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is of the opinion that it would be unjust to decide the issues on the application,</w:t>
      </w:r>
    </w:p>
    <w:p>
      <w:pPr>
        <w:numPr>
          <w:numId w:val="4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impose terms respecting enforcement of the judgment, including a stay of execution, and</w:t>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award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Under Rule 9-7, the court may grant judgment in favour of any party unless the court is unable to find the facts necessary to decide the issues or it would be otherwise unjust to decide the issues on the application: </w:t>
      </w:r>
      <w:r>
        <w:rPr>
          <w:rFonts w:ascii="arial" w:eastAsia="arial" w:hAnsi="arial" w:cs="arial"/>
          <w:i/>
          <w:color w:val="000000"/>
          <w:sz w:val="20"/>
          <w:lang w:val="en-US" w:eastAsia="en-US" w:bidi="ar-SA"/>
        </w:rPr>
        <w:t>Inspiration Management Ltd. v. McDermid St. Lawrence Ltd</w:t>
      </w:r>
      <w:r>
        <w:rPr>
          <w:rFonts w:ascii="arial" w:eastAsia="arial" w:hAnsi="arial" w:cs="arial"/>
          <w:color w:val="000000"/>
          <w:sz w:val="20"/>
          <w:lang w:val="en-US" w:eastAsia="en-US" w:bidi="ar-SA"/>
        </w:rPr>
        <w:t xml:space="preserve">. </w:t>
      </w:r>
      <w:hyperlink r:id="rId372" w:history="1">
        <w:r>
          <w:rPr>
            <w:rFonts w:ascii="arial" w:eastAsia="arial" w:hAnsi="arial" w:cs="arial"/>
            <w:i/>
            <w:color w:val="0077CC"/>
            <w:sz w:val="20"/>
            <w:u w:val="single"/>
            <w:shd w:val="clear" w:color="auto" w:fill="FFFFFF"/>
            <w:lang w:val="en-US" w:eastAsia="en-US" w:bidi="ar-SA"/>
          </w:rPr>
          <w:t>(1989), 36 B.C.L.R. (2d) 202</w:t>
        </w:r>
      </w:hyperlink>
      <w:r>
        <w:rPr>
          <w:rFonts w:ascii="arial" w:eastAsia="arial" w:hAnsi="arial" w:cs="arial"/>
          <w:color w:val="000000"/>
          <w:sz w:val="20"/>
          <w:lang w:val="en-US" w:eastAsia="en-US" w:bidi="ar-SA"/>
        </w:rPr>
        <w:t xml:space="preserve"> (C.A.) at 214.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The Court of Appeal in </w:t>
      </w:r>
      <w:r>
        <w:rPr>
          <w:rFonts w:ascii="arial" w:eastAsia="arial" w:hAnsi="arial" w:cs="arial"/>
          <w:i/>
          <w:color w:val="000000"/>
          <w:sz w:val="20"/>
          <w:lang w:val="en-US" w:eastAsia="en-US" w:bidi="ar-SA"/>
        </w:rPr>
        <w:t>Barkwill v. Parchomchuk</w:t>
      </w:r>
      <w:r>
        <w:rPr>
          <w:rFonts w:ascii="arial" w:eastAsia="arial" w:hAnsi="arial" w:cs="arial"/>
          <w:color w:val="000000"/>
          <w:sz w:val="20"/>
          <w:lang w:val="en-US" w:eastAsia="en-US" w:bidi="ar-SA"/>
        </w:rPr>
        <w:t xml:space="preserve">, </w:t>
      </w:r>
      <w:hyperlink r:id="rId942" w:history="1">
        <w:r>
          <w:rPr>
            <w:rFonts w:ascii="arial" w:eastAsia="arial" w:hAnsi="arial" w:cs="arial"/>
            <w:i/>
            <w:color w:val="0077CC"/>
            <w:sz w:val="20"/>
            <w:u w:val="single"/>
            <w:shd w:val="clear" w:color="auto" w:fill="FFFFFF"/>
            <w:lang w:val="en-US" w:eastAsia="en-US" w:bidi="ar-SA"/>
          </w:rPr>
          <w:t>2011 BCCA 207</w:t>
        </w:r>
      </w:hyperlink>
      <w:r>
        <w:rPr>
          <w:rFonts w:ascii="arial" w:eastAsia="arial" w:hAnsi="arial" w:cs="arial"/>
          <w:color w:val="000000"/>
          <w:sz w:val="20"/>
          <w:lang w:val="en-US" w:eastAsia="en-US" w:bidi="ar-SA"/>
        </w:rPr>
        <w:t xml:space="preserve"> at para. 14, said more recently: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suitability of an action for disposition by way of summary trial depends on whether the evidence is sufficient for the chambers judge to find the facts necessary to give judgment...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Dahl v. Royal Bank of Canada</w:t>
      </w:r>
      <w:r>
        <w:rPr>
          <w:rFonts w:ascii="arial" w:eastAsia="arial" w:hAnsi="arial" w:cs="arial"/>
          <w:color w:val="000000"/>
          <w:sz w:val="20"/>
          <w:lang w:val="en-US" w:eastAsia="en-US" w:bidi="ar-SA"/>
        </w:rPr>
        <w:t xml:space="preserve">, </w:t>
      </w:r>
      <w:hyperlink r:id="rId943" w:history="1">
        <w:r>
          <w:rPr>
            <w:rFonts w:ascii="arial" w:eastAsia="arial" w:hAnsi="arial" w:cs="arial"/>
            <w:i/>
            <w:color w:val="0077CC"/>
            <w:sz w:val="20"/>
            <w:u w:val="single"/>
            <w:shd w:val="clear" w:color="auto" w:fill="FFFFFF"/>
            <w:lang w:val="en-US" w:eastAsia="en-US" w:bidi="ar-SA"/>
          </w:rPr>
          <w:t>2005 BCSC 1263</w:t>
        </w:r>
      </w:hyperlink>
      <w:r>
        <w:rPr>
          <w:rFonts w:ascii="arial" w:eastAsia="arial" w:hAnsi="arial" w:cs="arial"/>
          <w:color w:val="000000"/>
          <w:sz w:val="20"/>
          <w:lang w:val="en-US" w:eastAsia="en-US" w:bidi="ar-SA"/>
        </w:rPr>
        <w:t xml:space="preserve">, aff'd </w:t>
      </w:r>
      <w:hyperlink r:id="rId944" w:history="1">
        <w:r>
          <w:rPr>
            <w:rFonts w:ascii="arial" w:eastAsia="arial" w:hAnsi="arial" w:cs="arial"/>
            <w:i/>
            <w:color w:val="0077CC"/>
            <w:sz w:val="20"/>
            <w:u w:val="single"/>
            <w:shd w:val="clear" w:color="auto" w:fill="FFFFFF"/>
            <w:lang w:val="en-US" w:eastAsia="en-US" w:bidi="ar-SA"/>
          </w:rPr>
          <w:t>2006 BCCA 369</w:t>
        </w:r>
      </w:hyperlink>
      <w:r>
        <w:rPr>
          <w:rFonts w:ascii="arial" w:eastAsia="arial" w:hAnsi="arial" w:cs="arial"/>
          <w:color w:val="000000"/>
          <w:sz w:val="20"/>
          <w:lang w:val="en-US" w:eastAsia="en-US" w:bidi="ar-SA"/>
        </w:rPr>
        <w:t>, the court, at paras. 11 and 12, cited factors to be considered in determining whether it was suitable to dispose of the matter under Rule 9-7 which include: the amount involved, the complexity of the matter, urgency, any prejudice likely to arise by reason of delay, the cost of taking the case forward to a conventional trial in relation to the amount involved, the course of the proceedings, credibility, whether the summary trial involves the substantial risk of wasting time and effort and producing unnecessary complexity, and whether the application results in "litigation in slices", that is, more applications without bringing finality to the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In this case, a summary trial is suitable for several reasons. First, it will avoid the costs of a conventional trial. Second, there are no issues of dispute on the evidence sufficient to render the matter unsuitable. Third, evidence can be effectively adduced by affidavits. Finally, disposition on summary trial will better ensure a just, speedy and relatively inexpensive determination of the matter on its merits: See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Rule 1-3(1).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Also, I note that Ms. Zalaba has been given ample opportunity to provide further submissions in response to the defendants' applications. I find that it would be unfair to the defendants to continue to delay resolution of the claim and that disposition of the claim in this manner does not result in any injustice to Ms. Zalaba.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On July 10, 2012, the defendant Dr. Pilapil-Lee took a Pap smear, a specimen of vaginal or cervical cells obtained for study, from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This Pap smear was interpreted by a pathologist, Dr. Gregory Naus. He reported the results on August 2, 2012. The results indicated a "high-grade squamous intraepithelial lesion (marked dyskaryosis)". Dyskaryosis means abnormality of the nucleus of a cell. He recommended a colposcopic 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On November 1, 2012, the defendant, Dr. Lau, took a second Pap smear from the plaintiff. This was interpreted by Dr. Dirk van Niekerk. Dr. van Niekerk is a pathologist and is the Medical Director of the Cervical Cancer Screening Laboratory. He reported the results on November 28,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results of this second Pap smear indicated "negative for intraepithelial lesion or malignancy". He recommended that "in view of the previous cytology", a colposcopic examination would be advisable. Dr. van Niekerk's commentary also noted "previous cytology reviewed and original diagnosis confirmed". The cytology report was sent to Dr. Lau.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On November 16, 2012 Dr. Lau referred the patient to the Colposcopy Clinic of the Vancouver General Hospital Women's Clinic. On November 26, 2012, a punch cervical biopsy was performed on the plaintiff. The specimen obtained from the biopsy was sent to the Cancer Agency for a pathology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Dr. van Niekerk prepared a document called "BCCA Histopathology (CAHIST) Final Report". It is dated November 28, 2012 and includes the following diagnosis regarding the specimen obtained in the punch cervical biopsy: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CERVIX, BIOPSY - CERVICAL INTRAEPITHELIAL NEOPLASIA GRADE 3 (CIN3).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On November 26, 2012 the plaintiff saw Dr. Shannon Salvador, a gynecologic oncologist, for the CIN3 of the cervix. On December 3, 2012 Dr. Salvador recommended that the plaintiff undergo a loop electrosurgical excision procedure (a "LEEP").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LEEP was performed on January 24, 2013, and a specimen was sent to the Cancer Agency for a pathology report. A pathologist named Dr. Sihra prepared a report entitled BCCA Histopathology (CAHIST) Final Report dated January 30,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It is the plaintiff's case that the January report indicates that she did not have cervical cancer. The January report appears to confirm that the specimen obtained during the LEEP indicated a carcinoma. It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UTERINE CERVIX, LEEP EXCISIONAL BIOPSY: - </w:t>
      </w:r>
      <w:r>
        <w:rPr>
          <w:rFonts w:ascii="arial" w:eastAsia="arial" w:hAnsi="arial" w:cs="arial"/>
          <w:color w:val="000000"/>
          <w:sz w:val="20"/>
          <w:u w:val="single"/>
          <w:lang w:val="en-US" w:eastAsia="en-US" w:bidi="ar-SA"/>
        </w:rPr>
        <w:t>INVASIVE SQUAMOUS CELL CARCINOMA</w:t>
      </w:r>
      <w:r>
        <w:rPr>
          <w:rFonts w:ascii="arial" w:eastAsia="arial" w:hAnsi="arial" w:cs="arial"/>
          <w:color w:val="000000"/>
          <w:sz w:val="20"/>
          <w:lang w:val="en-US" w:eastAsia="en-US" w:bidi="ar-SA"/>
        </w:rPr>
        <w:t xml:space="preserve"> MODERATELY DIFFERENTIATED, ARISING IN A BACKGROUND OF SEVERE SQUAMOUS DYSPLASIA (CIN 3) INVOLVING GLANDS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A carcinoma is a type of cancer. It is a malignant tumor. According to the report, the depth of the invasive carcinoma was 2.5 mm and the horizontal extent was approximately 6 mm.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plaintiff attended at the Cancer Agency for an oncological consultation on February 19, 2013. Dr. Gavin Stewart, a gynecologic oncologist, recommended that the plaintiff undergo an abdominal radical hysterectomy, preceded by laparoscopic sentinel lymph nodes bilaterally. The plaintiff consented.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On March 7, 2013 she underwent a surgical procedure at Vancouver General Hospital. This included a laparoscopic sentinel lymph node biopsy; radical abdominal hysterectomy to remove her uterus and fallopian tubes; bilateral salpingectomy; and pelvic lymph node dissection. Dr. Salvador performed this surgery with the assistance of Dr. Trevor Cohen.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post-operative diagnosis was squamous carcinoma of the cervix.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plaintiff was discharged from the hospital on March 9,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On March 13, 2013, Dr. Philip Clement, a gynecological pathologist, signed a surgical pathology consultation report. The report confirmed the existence of invasive moderately differentiated adenosquamous carcinoma of the cervix.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Dr. Blake Gilks, Interim Medical Director of the Laboratories and Department Head, Department of Pathology and Laboratory Medicine at the Health Authority, swore an affidavit in these proceedings. He explained that when tissue is removed during a surgical procedure, the pathology process undertaken at the hospital is as follows: first the tissue is delivered to the pathology lab in containers labelled with the patient's name and a list of tissues is submitted. The tissue is then microscopically and macroscopically examined in the lab. Based on macroscopic examination, pieces of tissue are chosen for microscopic examination with a light microscope. Glass slides of cross sections of the tissue are prepared. These slides are preserved in departmental archives and are available for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On September 30, 2015, Dr. Gilks reviewed the slides from Ms. Zalaba's operation. He deposed that the Zalaba slides showed cervical cancer. He agreed with the surgical pathological consultation report of Dr. Clement: "predominant (&lt;90%) component of non-keratinizing squamous cell carcinoma with a minor component of adenocarcenoma of usual endocervical type". Dr. Gilks deposed that this means the specimen was positive for cancer arising in the uterine cervix.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plaintiff's case is that the defendants were negligent for failing to consider the January report in recommending and undertaking the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foundation of the plaintiff's claim is that the January report did not confirm she had cancer and so the surgery was unwarranted.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medical records do not support this allegation.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She further asserts that the surgery caused some loss of the use of her arms and shoulders as well as a life threatening infection.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medical records do not support this either.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There is also expert evidence that supports the defendants' case. Dr. Mark Heywood is a gynecologic oncologist practicing at the Cancer Agency in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Dr. Heywood's opinion is that the plaintiff had cervical cancer. He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Did Tunde Zalaba have an invasive cervical cancer?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Yes she did.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Her Pap smear performed by Dr. Rossali Pilapil-Lee on 10 July 2012 was abnormal. This was followed by Dr. A. Lau, her new family doctor, recommending referral for colposcopy (a more detailed examination of the cervix) which Tunde Zalaba accepted and attended colposcopy at VGH Women's Clinic on 28 November 2012. Cervical biopsy at this visit confirmed a diagnosis of CERVICAL INTRAEPITHELIAL NEOPLASIA GRADE 3 (CIN3). This is a precancerous condition, but as it is only a "small" biopsy and does not rule out the possibility of there being a more significant lesion (an invasive cancer, when a "larger" piece of tissue is available for evaluation, see next paragraph).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recommendation for a LEEP (Loop Electrical Excision Procedure) was made. Tunde Zalaba accepted this recommendation, and </w:t>
      </w:r>
      <w:r>
        <w:rPr>
          <w:rFonts w:ascii="arial" w:eastAsia="arial" w:hAnsi="arial" w:cs="arial"/>
          <w:color w:val="000000"/>
          <w:sz w:val="20"/>
          <w:u w:val="single"/>
          <w:lang w:val="en-US" w:eastAsia="en-US" w:bidi="ar-SA"/>
        </w:rPr>
        <w:t>LEEP was performed on 24 January 2013. The pathology of which revealed an invasive squamous cell carcinoma, moderately differentiated, arising in a background of severe squamous dysplasia (CIN3) involving glands. At this point an invasive carcinoma of the cervix (cancer of the cervix) was confirmed</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Tunde Zalaba was referred to and subsequently seen at BC Cancer Agency on 19 February 2013 where a recommendation was made for laparoscopic sentinel lymph node biopsy and radical abdominal hysterectomy and bilateral salpingectomy. This recommendation was accepted by Tunde Zalaba, </w:t>
      </w:r>
      <w:r>
        <w:rPr>
          <w:rFonts w:ascii="arial" w:eastAsia="arial" w:hAnsi="arial" w:cs="arial"/>
          <w:color w:val="000000"/>
          <w:sz w:val="20"/>
          <w:u w:val="single"/>
          <w:lang w:val="en-US" w:eastAsia="en-US" w:bidi="ar-SA"/>
        </w:rPr>
        <w:t>with surgery being performed on 7 March 2013. The pathology again confirmed invasive carcinoma of the cervix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Dr. Heywood's opinion is that the treatment provided and recommended for the plaintiff's cancer met the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After the surgery, the plaintiff was seen for follow-up consultations with a number of gynecologic oncologists at the Cancer Agency. On June 19 and August 14, 2013, Dr. T. Ehlen saw the plaintiff noting that the pathology confirmed a tumor and that the plaintiff had declined radiation and chemotherapy.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The plaintiff's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are set out in the amended Notice of Civil Claim filed May 5, 2015 at paras. 13-15:</w:t>
      </w:r>
      <w:r>
        <w:rPr>
          <w:rFonts w:ascii="arial" w:eastAsia="arial" w:hAnsi="arial" w:cs="arial"/>
          <w:sz w:val="20"/>
          <w:lang w:val="en-US" w:eastAsia="en-US" w:bidi="ar-SA"/>
        </w:rPr>
        <w:cr/>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January 24th, 2013, the Plaintiff, TUNDE ZALABA, obtained BCCA Histopathology (CAHIST) Final Report.</w:t>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BCCA Histopathology (CAHIST) Final Report established negative results for cervical cancer.</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Amanda Lau, persuaded the Plaintiff, TUNDE ZALABA, to under go the surgery procedure to remove her uterus as a medical treatment for cervical cancer, without taking regards for The BCCA Histopathology (CAHIST) Final Report.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Thus, Ms. Zalaba's case is that she underwent the surgical procedure of removal of her uterus and that this was unnecessary and wrongful because, she alleges, she did not have cancer.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The plaintiff bears the onus of proving her case. Bare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without evidence in support are not enough: see </w:t>
      </w:r>
      <w:r>
        <w:rPr>
          <w:rFonts w:ascii="arial" w:eastAsia="arial" w:hAnsi="arial" w:cs="arial"/>
          <w:i/>
          <w:color w:val="000000"/>
          <w:sz w:val="20"/>
          <w:lang w:val="en-US" w:eastAsia="en-US" w:bidi="ar-SA"/>
        </w:rPr>
        <w:t>Gichuru v. Pallai</w:t>
      </w:r>
      <w:r>
        <w:rPr>
          <w:rFonts w:ascii="arial" w:eastAsia="arial" w:hAnsi="arial" w:cs="arial"/>
          <w:color w:val="000000"/>
          <w:sz w:val="20"/>
          <w:lang w:val="en-US" w:eastAsia="en-US" w:bidi="ar-SA"/>
        </w:rPr>
        <w:t xml:space="preserve">, </w:t>
      </w:r>
      <w:hyperlink r:id="rId945" w:history="1">
        <w:r>
          <w:rPr>
            <w:rFonts w:ascii="arial" w:eastAsia="arial" w:hAnsi="arial" w:cs="arial"/>
            <w:i/>
            <w:color w:val="0077CC"/>
            <w:sz w:val="20"/>
            <w:u w:val="single"/>
            <w:shd w:val="clear" w:color="auto" w:fill="FFFFFF"/>
            <w:lang w:val="en-US" w:eastAsia="en-US" w:bidi="ar-SA"/>
          </w:rPr>
          <w:t>2013 BCCA 60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There has been no expert evidence filed by the plaintiff to prove her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In fact, the evidence before me establishes that the plaintiff was correctly diagnosed with a carcinoma of the cervix.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Dr. Heywood's report confirms that the plaintiff had invasive cervical cancer and the treatment provided met the standard of care. That evidence is unrebutted.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Additionally, the pathology slides were reviewed by Dr. Gilks and he confirmed the existence of the tumor.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There is no evidence to support the plaintiff's claim against Dr. Lau, Dr. Pilapil-Lee, or the Health Authority.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plaintiff's claim is dismissed with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S.F. KELLEHER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17" style="position:absolute;z-index:25188864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46"/>
          <w:headerReference w:type="default" r:id="rId947"/>
          <w:footerReference w:type="even" r:id="rId948"/>
          <w:footerReference w:type="default" r:id="rId949"/>
          <w:headerReference w:type="first" r:id="rId950"/>
          <w:footerReference w:type="first" r:id="rId95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5" w:history="1">
        <w:r>
          <w:rPr>
            <w:rFonts w:ascii="arial" w:eastAsia="arial" w:hAnsi="arial" w:cs="arial"/>
            <w:b/>
            <w:bCs/>
            <w:i/>
            <w:color w:val="0077CC"/>
            <w:kern w:val="32"/>
            <w:sz w:val="28"/>
            <w:szCs w:val="32"/>
            <w:u w:val="single"/>
            <w:shd w:val="clear" w:color="auto" w:fill="FFFFFF"/>
            <w:lang w:val="en-US" w:eastAsia="en-US" w:bidi="ar-SA"/>
          </w:rPr>
          <w:t>Gilbert v. Bottle, [2011] B.C.J. No. 1931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 Dickson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4-7, 12-15, 19-22, 25-29, November 1-2,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January 17,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17,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M060334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[2011] B.C.J. No. 1931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952" w:history="1">
        <w:r>
          <w:rPr>
            <w:rFonts w:ascii="arial" w:eastAsia="arial" w:hAnsi="arial" w:cs="arial"/>
            <w:i/>
            <w:color w:val="0077CC"/>
            <w:sz w:val="20"/>
            <w:u w:val="single"/>
            <w:shd w:val="clear" w:color="auto" w:fill="FFFFFF"/>
            <w:lang w:val="en-US" w:eastAsia="en-US" w:bidi="ar-SA"/>
          </w:rPr>
          <w:t>2011 BCSC 1389</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Ricci Lynn Gilbert, Plaintiff, and Anthony Solamon Bottle and Steven Whitford, Defendants, and Insurance Corporation of British Columbia, Third Party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(283 paras.)</w:t>
      </w:r>
    </w:p>
    <w:p>
      <w:pPr>
        <w:jc w:val="both"/>
        <w:rPr>
          <w:rFonts w:ascii="arial" w:eastAsia="arial" w:hAnsi="arial" w:cs="arial"/>
          <w:sz w:val="20"/>
          <w:lang w:val="en-US" w:eastAsia="en-US" w:bidi="ar-SA"/>
        </w:rPr>
      </w:pPr>
      <w:bookmarkStart w:id="275" w:name="Counsel_39"/>
      <w:bookmarkEnd w:id="27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18" style="position:absolute;z-index:2516992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G.J. Collette, E.A. Orr-Ewing.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and Third Party: L.A.J. Dunn.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76" w:name="Judgment_39"/>
      <w:bookmarkEnd w:id="276"/>
      <w:r>
        <w:pict>
          <v:line id="_x0000_s1219" style="position:absolute;z-index:25175040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77" w:name="G. DICKSON J."/>
            <w:bookmarkEnd w:id="277"/>
            <w:r>
              <w:rPr>
                <w:rFonts w:ascii="arial" w:eastAsia="arial" w:hAnsi="arial" w:cs="arial"/>
                <w:b/>
                <w:color w:val="000000"/>
                <w:sz w:val="30"/>
                <w:lang w:val="en-US" w:eastAsia="en-US" w:bidi="ar-SA"/>
              </w:rPr>
              <w:t>G. DICKSON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March 8, 2005 the plaintiff, Ricci Lynn Gilbert, was injured in a motor vehicle accident in Williams Lake, British Columbia. She was a passenger in the backseat of a vehicle driven by the defendant, Anthony Bottle, and owned by the defendant, Steven Whitford, when the accident occurred. Mr. Bottle was impaired by alcohol when he approached a corner too quickly and lost control of the vehicle, which spun across the roadway and came to rest suspended off the ground against a fence. Ms. Gilbert, who was not wearing a seatbelt, was ejected from the rear hatch window and found unconscious on the ground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Ms. Gilbert suffered a traumatic brain injury, a fractured clavicle and soft tissue injuries as a result of the accident. She claims substantial pecuniary and non-pecuniary damages for those injuries and the associated loss that she has sustained.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Mr. Bottle testified at the trial but was not represented by counsel. He pleaded guilty to dangerous driving causing bodily harm in prior criminal proceedings related to the accident and does not contest liability. Mr. Whitford and the third party, Insurance Corporation of British Columbia ("ICBC"), admit that Mr. Bottle negligently caused the accident and that Mr. Whitford is vicariously liable for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They say, however, that Ms. Gilbert was contributorily negligent because she failed to take care for her own safety by getting into a vehicle driven by an obviously impaired driver and riding in a position not equipped with a seatbelt. They also dispute the extent to which the accident injured Ms. Gilbert's physical, mental and emotional health and the quantum of her claims for damages. They say further that she failed to mitigate her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Ms. Gilbert was 30 years old at the time of the accident. She is a First Nations woman who has lived much of her life on the Sugarcane Reserve near Williams Lake. Proud of her heritage and accomplished in many cultural activities, Ms. Gilbert was exposed over the years to poverty, substance abuse and other tragic circumstances often associated with reserve life in Canada. Nevertheless, while affected by these experiences, before the accident she was a popular, warm-hearted woman who worked part-time with her mother and others in "New Directions", a personal development program offered to First Nations communities. Her intention for the future was to continue with New Directions and also to work with single mothers or First Nations youth.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Ms. Gilbert contends that, as a result of the accident, she suffered a moderate traumatic brain injury with permanent sequelae, including significant memory impairment, low frustration tolerance and emotional disconnection. She also suffered injuries to her collarbone, neck, shoulder, back and legs which have led to chronic pain. Although she acknowledges past struggles with substance abuse, anxiety and emotional lability Ms. Gilbert says these problems were not debilitating and they have increased substantially since the accident. As a result, she says her enjoyment of life, work skills and future prospects are seriously compromised and claims damages for pain and suffering, loss of past and future income earning capacity, and the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Whitford and ICBC concede that Ms. Gilbert suffered injuries to her brain and body in the accident for which she is entitled to an award for non-pecuniary damages. They contend, however, that viewed from a functional perspective her condition before and after the accident is essentially unchanged. In particular, they say that Ms. Gilbert's work and social life before and after the accident were seriously limited by her substance abuse and emotional difficulties and deny that she has suffered any loss in earning capacity. They also challenge her reliability as a witness and claim she was contributorily negligent and failed to mitigate her loss by exercising and attending for recommended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issues for determination are:</w:t>
      </w:r>
      <w:r>
        <w:rPr>
          <w:rFonts w:ascii="arial" w:eastAsia="arial" w:hAnsi="arial" w:cs="arial"/>
          <w:sz w:val="20"/>
          <w:lang w:val="en-US" w:eastAsia="en-US" w:bidi="ar-SA"/>
        </w:rPr>
        <w:cr/>
      </w:r>
    </w:p>
    <w:p>
      <w:pPr>
        <w:numPr>
          <w:numId w:val="1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Ms. Gilbert contribute negligently to her own injuries by getting into the vehicle driven by Mr. Bottle and sitting in a position not equipped with a seatbelt? If so, to what extent?</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was Ms. Gilbert's physical, mental and emotional condition and level of function before and after the accident, and why?</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Ms. Gilbert's future prognosis?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Ms. Gilbert fail to mitigate her loss by not undertaking reasonable forms of rehabilitation?</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quantum of damages should be awarded to Ms. Gilbert?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CREDIBILITY AND RELIABILITY OF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 truthfulness, reliability and accuracy of Ms. Gilbert's accounts of her personal attributes and experiences before and after the accident are key issues for determination. The experts who assessed her relied to varying extents on her accounts and the weight to be attributed to their opinions on diagnosis, causation and prognosis depends largely on whether I find facts consistent or otherwise with what she has said. In particular, if I am not satisfied that Ms. Gilbert's account of a significant change in her physical, mental and emotional state and behaviour is accurate then the hypothesis upon which many of the expert opinions rest will be undermined: </w:t>
      </w:r>
      <w:r>
        <w:rPr>
          <w:rFonts w:ascii="arial" w:eastAsia="arial" w:hAnsi="arial" w:cs="arial"/>
          <w:i/>
          <w:color w:val="000000"/>
          <w:sz w:val="20"/>
          <w:lang w:val="en-US" w:eastAsia="en-US" w:bidi="ar-SA"/>
        </w:rPr>
        <w:t>Samuel v. Chrysler Credit Canada Ltd.</w:t>
      </w:r>
      <w:r>
        <w:rPr>
          <w:rFonts w:ascii="arial" w:eastAsia="arial" w:hAnsi="arial" w:cs="arial"/>
          <w:color w:val="000000"/>
          <w:sz w:val="20"/>
          <w:lang w:val="en-US" w:eastAsia="en-US" w:bidi="ar-SA"/>
        </w:rPr>
        <w:t xml:space="preserve">, </w:t>
      </w:r>
      <w:hyperlink r:id="rId953" w:history="1">
        <w:r>
          <w:rPr>
            <w:rFonts w:ascii="arial" w:eastAsia="arial" w:hAnsi="arial" w:cs="arial"/>
            <w:i/>
            <w:color w:val="0077CC"/>
            <w:sz w:val="20"/>
            <w:u w:val="single"/>
            <w:shd w:val="clear" w:color="auto" w:fill="FFFFFF"/>
            <w:lang w:val="en-US" w:eastAsia="en-US" w:bidi="ar-SA"/>
          </w:rPr>
          <w:t>2007 BCCA 431</w:t>
        </w:r>
      </w:hyperlink>
      <w:r>
        <w:rPr>
          <w:rFonts w:ascii="arial" w:eastAsia="arial" w:hAnsi="arial" w:cs="arial"/>
          <w:color w:val="000000"/>
          <w:sz w:val="20"/>
          <w:lang w:val="en-US" w:eastAsia="en-US" w:bidi="ar-SA"/>
        </w:rPr>
        <w:t>, paras. 15, 49-50.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In undertaking the fact-finding exercise I bear in mind the guidance of the Court of Appeal in </w:t>
      </w:r>
      <w:r>
        <w:rPr>
          <w:rFonts w:ascii="arial" w:eastAsia="arial" w:hAnsi="arial" w:cs="arial"/>
          <w:i/>
          <w:color w:val="000000"/>
          <w:sz w:val="20"/>
          <w:lang w:val="en-US" w:eastAsia="en-US" w:bidi="ar-SA"/>
        </w:rPr>
        <w:t>Faryna v. Chorny</w:t>
      </w:r>
      <w:r>
        <w:rPr>
          <w:rFonts w:ascii="arial" w:eastAsia="arial" w:hAnsi="arial" w:cs="arial"/>
          <w:color w:val="000000"/>
          <w:sz w:val="20"/>
          <w:lang w:val="en-US" w:eastAsia="en-US" w:bidi="ar-SA"/>
        </w:rPr>
        <w:t xml:space="preserve">, </w:t>
      </w:r>
      <w:hyperlink r:id="rId64" w:history="1">
        <w:r>
          <w:rPr>
            <w:rFonts w:ascii="arial" w:eastAsia="arial" w:hAnsi="arial" w:cs="arial"/>
            <w:i/>
            <w:color w:val="0077CC"/>
            <w:sz w:val="20"/>
            <w:u w:val="single"/>
            <w:shd w:val="clear" w:color="auto" w:fill="FFFFFF"/>
            <w:lang w:val="en-US" w:eastAsia="en-US" w:bidi="ar-SA"/>
          </w:rPr>
          <w:t>[1952] 2 D.L.R. 354</w:t>
        </w:r>
      </w:hyperlink>
      <w:r>
        <w:rPr>
          <w:rFonts w:ascii="arial" w:eastAsia="arial" w:hAnsi="arial" w:cs="arial"/>
          <w:color w:val="000000"/>
          <w:sz w:val="20"/>
          <w:lang w:val="en-US" w:eastAsia="en-US" w:bidi="ar-SA"/>
        </w:rPr>
        <w:t xml:space="preserve">, that I must consider the preponderance of probabilities evident in the surrounding circumstances and consider the evidence as a whole. I am also mindful that truthfulness and reliability are not necessarily synonymous. A witness may sincerely attempt to be truthful, but lack the perceptive, recall or narrative capacity to provide reliable testimony on a given matter. In cases such as this where issues of substance abuse, cognitive impairment and the passage of time loom large the ability of each witness to provide reliable testimony requires particularly close scrutiny: </w:t>
      </w:r>
      <w:r>
        <w:rPr>
          <w:rFonts w:ascii="arial" w:eastAsia="arial" w:hAnsi="arial" w:cs="arial"/>
          <w:i/>
          <w:color w:val="000000"/>
          <w:sz w:val="20"/>
          <w:lang w:val="en-US" w:eastAsia="en-US" w:bidi="ar-SA"/>
        </w:rPr>
        <w:t>R. v. Khelawon</w:t>
      </w:r>
      <w:r>
        <w:rPr>
          <w:rFonts w:ascii="arial" w:eastAsia="arial" w:hAnsi="arial" w:cs="arial"/>
          <w:color w:val="000000"/>
          <w:sz w:val="20"/>
          <w:lang w:val="en-US" w:eastAsia="en-US" w:bidi="ar-SA"/>
        </w:rPr>
        <w:t xml:space="preserve">, </w:t>
      </w:r>
      <w:hyperlink r:id="rId954" w:history="1">
        <w:r>
          <w:rPr>
            <w:rFonts w:ascii="arial" w:eastAsia="arial" w:hAnsi="arial" w:cs="arial"/>
            <w:i/>
            <w:color w:val="0077CC"/>
            <w:sz w:val="20"/>
            <w:u w:val="single"/>
            <w:shd w:val="clear" w:color="auto" w:fill="FFFFFF"/>
            <w:lang w:val="en-US" w:eastAsia="en-US" w:bidi="ar-SA"/>
          </w:rPr>
          <w:t>2006 SCC 57</w:t>
        </w:r>
      </w:hyperlink>
      <w:r>
        <w:rPr>
          <w:rFonts w:ascii="arial" w:eastAsia="arial" w:hAnsi="arial" w:cs="arial"/>
          <w:color w:val="000000"/>
          <w:sz w:val="20"/>
          <w:lang w:val="en-US" w:eastAsia="en-US" w:bidi="ar-SA"/>
        </w:rPr>
        <w:t xml:space="preserve">, para. 2; </w:t>
      </w:r>
      <w:r>
        <w:rPr>
          <w:rFonts w:ascii="arial" w:eastAsia="arial" w:hAnsi="arial" w:cs="arial"/>
          <w:i/>
          <w:color w:val="000000"/>
          <w:sz w:val="20"/>
          <w:lang w:val="en-US" w:eastAsia="en-US" w:bidi="ar-SA"/>
        </w:rPr>
        <w:t>Tai v. De Busscher et. al.</w:t>
      </w:r>
      <w:r>
        <w:rPr>
          <w:rFonts w:ascii="arial" w:eastAsia="arial" w:hAnsi="arial" w:cs="arial"/>
          <w:color w:val="000000"/>
          <w:sz w:val="20"/>
          <w:lang w:val="en-US" w:eastAsia="en-US" w:bidi="ar-SA"/>
        </w:rPr>
        <w:t xml:space="preserve">, </w:t>
      </w:r>
      <w:hyperlink r:id="rId67" w:history="1">
        <w:r>
          <w:rPr>
            <w:rFonts w:ascii="arial" w:eastAsia="arial" w:hAnsi="arial" w:cs="arial"/>
            <w:i/>
            <w:color w:val="0077CC"/>
            <w:sz w:val="20"/>
            <w:u w:val="single"/>
            <w:shd w:val="clear" w:color="auto" w:fill="FFFFFF"/>
            <w:lang w:val="en-US" w:eastAsia="en-US" w:bidi="ar-SA"/>
          </w:rPr>
          <w:t>2007 BCCA 371</w:t>
        </w:r>
      </w:hyperlink>
      <w:r>
        <w:rPr>
          <w:rFonts w:ascii="arial" w:eastAsia="arial" w:hAnsi="arial" w:cs="arial"/>
          <w:color w:val="000000"/>
          <w:sz w:val="20"/>
          <w:lang w:val="en-US" w:eastAsia="en-US" w:bidi="ar-SA"/>
        </w:rPr>
        <w:t>, para. 44.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Ms. Gilbert's counsel submits that she was sometimes mistaken in her testimony and prior statements but, nevertheless, was a generally credible and reliable witness. He attributes her poor memory and unusual presentation on the witness stand to her brain injury and focuses on the areas of consistency between her self-reports and those of her family and close friends. In his submission, although Ms. Gilbert inexplicably exaggerated the extent of her pre-accident substance abuse her description of her life experiences and mental, physical and emotional state before and after accident should, for the most part, be accepted as accurate.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contrast, counsel for Mr. Whitford and ICBC submits that Ms. Gilbert's testimony was frequently vague, internally inconsistent and inconsistent with her prior statements to others and on discovery. Importantly, it was also inconsistent with other more reliable testimony, including that of Mr. Bottle and Ms. Judd. In sum, regardless of the underlying explanation for her many errors, he says that Ms. Gilbert was an entirely unreliable witness. For this reason, in his submission, her testimony should be approached with great caution and, in several respects, rejected out of hand.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There is merit to elements of both submissions. Ms. Gilbert's memory is undeniably poor and she often contradicted herself both inside and outside the courtroom. That said, Ms. Gilbert impressed me as a sincere individual who was genuinely anxious and confused about aspects of her life experience, including aspects of her pre-accident and post-accident condition and prior statements. I am not persuaded, however, that she consciously attempted to mislead, at least on most matters. Rather, I conclude that in the moment she believed much, if not all, of what she said, although she was sometimes careless and mistaken. Occasionally, she was also flippant and immature.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All things considered, I agree with defence counsel that Ms. Gilbert's testimony must be approached with considerable caution. For this reason, I have paid close attention to areas of consistency and inconsistency between her evidence and that of others, including Ms. Coutlee, Ms. Antoine, Ms. Zabatel, Ms. Chelsea, Ms. Dick, Ms. Basil, Ms. Gilbert's mother, Margaret Gilbert, Ms. Judd and her family physician, Dr. Bannerman, as well as relevant records and reports. I have also considered her many prior inconsistent statements, most of which I am satisfied were a product of her memory deficits and poor mental health.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Ms. Coutlee, Ms. Antoine, Ms. Zabatel, Ms. Chelsea, Ms. Dick, Ms. Basil, Ms. Judd and Dr. Bannerman were all generally credible witnesses. As defence counsel noted, they had variable opportunities to observe Ms. Gilbert and, in that sense, their evidence is of variable assistance in the fact-finding exercise. Nevertheless, I am satisfied that much, though not all, of their testimony was consistent with Ms. Gilbert's own impressions and account of her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Defence counsel also submits that Margaret Gilbert was not a reliable witness. He says she did not actually know what her daughter was doing before or after the accident, particularly in connection with substance abuse. As a result, he says she presented an inaccurate picture of Ms. Gilbert's functioning throughout.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 do not accept this submission. Like many mothers, Margaret Gilbert was not as familiar as she believes with all of her daughter's conduct and was inclined to minimise troubling past experiences. Nevertheless, I am satisfied that she attempted to be truthful and was a largely reliable witness. Importantly, her description of Ms. Gilbert's personal attributes was consistent with that of other witnesses, as was her sense of a significant change in Ms. Gilbert's behaviour after the accident. Taking into account her limited recall of her daughter's early life, I approach some of Margaret Gilbert's testimony with a measure of caution but I do not discount it. On the contrary, I find it helpful in the fact-finding exercise.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 also accept that, for the most part, Mr. Bottle attempted to be truthful. Given his level of impairment at the time of the accident and confusion regarding the background circumstances, however, I conclude that his testimony must be approached with considerable caution. In reaching this conclusion, I have taken into account the different versions of events that Mr. Bottle provided in different contexts and his tendency to describe them in a self-serving manner. For example, Mr. Bottle untruthfully told police he had not been drinking prior to the accident and at trial admitted he was intoxicated.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Mr. Bottle also spoke with an ICBC lawyer about the accident. The ICBC statement was produced to Ms. Gilbert's counsel following a </w:t>
      </w:r>
      <w:r>
        <w:rPr>
          <w:rFonts w:ascii="arial" w:eastAsia="arial" w:hAnsi="arial" w:cs="arial"/>
          <w:i/>
          <w:color w:val="000000"/>
          <w:sz w:val="20"/>
          <w:lang w:val="en-US" w:eastAsia="en-US" w:bidi="ar-SA"/>
        </w:rPr>
        <w:t>voir dire</w:t>
      </w:r>
      <w:r>
        <w:rPr>
          <w:rFonts w:ascii="arial" w:eastAsia="arial" w:hAnsi="arial" w:cs="arial"/>
          <w:color w:val="000000"/>
          <w:sz w:val="20"/>
          <w:lang w:val="en-US" w:eastAsia="en-US" w:bidi="ar-SA"/>
        </w:rPr>
        <w:t xml:space="preserve"> conducted in the course of the trial. Despite his expressed desire to keep the statement confidential, I ruled that it was not privileged based on the principles set out in authorities such as </w:t>
      </w:r>
      <w:r>
        <w:rPr>
          <w:rFonts w:ascii="arial" w:eastAsia="arial" w:hAnsi="arial" w:cs="arial"/>
          <w:i/>
          <w:color w:val="000000"/>
          <w:sz w:val="20"/>
          <w:lang w:val="en-US" w:eastAsia="en-US" w:bidi="ar-SA"/>
        </w:rPr>
        <w:t>Steeves v. Rapanos</w:t>
      </w:r>
      <w:r>
        <w:rPr>
          <w:rFonts w:ascii="arial" w:eastAsia="arial" w:hAnsi="arial" w:cs="arial"/>
          <w:color w:val="000000"/>
          <w:sz w:val="20"/>
          <w:lang w:val="en-US" w:eastAsia="en-US" w:bidi="ar-SA"/>
        </w:rPr>
        <w:t xml:space="preserve"> </w:t>
      </w:r>
      <w:hyperlink r:id="rId955" w:history="1">
        <w:r>
          <w:rPr>
            <w:rFonts w:ascii="arial" w:eastAsia="arial" w:hAnsi="arial" w:cs="arial"/>
            <w:i/>
            <w:color w:val="0077CC"/>
            <w:sz w:val="20"/>
            <w:u w:val="single"/>
            <w:shd w:val="clear" w:color="auto" w:fill="FFFFFF"/>
            <w:lang w:val="en-US" w:eastAsia="en-US" w:bidi="ar-SA"/>
          </w:rPr>
          <w:t>(1982), 39 B.C.L.R. 60</w:t>
        </w:r>
      </w:hyperlink>
      <w:r>
        <w:rPr>
          <w:rFonts w:ascii="arial" w:eastAsia="arial" w:hAnsi="arial" w:cs="arial"/>
          <w:color w:val="000000"/>
          <w:sz w:val="20"/>
          <w:lang w:val="en-US" w:eastAsia="en-US" w:bidi="ar-SA"/>
        </w:rPr>
        <w:t xml:space="preserve">, affirmed at </w:t>
      </w:r>
      <w:hyperlink r:id="rId956" w:history="1">
        <w:r>
          <w:rPr>
            <w:rFonts w:ascii="arial" w:eastAsia="arial" w:hAnsi="arial" w:cs="arial"/>
            <w:i/>
            <w:color w:val="0077CC"/>
            <w:sz w:val="20"/>
            <w:u w:val="single"/>
            <w:shd w:val="clear" w:color="auto" w:fill="FFFFFF"/>
            <w:lang w:val="en-US" w:eastAsia="en-US" w:bidi="ar-SA"/>
          </w:rPr>
          <w:t>(1982) 41 B.C.L.R. 312</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Rutherford v. Sagard</w:t>
      </w:r>
      <w:r>
        <w:rPr>
          <w:rFonts w:ascii="arial" w:eastAsia="arial" w:hAnsi="arial" w:cs="arial"/>
          <w:color w:val="000000"/>
          <w:sz w:val="20"/>
          <w:lang w:val="en-US" w:eastAsia="en-US" w:bidi="ar-SA"/>
        </w:rPr>
        <w:t xml:space="preserve">, </w:t>
      </w:r>
      <w:hyperlink r:id="rId957" w:history="1">
        <w:r>
          <w:rPr>
            <w:rFonts w:ascii="arial" w:eastAsia="arial" w:hAnsi="arial" w:cs="arial"/>
            <w:i/>
            <w:color w:val="0077CC"/>
            <w:sz w:val="20"/>
            <w:u w:val="single"/>
            <w:shd w:val="clear" w:color="auto" w:fill="FFFFFF"/>
            <w:lang w:val="en-US" w:eastAsia="en-US" w:bidi="ar-SA"/>
          </w:rPr>
          <w:t>2001 BCSC 365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Bottle testified that he did not recall why he gave the ICBC statement and said he felt he had to give one if asked to do so. This testimony did not establish the statement was provided for the dominant purpose of litigation and given its relevance I ordered him to produce it for purposes of cross-examination. After the ICBC statement was put to him on cross-examination, Mr. Bottle admitted considerable uncertainty as to the background circumstances of the accident. As discussed below, this concession was significant with respect to my findings on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defendants do not contest liability. The issue for determination is whether Ms. Gilbert contributed negligently to her own injuries by getting into the vehicle driven by Mr. Bottle or sitting in an area not equipped with a seatbelt and, if so, to what extent.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When a plaintiff contributes negligently to causing his or her own injury, pursuant to s. 4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 xml:space="preserve">, the court must determine relative degrees of fault. The prerequisite to a liability apportionment is that damage or loss was caused by the fault of two or more persons. The fault of the plaintiff at issue is the failure to take reasonable care for his or her own safety: </w:t>
      </w:r>
      <w:r>
        <w:rPr>
          <w:rFonts w:ascii="arial" w:eastAsia="arial" w:hAnsi="arial" w:cs="arial"/>
          <w:i/>
          <w:color w:val="000000"/>
          <w:sz w:val="20"/>
          <w:lang w:val="en-US" w:eastAsia="en-US" w:bidi="ar-SA"/>
        </w:rPr>
        <w:t>Bradley v. Bath</w:t>
      </w:r>
      <w:r>
        <w:rPr>
          <w:rFonts w:ascii="arial" w:eastAsia="arial" w:hAnsi="arial" w:cs="arial"/>
          <w:color w:val="000000"/>
          <w:sz w:val="20"/>
          <w:lang w:val="en-US" w:eastAsia="en-US" w:bidi="ar-SA"/>
        </w:rPr>
        <w:t xml:space="preserve">, </w:t>
      </w:r>
      <w:hyperlink r:id="rId958" w:history="1">
        <w:r>
          <w:rPr>
            <w:rFonts w:ascii="arial" w:eastAsia="arial" w:hAnsi="arial" w:cs="arial"/>
            <w:i/>
            <w:color w:val="0077CC"/>
            <w:sz w:val="20"/>
            <w:u w:val="single"/>
            <w:shd w:val="clear" w:color="auto" w:fill="FFFFFF"/>
            <w:lang w:val="en-US" w:eastAsia="en-US" w:bidi="ar-SA"/>
          </w:rPr>
          <w:t>2010 BCCA 10</w:t>
        </w:r>
      </w:hyperlink>
      <w:r>
        <w:rPr>
          <w:rFonts w:ascii="arial" w:eastAsia="arial" w:hAnsi="arial" w:cs="arial"/>
          <w:color w:val="000000"/>
          <w:sz w:val="20"/>
          <w:lang w:val="en-US" w:eastAsia="en-US" w:bidi="ar-SA"/>
        </w:rPr>
        <w:t>, paras. 24-27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onus is on the defendant to establish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Once established, apportionment is based on the degree to which each person was at fault, not on the basis to which each person's fault caused the damage or loss. In assessing comparative fault, or blameworthiness, the court must consider the degree of risk created by each of the parties and apportion liability based on the nature and extent of each party's departure from the relevant standard of care. The levels of fault under consideration may vary from a reckless disregard for safety to a minor lapse of care: </w:t>
      </w:r>
      <w:r>
        <w:rPr>
          <w:rFonts w:ascii="arial" w:eastAsia="arial" w:hAnsi="arial" w:cs="arial"/>
          <w:i/>
          <w:color w:val="000000"/>
          <w:sz w:val="20"/>
          <w:lang w:val="en-US" w:eastAsia="en-US" w:bidi="ar-SA"/>
        </w:rPr>
        <w:t>Cempel v. Harrison Hot Springs</w:t>
      </w:r>
      <w:r>
        <w:rPr>
          <w:rFonts w:ascii="arial" w:eastAsia="arial" w:hAnsi="arial" w:cs="arial"/>
          <w:color w:val="000000"/>
          <w:sz w:val="20"/>
          <w:lang w:val="en-US" w:eastAsia="en-US" w:bidi="ar-SA"/>
        </w:rPr>
        <w:t xml:space="preserve">, </w:t>
      </w:r>
      <w:hyperlink r:id="rId959" w:history="1">
        <w:r>
          <w:rPr>
            <w:rFonts w:ascii="arial" w:eastAsia="arial" w:hAnsi="arial" w:cs="arial"/>
            <w:i/>
            <w:color w:val="0077CC"/>
            <w:sz w:val="20"/>
            <w:u w:val="single"/>
            <w:shd w:val="clear" w:color="auto" w:fill="FFFFFF"/>
            <w:lang w:val="en-US" w:eastAsia="en-US" w:bidi="ar-SA"/>
          </w:rPr>
          <w:t>[1997] B.C.J. No. 2853</w:t>
        </w:r>
      </w:hyperlink>
      <w:r>
        <w:rPr>
          <w:rFonts w:ascii="arial" w:eastAsia="arial" w:hAnsi="arial" w:cs="arial"/>
          <w:color w:val="000000"/>
          <w:sz w:val="20"/>
          <w:lang w:val="en-US" w:eastAsia="en-US" w:bidi="ar-SA"/>
        </w:rPr>
        <w:t xml:space="preserve"> (B.C.C.A.), paras. 23-24; </w:t>
      </w:r>
      <w:r>
        <w:rPr>
          <w:rFonts w:ascii="arial" w:eastAsia="arial" w:hAnsi="arial" w:cs="arial"/>
          <w:i/>
          <w:color w:val="000000"/>
          <w:sz w:val="20"/>
          <w:lang w:val="en-US" w:eastAsia="en-US" w:bidi="ar-SA"/>
        </w:rPr>
        <w:t>Alberta Wheat Pool v. Northwest Pile Driving Ltd.</w:t>
      </w:r>
      <w:r>
        <w:rPr>
          <w:rFonts w:ascii="arial" w:eastAsia="arial" w:hAnsi="arial" w:cs="arial"/>
          <w:color w:val="000000"/>
          <w:sz w:val="20"/>
          <w:lang w:val="en-US" w:eastAsia="en-US" w:bidi="ar-SA"/>
        </w:rPr>
        <w:t xml:space="preserve">, </w:t>
      </w:r>
      <w:hyperlink r:id="rId402" w:history="1">
        <w:r>
          <w:rPr>
            <w:rFonts w:ascii="arial" w:eastAsia="arial" w:hAnsi="arial" w:cs="arial"/>
            <w:i/>
            <w:color w:val="0077CC"/>
            <w:sz w:val="20"/>
            <w:u w:val="single"/>
            <w:shd w:val="clear" w:color="auto" w:fill="FFFFFF"/>
            <w:lang w:val="en-US" w:eastAsia="en-US" w:bidi="ar-SA"/>
          </w:rPr>
          <w:t>2000 BCCA 505</w:t>
        </w:r>
      </w:hyperlink>
      <w:r>
        <w:rPr>
          <w:rFonts w:ascii="arial" w:eastAsia="arial" w:hAnsi="arial" w:cs="arial"/>
          <w:color w:val="000000"/>
          <w:sz w:val="20"/>
          <w:lang w:val="en-US" w:eastAsia="en-US" w:bidi="ar-SA"/>
        </w:rPr>
        <w:t xml:space="preserve">, para. 46; </w:t>
      </w:r>
      <w:r>
        <w:rPr>
          <w:rFonts w:ascii="arial" w:eastAsia="arial" w:hAnsi="arial" w:cs="arial"/>
          <w:i/>
          <w:color w:val="000000"/>
          <w:sz w:val="20"/>
          <w:lang w:val="en-US" w:eastAsia="en-US" w:bidi="ar-SA"/>
        </w:rPr>
        <w:t>Bradley</w:t>
      </w:r>
      <w:r>
        <w:rPr>
          <w:rFonts w:ascii="arial" w:eastAsia="arial" w:hAnsi="arial" w:cs="arial"/>
          <w:color w:val="000000"/>
          <w:sz w:val="20"/>
          <w:lang w:val="en-US" w:eastAsia="en-US" w:bidi="ar-SA"/>
        </w:rPr>
        <w:t>, para. 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In motor vehicle accident cases the defence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may be advanced in a wide variety of circumstances. Not uncommonly, a plaintiff's failure to wear a seatbelt is one; voluntarily riding with an impaired driver is another. In this case, both forms of the defence are advanced on behalf of Mr. Whitford and ICBC. It is desirable, therefore, to summarise the core ideas that emerge from the authorities in similar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A plaintiff may be found to have failed to take reasonable care for his or her own safety by not wearing an available seatbelt or by accepting a ride in a vehicle not equipped with seatbelts. If a seatbelt was available but not worn, the evidence must establish that it was operational and the plaintiff's injuries would have been reduced by usage to justify a finding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Although there is no hard and fast rule as to apportionment in cases involving a successful seatbelt defence, the plaintiff is often held to be 10% to 25% contributorily negligent: </w:t>
      </w:r>
      <w:r>
        <w:rPr>
          <w:rFonts w:ascii="arial" w:eastAsia="arial" w:hAnsi="arial" w:cs="arial"/>
          <w:i/>
          <w:color w:val="000000"/>
          <w:sz w:val="20"/>
          <w:lang w:val="en-US" w:eastAsia="en-US" w:bidi="ar-SA"/>
        </w:rPr>
        <w:t>Harrison v. Brown</w:t>
      </w:r>
      <w:r>
        <w:rPr>
          <w:rFonts w:ascii="arial" w:eastAsia="arial" w:hAnsi="arial" w:cs="arial"/>
          <w:color w:val="000000"/>
          <w:sz w:val="20"/>
          <w:lang w:val="en-US" w:eastAsia="en-US" w:bidi="ar-SA"/>
        </w:rPr>
        <w:t xml:space="preserve">, </w:t>
      </w:r>
      <w:hyperlink r:id="rId960" w:history="1">
        <w:r>
          <w:rPr>
            <w:rFonts w:ascii="arial" w:eastAsia="arial" w:hAnsi="arial" w:cs="arial"/>
            <w:i/>
            <w:color w:val="0077CC"/>
            <w:sz w:val="20"/>
            <w:u w:val="single"/>
            <w:shd w:val="clear" w:color="auto" w:fill="FFFFFF"/>
            <w:lang w:val="en-US" w:eastAsia="en-US" w:bidi="ar-SA"/>
          </w:rPr>
          <w:t>[1985] B.C.J. No. 2889</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Thon v. Podollan</w:t>
      </w:r>
      <w:r>
        <w:rPr>
          <w:rFonts w:ascii="arial" w:eastAsia="arial" w:hAnsi="arial" w:cs="arial"/>
          <w:color w:val="000000"/>
          <w:sz w:val="20"/>
          <w:lang w:val="en-US" w:eastAsia="en-US" w:bidi="ar-SA"/>
        </w:rPr>
        <w:t xml:space="preserve">, </w:t>
      </w:r>
      <w:hyperlink r:id="rId961" w:history="1">
        <w:r>
          <w:rPr>
            <w:rFonts w:ascii="arial" w:eastAsia="arial" w:hAnsi="arial" w:cs="arial"/>
            <w:i/>
            <w:color w:val="0077CC"/>
            <w:sz w:val="20"/>
            <w:u w:val="single"/>
            <w:shd w:val="clear" w:color="auto" w:fill="FFFFFF"/>
            <w:lang w:val="en-US" w:eastAsia="en-US" w:bidi="ar-SA"/>
          </w:rPr>
          <w:t>2001 BCSC 194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Ford v. Henderson</w:t>
      </w:r>
      <w:r>
        <w:rPr>
          <w:rFonts w:ascii="arial" w:eastAsia="arial" w:hAnsi="arial" w:cs="arial"/>
          <w:color w:val="000000"/>
          <w:sz w:val="20"/>
          <w:lang w:val="en-US" w:eastAsia="en-US" w:bidi="ar-SA"/>
        </w:rPr>
        <w:t xml:space="preserve">, </w:t>
      </w:r>
      <w:hyperlink r:id="rId962" w:history="1">
        <w:r>
          <w:rPr>
            <w:rFonts w:ascii="arial" w:eastAsia="arial" w:hAnsi="arial" w:cs="arial"/>
            <w:i/>
            <w:color w:val="0077CC"/>
            <w:sz w:val="20"/>
            <w:u w:val="single"/>
            <w:shd w:val="clear" w:color="auto" w:fill="FFFFFF"/>
            <w:lang w:val="en-US" w:eastAsia="en-US" w:bidi="ar-SA"/>
          </w:rPr>
          <w:t>2005 BCSC 609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Thon</w:t>
      </w:r>
      <w:r>
        <w:rPr>
          <w:rFonts w:ascii="arial" w:eastAsia="arial" w:hAnsi="arial" w:cs="arial"/>
          <w:color w:val="000000"/>
          <w:sz w:val="20"/>
          <w:lang w:val="en-US" w:eastAsia="en-US" w:bidi="ar-SA"/>
        </w:rPr>
        <w:t>, A. F. Wilson J. found the plaintiffs were contributorily negligent for accepting a ride in a vehicle not equipped with seatbelts and apportioned liability of 10% to each of them. In so doing, he explained the difference between cases involving an available but unused seatbelt and those in which a seatbelt is unavailable. At paragraphs 56 and 57, 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56 Counsel for the defendants submits that the plaintiffs were contributorily negligent in assuming the risk of driving in the back seat of the Podollan vehicle when it was not equipped with seat belts. He submits that if they had refused that risk, by not getting in the backseat of a vehicle not equipped with seat belts, they would not have sustained their injuries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57 I find the defendants' argument that, in this case, Tammy and Tanya did not take reasonable care for their own interests, and thus contributed to their own injuries, by riding in a vehicle not equipped with seat belts, to be unanswerable. Counsel for the plaintiffs submits that, even if the defendants have established the first part of the so-called "seat belt defence", as set out in </w:t>
      </w:r>
      <w:r>
        <w:rPr>
          <w:rFonts w:ascii="arial" w:eastAsia="arial" w:hAnsi="arial" w:cs="arial"/>
          <w:i/>
          <w:color w:val="000000"/>
          <w:sz w:val="20"/>
          <w:lang w:val="en-US" w:eastAsia="en-US" w:bidi="ar-SA"/>
        </w:rPr>
        <w:t>Gagnon v. Beaulieu</w:t>
      </w:r>
      <w:r>
        <w:rPr>
          <w:rFonts w:ascii="arial" w:eastAsia="arial" w:hAnsi="arial" w:cs="arial"/>
          <w:color w:val="000000"/>
          <w:sz w:val="20"/>
          <w:lang w:val="en-US" w:eastAsia="en-US" w:bidi="ar-SA"/>
        </w:rPr>
        <w:t xml:space="preserve">, </w:t>
      </w:r>
      <w:hyperlink r:id="rId963" w:history="1">
        <w:r>
          <w:rPr>
            <w:rFonts w:ascii="arial" w:eastAsia="arial" w:hAnsi="arial" w:cs="arial"/>
            <w:i/>
            <w:color w:val="0077CC"/>
            <w:sz w:val="20"/>
            <w:u w:val="single"/>
            <w:shd w:val="clear" w:color="auto" w:fill="FFFFFF"/>
            <w:lang w:val="en-US" w:eastAsia="en-US" w:bidi="ar-SA"/>
          </w:rPr>
          <w:t>[1977] 1 W.W.R. 702</w:t>
        </w:r>
      </w:hyperlink>
      <w:r>
        <w:rPr>
          <w:rFonts w:ascii="arial" w:eastAsia="arial" w:hAnsi="arial" w:cs="arial"/>
          <w:color w:val="000000"/>
          <w:sz w:val="20"/>
          <w:lang w:val="en-US" w:eastAsia="en-US" w:bidi="ar-SA"/>
        </w:rPr>
        <w:t xml:space="preserve"> (B.C.S.C.), they have not established the second branch, that the injuries would have been prevented or less severe if it had been worn. However, the argument is not that the injuries would have been prevented or reduced, if the plaintiffs had worn an available seat belt. Rather, it is that the injuries would have been avoided entirely if the plaintiffs had not assumed the risk of riding in the back of the Jeep without seat belts. As counsel for the defendants pointed out, the important distinction between choosing to ride in a vehicle without a seat belt, and choosing not to wear an available seat belt, relates to the consequences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In the former circumstances, the exercise of reasonable care would have avoided the injuries in their entirety; in the latter circumstances, involvement in the accident would not have been avoided, and the issue thus arises as to whether the injuries would have been reduced by seat belt usage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A plaintiff may also be found to have failed to take reasonable care for his or her own safety by accepting a ride with an intoxicated driver when the plaintiff knew or should have known of the driver's intoxication when the ride was accepted. An objective assessment of all of the circumstances is required and, where the plaintiff joins the defendant in becoming intoxicated, liability may be imposed taking into account their joint participation in a hazardous enterprise. In such cases, the plaintiff is often held to be 25% to 40% contributorily negligent: </w:t>
      </w:r>
      <w:r>
        <w:rPr>
          <w:rFonts w:ascii="arial" w:eastAsia="arial" w:hAnsi="arial" w:cs="arial"/>
          <w:i/>
          <w:color w:val="000000"/>
          <w:sz w:val="20"/>
          <w:lang w:val="en-US" w:eastAsia="en-US" w:bidi="ar-SA"/>
        </w:rPr>
        <w:t>Pottage v. Patterson</w:t>
      </w:r>
      <w:r>
        <w:rPr>
          <w:rFonts w:ascii="arial" w:eastAsia="arial" w:hAnsi="arial" w:cs="arial"/>
          <w:color w:val="000000"/>
          <w:sz w:val="20"/>
          <w:lang w:val="en-US" w:eastAsia="en-US" w:bidi="ar-SA"/>
        </w:rPr>
        <w:t xml:space="preserve"> </w:t>
      </w:r>
      <w:hyperlink r:id="rId964" w:history="1">
        <w:r>
          <w:rPr>
            <w:rFonts w:ascii="arial" w:eastAsia="arial" w:hAnsi="arial" w:cs="arial"/>
            <w:i/>
            <w:color w:val="0077CC"/>
            <w:sz w:val="20"/>
            <w:u w:val="single"/>
            <w:shd w:val="clear" w:color="auto" w:fill="FFFFFF"/>
            <w:lang w:val="en-US" w:eastAsia="en-US" w:bidi="ar-SA"/>
          </w:rPr>
          <w:t>(1980), 24 B.C.L.R. 43</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Walsh v. Gougeon</w:t>
      </w:r>
      <w:r>
        <w:rPr>
          <w:rFonts w:ascii="arial" w:eastAsia="arial" w:hAnsi="arial" w:cs="arial"/>
          <w:color w:val="000000"/>
          <w:sz w:val="20"/>
          <w:lang w:val="en-US" w:eastAsia="en-US" w:bidi="ar-SA"/>
        </w:rPr>
        <w:t xml:space="preserve">, </w:t>
      </w:r>
      <w:hyperlink r:id="rId965" w:history="1">
        <w:r>
          <w:rPr>
            <w:rFonts w:ascii="arial" w:eastAsia="arial" w:hAnsi="arial" w:cs="arial"/>
            <w:i/>
            <w:color w:val="0077CC"/>
            <w:sz w:val="20"/>
            <w:u w:val="single"/>
            <w:shd w:val="clear" w:color="auto" w:fill="FFFFFF"/>
            <w:lang w:val="en-US" w:eastAsia="en-US" w:bidi="ar-SA"/>
          </w:rPr>
          <w:t>[1989] B.C.J. No. 1446</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Neufeld v. Foster</w:t>
      </w:r>
      <w:r>
        <w:rPr>
          <w:rFonts w:ascii="arial" w:eastAsia="arial" w:hAnsi="arial" w:cs="arial"/>
          <w:color w:val="000000"/>
          <w:sz w:val="20"/>
          <w:lang w:val="en-US" w:eastAsia="en-US" w:bidi="ar-SA"/>
        </w:rPr>
        <w:t xml:space="preserve">, </w:t>
      </w:r>
      <w:hyperlink r:id="rId405" w:history="1">
        <w:r>
          <w:rPr>
            <w:rFonts w:ascii="arial" w:eastAsia="arial" w:hAnsi="arial" w:cs="arial"/>
            <w:i/>
            <w:color w:val="0077CC"/>
            <w:sz w:val="20"/>
            <w:u w:val="single"/>
            <w:shd w:val="clear" w:color="auto" w:fill="FFFFFF"/>
            <w:lang w:val="en-US" w:eastAsia="en-US" w:bidi="ar-SA"/>
          </w:rPr>
          <w:t>[1999] B.C.J. No. 764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Holton v. MacKinnon</w:t>
      </w:r>
      <w:r>
        <w:rPr>
          <w:rFonts w:ascii="arial" w:eastAsia="arial" w:hAnsi="arial" w:cs="arial"/>
          <w:color w:val="000000"/>
          <w:sz w:val="20"/>
          <w:lang w:val="en-US" w:eastAsia="en-US" w:bidi="ar-SA"/>
        </w:rPr>
        <w:t xml:space="preserve">, </w:t>
      </w:r>
      <w:hyperlink r:id="rId404" w:history="1">
        <w:r>
          <w:rPr>
            <w:rFonts w:ascii="arial" w:eastAsia="arial" w:hAnsi="arial" w:cs="arial"/>
            <w:i/>
            <w:color w:val="0077CC"/>
            <w:sz w:val="20"/>
            <w:u w:val="single"/>
            <w:shd w:val="clear" w:color="auto" w:fill="FFFFFF"/>
            <w:lang w:val="en-US" w:eastAsia="en-US" w:bidi="ar-SA"/>
          </w:rPr>
          <w:t>2005 BCSC 41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Neufeld</w:t>
      </w:r>
      <w:r>
        <w:rPr>
          <w:rFonts w:ascii="arial" w:eastAsia="arial" w:hAnsi="arial" w:cs="arial"/>
          <w:color w:val="000000"/>
          <w:sz w:val="20"/>
          <w:lang w:val="en-US" w:eastAsia="en-US" w:bidi="ar-SA"/>
        </w:rPr>
        <w:t xml:space="preserve">, L. Smith J. considered defences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based on both the plaintiff's failure to wear an available seat belt and voluntary riding with an impaired driver. The plaintiff, the defendant and others were over-served alcohol at a pub, left the pub intoxicated and were involved in an accident shortly thereafter. L. Smith J. concluded that the evidence did not prove the plaintiff's injuries would have been reduced if she had worn the seat belt. She accepted, however, that the plaintiff knew the driver was intoxicated and failed to show appropriate regard for her own safety by accepting the ride. In these circumstances, she apportioned liability 50% to the defendant, 20% to the pub and 30%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Ms. Gilbert and Mr. Bottle both testified about the events surrounding the accident. Their accounts differed in several significant respects. Both were poor historians and, in the absence of independent evidence, the degree to which the differences between the two accounts can be resolved is limited. For this reason, certain contentious factual assertions relating to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must be dealt with based on the burden of proof.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Ms. Gilbert was living with a friend on the Sugar Cane Reserve at the time of the accident. She and Mr. Bottle were not previously acquainted but they had mutual friends, including Chris Wycotte. Mr. Wycotte lived on the reserve in what Ms. Gilbert described as a "party house". His house was located near Margaret Gilbert's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On the afternoon of March 8, 2005 Ms. Gilbert drank some beer at her friend's home, but she did not become heavily intoxicated. When the others present left or passed out she went over to her mother's home. Shortly after she arrived, however, Ms. Gilbert and her mother got into an argument. As a result, she decided to leave and find a ride into Williams Lake, where she planned to go to the bar.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Ms. Gilbert heard music coming from Mr. Wycotte's house and began to walk toward it. She insisted when testifying, however, that she did not go inside the house. In her direct testimony Ms. Gilbert claimed that she encountered Mr. Bottle, Mr. Wycotte and Sean Cloutier in a vehicle driven by Mr. Bottle pulling out of the Wycotte driveway. She said she asked for a ride, Mr. Bottle agreed, and she immediately jumped into the backseat of the car. It was dark outside and she did not notice Mr. Bottle exhibiting signs of impairment before she got inside.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On cross-examination Ms. Gilbert revised her testimony slightly but significantly. In response to questions about a prior inconsistent statement, she claimed she spent about 15 minutes in the yard of Mr. Wycotte's house before the group departed for Williams Lake. She remained adamant, however, that she did not go inside the house. When asked if she previously acknowledged drinking at the Wycotte house, she repeated her assertion that she'd been drinking before her arrival but denied doing so when she was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Bottle's account was quite different from that of Ms. Gilbert. He testified that she came into Mr. Wycotte's house and joined him and the others in drinking beer and smoking marijuana. He initially estimated that Ms. Gilbert spent 40 minutes inside the house before the group departed. After a prior inconsistent statement was put to him, however, he testified he could only say with confidence that he recalled Ms. Gilbert being inside the house, drinking beer at a table. He also testified that he and his friends were speaking loudly and expressed the view that he was obviously impaired.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When these events occurred Mr. Bottle was, by his own description, a problem drinker. To his credit, by the time of trial he had stopped drinking alcohol entirely. On March 8, 2005, however, Mr. Bottle had spent the afternoon drinking a large amount of beer on a mountainside prior to arriving at Mr. Wycotte's home. As he candidly conceded, when active, his drinking habit caused him considerable confusion, difficulty and disruption in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After sifting through the two accounts, I conclude that Ms. Gilbert left her mother's home, walked over to the Wycotte house, went inside and drank some beer. In my view, it is inherently unlikely that, as she claimed on cross-examination, she spent 15 minutes standing outside of the house before the group set off for Williams Lake. In addition, Mr. Bottle's claim that he clearly recalls seeing Ms. Gilbert inside the house drinking beer rang true and harmonizes with the preponderance of probabilities. Accordingly, I accept this aspect of Mr. Bottle's testimony and reject that of Ms. Gilbert.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 do not know if Ms. Gilbert attempted consciously to mislead when she testified that she did not enter the Wycotte house or drink alcohol after she went inside. It may be that her poor memory has left her uncertain and she has tried to fill in the blanks in a manner she perceives as favourable to her own interests. On the other hand, it may be that poor judgment and perceived self interest have led her intentionally to misrepresent what she remembers. Given her impaired mental and emotional state, I am unable to reach a view on this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Regardless, I am not satisfied that the defence has established what probably occurred when Ms. Gilbert was inside the house except that she sat at a table and drank an unknown quantity of beer over an unknown period. In particular, I am not satisfied that Ms. Gilbert saw Mr. Bottle drinking or displaying obvious signs of impairment. As is apparent from Mr. Bottle's prior inconsistent statements and revised testimony, his memory of these events is hazy and his impaired condition at the time limited his capacity to provide reliable testimony. In addition, Mr. Bottle was an experienced drinker whose level of intoxication might not be apparent to those around him, particularly strangers. Although I do not doubt the sincerity of his belief that he was obviously impaired I am not persuaded that he is 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At some point shortly after Ms. Gilbert arrived at the Wycotte house the group left for Williams Lake with Mr. Bottle driving Mr. Whitford's 1982 Capri. Mr. Cloutier sat in the front passenger seat; Mr. Wycotte and Ms. Gilbert sat in the back. Ms. Gilbert sat in the middle because there was a baby seat, strapped in with one of the two available rear seatbelts, occupying the left side of the backseat. There was also a large "boom box" in the rear cargo area of the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Mr. Bottle pulled away quickly. Ms. Gilbert did not realize the left rear seatbelt was affixed to the baby seat until she was already inside the car. Unfortunately, there was no other seatbelt available for her to use when Mr. Bottle began to drive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Throughout the trip, Mr. Bottle drove quickly and erratically. Ms. Gilbert scrambled about for a seatbelt and tried, without success, to gain access to the seatbelt affixed to the baby seat. She also asked Mr. Bottle repeatedly to slow down and let her out of the vehicle, but he refused.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When the group arrived in Williams Lake, Mr. Bottle continued to drive dangerously. Ms. Gilbert asked again to be let out. Again, Mr. Bottle refused. Immediately before the accident, he took off fast from a stop sign and geared down as he approached the corner of 2nd Avenue and Cornwall Crescent. The vehicle caught some gravel and slid sideways into the curb, spun around, slid across a grass embankment, struck a tree, vaulted a ditched, rolled and ended up suspended on a fence with its front end in the 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accident happened at approximately 8:30 p.m. Ms. Gilbert recalls seeing lights coming toward the vehicle, but does not recall the crash itself. When the vehicle came to rest Mr. Bottle found her lying on the ground directly below, apparently having fallen out of the rear hatch window. According to Mr. Bottle, Ms. Gilbert seemed to be snoring. He tried to assist her, heard sirens, panicked and ran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Ms. Gilbert suffered many injuries as a result of the accident. They include a traumatic brain injury, fractured clavicle, head laceration, and soft tissue injuries to her neck and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 Harvey West is a professional engineer and expert in traffic accident reconstruction and seatbelt effectiveness. He provided opinion evidence in these areas with respect to the accident and certain injuries that Ms. Gilbert sustained. Based on a document and photographic review Mr. West was able to assess some of the collision and occupant dynamics. He did not, however, examine the vehicle and could not comment on whether the left rear seatbelt was functioning properly. As he conceded, he also could not comment on Ms. Gilbert's personal susceptibility to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his report, Mr. West opined that Ms. Gilbert's head laceration and fractured clavicle probably occurred as a consequence of her ejection from the vehicle. As he explained, her large head laceration is more consistent with having been struck by something other than the rear window glazing because an impact with tempered glass typically causes multiple light lacerations, which were not apparent on the photographs. Because Ms. Gilbert was found on the ground outside the vehicle after the accident, Mr. West concluded that her head laceration and fractured clavicle were most probably caused by her ejection.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 West also opined that Ms. Gilbert would not have been ejected had she occupied the left rear of the vehicle and worn a properly functioning seatbelt. He went on to say that, even if belted, her head could have struck the rear hatch glazing if the glass remained intact throughout the course of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After hearing evidence on a </w:t>
      </w:r>
      <w:r>
        <w:rPr>
          <w:rFonts w:ascii="arial" w:eastAsia="arial" w:hAnsi="arial" w:cs="arial"/>
          <w:i/>
          <w:color w:val="000000"/>
          <w:sz w:val="20"/>
          <w:lang w:val="en-US" w:eastAsia="en-US" w:bidi="ar-SA"/>
        </w:rPr>
        <w:t>voir dire</w:t>
      </w:r>
      <w:r>
        <w:rPr>
          <w:rFonts w:ascii="arial" w:eastAsia="arial" w:hAnsi="arial" w:cs="arial"/>
          <w:color w:val="000000"/>
          <w:sz w:val="20"/>
          <w:lang w:val="en-US" w:eastAsia="en-US" w:bidi="ar-SA"/>
        </w:rPr>
        <w:t xml:space="preserve"> I concluded that Mr. West's opinion on whether such an impact would likely have caused Ms. Gilbert to suffer a brain injury was inadmissible. I reached this conclusion because, in my view, he did not have sufficient specialised knowledge on this matter to render his opinion helpful. His report was edited accordingly.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Despite Mr. West's admissible evidence I am not satisfied that any of Ms. Gilbert's injuries were probably caused by her ejection or would probably have been avoided had she been wearing a seat belt. I accept his opinion that her head laceration was probably not caused by striking the rear window glazing, but that does not make it more probable than not that ejection was the injury's cause. The accident involved multiple impacts and the mechanism of Ms. Gilbert's injuries and movements within the vehicle are not clear on the evidence. Items such as the baby seat or boom box could have struck her and she could have struck areas of the vehicle's interior or its other occupants. In addition, her susceptibility to injury in the circumstances is entirely unknown.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Defence counsel submits that Ms. Gilbert contributed negligently to her own injuries by voluntarily riding with an impaired driver. He urges me to accept Mr. Bottle's testimony in preference to that of Ms. Gilbert and find Ms. Gilbert must have known Mr. Bottle was impaired. In the alternative, he submits that, regardless of her state of knowledge as to Mr. Bottle's impairment, Ms. Gilbert knew the Wycotte house was a party house and should have inquired into his level of sobriety before accepting a ride. In the circumstances, from an objective perspective, her failure to do so amounted to a failure to take reasonable care for her own safety. Accordingly, he says she should be found contributorily negligent and a liability apportionment in the range of 25% - 40% should be imposed.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I do not accept that Ms. Gilbert contributed negligently to her own injuries by riding with Mr. Bottle. I have declined to find that Mr. Bottle was obviously impaired or that, as in </w:t>
      </w:r>
      <w:r>
        <w:rPr>
          <w:rFonts w:ascii="arial" w:eastAsia="arial" w:hAnsi="arial" w:cs="arial"/>
          <w:i/>
          <w:color w:val="000000"/>
          <w:sz w:val="20"/>
          <w:lang w:val="en-US" w:eastAsia="en-US" w:bidi="ar-SA"/>
        </w:rPr>
        <w:t>Neufeld</w:t>
      </w:r>
      <w:r>
        <w:rPr>
          <w:rFonts w:ascii="arial" w:eastAsia="arial" w:hAnsi="arial" w:cs="arial"/>
          <w:color w:val="000000"/>
          <w:sz w:val="20"/>
          <w:lang w:val="en-US" w:eastAsia="en-US" w:bidi="ar-SA"/>
        </w:rPr>
        <w:t>, Ms. Gilbert actually knew of his intoxication. I also decline to find that she should have made inquiries into his level of sobriety before accepting a ride with him into Williams Lake.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This is not a case in which the plaintiff and defendant were drinking together for hours before the negligent driving in question. On the contrary, although she drank beer at the Wycotte house, Ms. Gilbert was there with Mr. Bottle for only a brief period of time. The evidence does not establish that he displayed obvious signs of impairment and the surrounding circumstances did not suggest he might well be intoxicated. For example, no one mentioned that Mr. Bottle was drinking all afternoon. The single fact that the Wycotte house was a known "party house" did not make it unreasonably risky for Ms. Gilbert to accept a ride from anyone there regardless of his apparent state of sobriety or some indication that heavy drinking had recently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Defence counsel also submits that Ms. Gilbert contributed negligently to her own injuries by agreeing to ride as a passenger in a position not equipped with an available seatbelt. He says the circumstances are similar to those in </w:t>
      </w:r>
      <w:r>
        <w:rPr>
          <w:rFonts w:ascii="arial" w:eastAsia="arial" w:hAnsi="arial" w:cs="arial"/>
          <w:i/>
          <w:color w:val="000000"/>
          <w:sz w:val="20"/>
          <w:lang w:val="en-US" w:eastAsia="en-US" w:bidi="ar-SA"/>
        </w:rPr>
        <w:t>Thon</w:t>
      </w:r>
      <w:r>
        <w:rPr>
          <w:rFonts w:ascii="arial" w:eastAsia="arial" w:hAnsi="arial" w:cs="arial"/>
          <w:color w:val="000000"/>
          <w:sz w:val="20"/>
          <w:lang w:val="en-US" w:eastAsia="en-US" w:bidi="ar-SA"/>
        </w:rPr>
        <w:t xml:space="preserve"> and, had Ms. Gilbert exercised reasonable care, she could have avoided her injuries entirely by not assuming the risk of riding in the middle backseat. On this analysis, it is unnecessary to consider the extent to which proper seatbelt use would have avoided or reduced her injuries. If, however, such an analysis is required he says, based on Mr. West's evidence, those injuries caused by ejection from the vehicle could have been avoided. He concedes that, on a </w:t>
      </w:r>
      <w:r>
        <w:rPr>
          <w:rFonts w:ascii="arial" w:eastAsia="arial" w:hAnsi="arial" w:cs="arial"/>
          <w:i/>
          <w:color w:val="000000"/>
          <w:sz w:val="20"/>
          <w:lang w:val="en-US" w:eastAsia="en-US" w:bidi="ar-SA"/>
        </w:rPr>
        <w:t>Thon</w:t>
      </w:r>
      <w:r>
        <w:rPr>
          <w:rFonts w:ascii="arial" w:eastAsia="arial" w:hAnsi="arial" w:cs="arial"/>
          <w:color w:val="000000"/>
          <w:sz w:val="20"/>
          <w:lang w:val="en-US" w:eastAsia="en-US" w:bidi="ar-SA"/>
        </w:rPr>
        <w:t xml:space="preserve"> analysis, an apportionment in the 10% range would be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Despite his able submission, I cannot agree with defence counsel. In my view this case is not analogous to </w:t>
      </w:r>
      <w:r>
        <w:rPr>
          <w:rFonts w:ascii="arial" w:eastAsia="arial" w:hAnsi="arial" w:cs="arial"/>
          <w:i/>
          <w:color w:val="000000"/>
          <w:sz w:val="20"/>
          <w:lang w:val="en-US" w:eastAsia="en-US" w:bidi="ar-SA"/>
        </w:rPr>
        <w:t>Thon</w:t>
      </w:r>
      <w:r>
        <w:rPr>
          <w:rFonts w:ascii="arial" w:eastAsia="arial" w:hAnsi="arial" w:cs="arial"/>
          <w:color w:val="000000"/>
          <w:sz w:val="20"/>
          <w:lang w:val="en-US" w:eastAsia="en-US" w:bidi="ar-SA"/>
        </w:rPr>
        <w:t>, which concerned plaintiffs who knowingly rode in an area of a vehicle not equipped with seatbelts (having done so in the same area earlier in the day). In this case, the backseat of the Capri was equipped with two seatbelts but one was affixed to the baby seat and the other was located in the position occupied by Mr. Wycotte. Ms. Gilbert was unaware of this situation until after she got in the car and, by that time, Mr. Bottle had pulled away. Thereafter, her attempts to access the seatbelt used by the baby seat were unsuccessful, as were her attempts to persuade Mr. Bottle to stop the car and let her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a perfect world Ms. Gilbert would have noticed the baby seat and checked the availability of seatbelts in the backseat before she got into the Capri. It was dark outside, however, and I do not consider her failure in this regard to amount to a want of reasonable care for her own safety. In any event, even if she had done so, moved the baby seat and used the now available seatbelt there is no evidence that it was operating properly and I have not found her injuries would have been reduced by seat belt usage.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If I am wrong and Ms. Gilbert failed to take reasonable care for her own safety either by failing to determine Mr. Bottle's state of sobriety or assuming a position in the vehicle unequipped with an available seatbelt I would have found her comparative degree of fault was minimal. Mr. Bottle drove in a criminally dangerous manner, while intoxicated, and thus departed dramatically from the relevant standard of care. Ms. Gilbert, on the other hand, failed to elicit information that would have protected her from the terrible risk created by Mr. Bottle's serious driving misconduct. In these circumstances, at most I would have assessed her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at 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parties agree that Ms. Gilbert suffered a traumatic brain injury as a result of the accident. They also agree that she suffered a fractured clavicle, head laceration, and soft tissue injuries. The issue for determination is the extent to which her ongoing physical, mental and emotional condition and associated level of function are caused by the accident, given her pre-existing condition. Put another way, the issue is whether there is a substantial connection between the accident and Ms. Gilbert's compromised physical, mental and emotional state and associated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The plaintiff must establish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or materially contributed to an injury to justify compensation. The burden of proof is a balance of probabilities.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need not be the sole cause of the injury so long as it is part of the cause beyond the range of </w:t>
      </w:r>
      <w:r>
        <w:rPr>
          <w:rFonts w:ascii="arial" w:eastAsia="arial" w:hAnsi="arial" w:cs="arial"/>
          <w:i/>
          <w:color w:val="000000"/>
          <w:sz w:val="20"/>
          <w:lang w:val="en-US" w:eastAsia="en-US" w:bidi="ar-SA"/>
        </w:rPr>
        <w:t>de minimus</w:t>
      </w:r>
      <w:r>
        <w:rPr>
          <w:rFonts w:ascii="arial" w:eastAsia="arial" w:hAnsi="arial" w:cs="arial"/>
          <w:color w:val="000000"/>
          <w:sz w:val="20"/>
          <w:lang w:val="en-US" w:eastAsia="en-US" w:bidi="ar-SA"/>
        </w:rPr>
        <w:t xml:space="preserve">. The plaintiff is entitled to compensation for negligent conduct proven to the requisite standard to be substantially connected to his or her injury: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3"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paras. 13-17;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77"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paras. 20-28.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The general test for causation is the "but for" test: "but 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would the plaintiff have suffered the injury? In exceptional circumstances, however, the "but for" test is unworkable and the "material contribution" test may be applied. There are two requirements for its application: 1) for reasons outside of the plaintiff's control it is impossible to prove that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the injury using the "but for" test; and 2) the defendant breached a duty of care owed the plaintiff, thereby exposing the plaintiff to an unreasonable risk of injury and the injury falls within the ambit of the risk created: </w:t>
      </w:r>
      <w:r>
        <w:rPr>
          <w:rFonts w:ascii="arial" w:eastAsia="arial" w:hAnsi="arial" w:cs="arial"/>
          <w:i/>
          <w:color w:val="000000"/>
          <w:sz w:val="20"/>
          <w:lang w:val="en-US" w:eastAsia="en-US" w:bidi="ar-SA"/>
        </w:rPr>
        <w:t>Resurfice Corp.</w:t>
      </w:r>
      <w:r>
        <w:rPr>
          <w:rFonts w:ascii="arial" w:eastAsia="arial" w:hAnsi="arial" w:cs="arial"/>
          <w:color w:val="000000"/>
          <w:sz w:val="20"/>
          <w:lang w:val="en-US" w:eastAsia="en-US" w:bidi="ar-SA"/>
        </w:rPr>
        <w:t>, paras. 24-28.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Farrant v. Laktin</w:t>
      </w:r>
      <w:r>
        <w:rPr>
          <w:rFonts w:ascii="arial" w:eastAsia="arial" w:hAnsi="arial" w:cs="arial"/>
          <w:color w:val="000000"/>
          <w:sz w:val="20"/>
          <w:lang w:val="en-US" w:eastAsia="en-US" w:bidi="ar-SA"/>
        </w:rPr>
        <w:t xml:space="preserve">, </w:t>
      </w:r>
      <w:hyperlink r:id="rId966" w:history="1">
        <w:r>
          <w:rPr>
            <w:rFonts w:ascii="arial" w:eastAsia="arial" w:hAnsi="arial" w:cs="arial"/>
            <w:i/>
            <w:color w:val="0077CC"/>
            <w:sz w:val="20"/>
            <w:u w:val="single"/>
            <w:shd w:val="clear" w:color="auto" w:fill="FFFFFF"/>
            <w:lang w:val="en-US" w:eastAsia="en-US" w:bidi="ar-SA"/>
          </w:rPr>
          <w:t>2011 BCCA 336</w:t>
        </w:r>
      </w:hyperlink>
      <w:r>
        <w:rPr>
          <w:rFonts w:ascii="arial" w:eastAsia="arial" w:hAnsi="arial" w:cs="arial"/>
          <w:color w:val="000000"/>
          <w:sz w:val="20"/>
          <w:lang w:val="en-US" w:eastAsia="en-US" w:bidi="ar-SA"/>
        </w:rPr>
        <w:t xml:space="preserve">, Neilson J.A. explained the different senses in which the phrase "material contribution" was used by the Supreme Court of Canada in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and in </w:t>
      </w:r>
      <w:r>
        <w:rPr>
          <w:rFonts w:ascii="arial" w:eastAsia="arial" w:hAnsi="arial" w:cs="arial"/>
          <w:i/>
          <w:color w:val="000000"/>
          <w:sz w:val="20"/>
          <w:lang w:val="en-US" w:eastAsia="en-US" w:bidi="ar-SA"/>
        </w:rPr>
        <w:t>Resurfice Corp.</w:t>
      </w:r>
      <w:r>
        <w:rPr>
          <w:rFonts w:ascii="arial" w:eastAsia="arial" w:hAnsi="arial" w:cs="arial"/>
          <w:color w:val="000000"/>
          <w:sz w:val="20"/>
          <w:lang w:val="en-US" w:eastAsia="en-US" w:bidi="ar-SA"/>
        </w:rPr>
        <w:t xml:space="preserve"> At para. 10, she stated:</w:t>
      </w:r>
      <w:r>
        <w:rPr>
          <w:rFonts w:ascii="arial" w:eastAsia="arial" w:hAnsi="arial" w:cs="arial"/>
          <w:sz w:val="20"/>
          <w:lang w:val="en-US" w:eastAsia="en-US" w:bidi="ar-SA"/>
        </w:rPr>
        <w:cr/>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77"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xml:space="preserve">, </w:t>
      </w:r>
      <w:hyperlink r:id="rId77" w:history="1">
        <w:r>
          <w:rPr>
            <w:rFonts w:ascii="arial" w:eastAsia="arial" w:hAnsi="arial" w:cs="arial"/>
            <w:i/>
            <w:color w:val="0077CC"/>
            <w:sz w:val="20"/>
            <w:u w:val="single"/>
            <w:shd w:val="clear" w:color="auto" w:fill="FFFFFF"/>
            <w:lang w:val="en-US" w:eastAsia="en-US" w:bidi="ar-SA"/>
          </w:rPr>
          <w:t>[2007] 1 S.C.R. 333</w:t>
        </w:r>
      </w:hyperlink>
      <w:r>
        <w:rPr>
          <w:rFonts w:ascii="arial" w:eastAsia="arial" w:hAnsi="arial" w:cs="arial"/>
          <w:color w:val="000000"/>
          <w:sz w:val="20"/>
          <w:lang w:val="en-US" w:eastAsia="en-US" w:bidi="ar-SA"/>
        </w:rPr>
        <w:t xml:space="preserve">, the Supreme Court affirmed the "but for" test remains the basic test for determining causation, but developed the concept of "material contribution" in a different manner than that used in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formulating a "material contribution" test as an exception to the "but for" test, a matter that is not relevant to this appeal. The Court replaced the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definition of "material contribution" to the plaintiff's injury with the concept of "a substantial connection" between the injury and the defendant's conduct. These developments were usefully summarized by Mr. Justice Smith, writing for the majority, in </w:t>
      </w:r>
      <w:r>
        <w:rPr>
          <w:rFonts w:ascii="arial" w:eastAsia="arial" w:hAnsi="arial" w:cs="arial"/>
          <w:i/>
          <w:color w:val="000000"/>
          <w:sz w:val="20"/>
          <w:lang w:val="en-US" w:eastAsia="en-US" w:bidi="ar-SA"/>
        </w:rPr>
        <w:t>Sam v. Wilson</w:t>
      </w:r>
      <w:r>
        <w:rPr>
          <w:rFonts w:ascii="arial" w:eastAsia="arial" w:hAnsi="arial" w:cs="arial"/>
          <w:color w:val="000000"/>
          <w:sz w:val="20"/>
          <w:lang w:val="en-US" w:eastAsia="en-US" w:bidi="ar-SA"/>
        </w:rPr>
        <w:t xml:space="preserve">, </w:t>
      </w:r>
      <w:hyperlink r:id="rId967" w:history="1">
        <w:r>
          <w:rPr>
            <w:rFonts w:ascii="arial" w:eastAsia="arial" w:hAnsi="arial" w:cs="arial"/>
            <w:i/>
            <w:color w:val="0077CC"/>
            <w:sz w:val="20"/>
            <w:u w:val="single"/>
            <w:shd w:val="clear" w:color="auto" w:fill="FFFFFF"/>
            <w:lang w:val="en-US" w:eastAsia="en-US" w:bidi="ar-SA"/>
          </w:rPr>
          <w:t>2007 BCCA 622</w:t>
        </w:r>
      </w:hyperlink>
      <w:r>
        <w:rPr>
          <w:rFonts w:ascii="arial" w:eastAsia="arial" w:hAnsi="arial" w:cs="arial"/>
          <w:color w:val="000000"/>
          <w:sz w:val="20"/>
          <w:lang w:val="en-US" w:eastAsia="en-US" w:bidi="ar-SA"/>
        </w:rPr>
        <w:t xml:space="preserve"> at para. 109:</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"Material contribution", as that phrase was used in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is synonymous with "substantial connection", as that phrase was used by McLachlin C.J.C. above in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This causal yardstick should not be confused with the "material contribution test". As McLachlin C.J.C. explained in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at paras. 24-29, the "material contribution test" applies as an exception to the "but for" test of causation when it is impossible for the plaintiff to prove that the defendant's negligent conduct caused the plaintiff's injury using the "but for" test, where it is clear that the defendant breached a duty of care owed the plaintiff thereby exposing the plaintiff to an unreasonable risk of injury, and where the plaintiff's injury falls within the ambit of the risk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The test for causation must not be confused with the rules for assessing damages. Causation must be established on a balance of probabilities before damages are assessed. As McLachlin, C.J.C. stated in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75" w:history="1">
        <w:r>
          <w:rPr>
            <w:rFonts w:ascii="arial" w:eastAsia="arial" w:hAnsi="arial" w:cs="arial"/>
            <w:i/>
            <w:color w:val="0077CC"/>
            <w:sz w:val="20"/>
            <w:u w:val="single"/>
            <w:shd w:val="clear" w:color="auto" w:fill="FFFFFF"/>
            <w:lang w:val="en-US" w:eastAsia="en-US" w:bidi="ar-SA"/>
          </w:rPr>
          <w:t>[2005] 3 S.C.R. 3</w:t>
        </w:r>
      </w:hyperlink>
      <w:r>
        <w:rPr>
          <w:rFonts w:ascii="arial" w:eastAsia="arial" w:hAnsi="arial" w:cs="arial"/>
          <w:color w:val="000000"/>
          <w:sz w:val="20"/>
          <w:lang w:val="en-US" w:eastAsia="en-US" w:bidi="ar-SA"/>
        </w:rPr>
        <w:t xml:space="preserve"> at para. 78:</w:t>
      </w:r>
      <w:r>
        <w:rPr>
          <w:rFonts w:ascii="arial" w:eastAsia="arial" w:hAnsi="arial" w:cs="arial"/>
          <w:sz w:val="20"/>
          <w:lang w:val="en-US" w:eastAsia="en-US" w:bidi="ar-SA"/>
        </w:rPr>
        <w:cr/>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important to distinguish between causation as the source of the loss and the rules of damage assessment in tort. The rules of causation consider generally whether "but for" the defendant's acts, the plaintiff's damages would have been incurred on a balance of probabilities. Even though there may be several tortious and non-tortious causes of injury, so long as the defendant's act is a cause of the plaintiff's damage, the defendant is fully liable for that damage. The rules of damages then consider what the original position of the plaintiff would have been. The governing principle is that the defendant need not put the plaintiff in a better position than his original position and should not compensate the plaintiff for any damages he would have suffered anyway: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Where, as in this case, the plaintiff has suffered several sources of trauma that fuse to create problems, untangling the different sources of damage and loss is extremely challenging. If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a cause of the damage, however, the plaintiff is entitled to compensation for the loss. As discussed below, the defendant must take the plaintiff as she is found which may include an already damaged condition that affects the extent of the loss actually suffered (the "thin skull rule"). On the other hand, the defendant need not compensate the plaintiff for the debilitating effects of other concurrent or subsequent wrongful acts or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that would have occurred in any event (the "crumbling skull rule"): </w:t>
      </w:r>
      <w:r>
        <w:rPr>
          <w:rFonts w:ascii="arial" w:eastAsia="arial" w:hAnsi="arial" w:cs="arial"/>
          <w:i/>
          <w:color w:val="000000"/>
          <w:sz w:val="20"/>
          <w:lang w:val="en-US" w:eastAsia="en-US" w:bidi="ar-SA"/>
        </w:rPr>
        <w:t>Blackwater</w:t>
      </w:r>
      <w:r>
        <w:rPr>
          <w:rFonts w:ascii="arial" w:eastAsia="arial" w:hAnsi="arial" w:cs="arial"/>
          <w:color w:val="000000"/>
          <w:sz w:val="20"/>
          <w:lang w:val="en-US" w:eastAsia="en-US" w:bidi="ar-SA"/>
        </w:rPr>
        <w:t>, paras. 79-81.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In some cases, causation is asserted based primarily on a temporal relationship between the negligent conduct and the damage in question. In </w:t>
      </w:r>
      <w:r>
        <w:rPr>
          <w:rFonts w:ascii="arial" w:eastAsia="arial" w:hAnsi="arial" w:cs="arial"/>
          <w:i/>
          <w:color w:val="000000"/>
          <w:sz w:val="20"/>
          <w:lang w:val="en-US" w:eastAsia="en-US" w:bidi="ar-SA"/>
        </w:rPr>
        <w:t>White v. Stonestreet</w:t>
      </w:r>
      <w:r>
        <w:rPr>
          <w:rFonts w:ascii="arial" w:eastAsia="arial" w:hAnsi="arial" w:cs="arial"/>
          <w:color w:val="000000"/>
          <w:sz w:val="20"/>
          <w:lang w:val="en-US" w:eastAsia="en-US" w:bidi="ar-SA"/>
        </w:rPr>
        <w:t xml:space="preserve">, </w:t>
      </w:r>
      <w:hyperlink r:id="rId201" w:history="1">
        <w:r>
          <w:rPr>
            <w:rFonts w:ascii="arial" w:eastAsia="arial" w:hAnsi="arial" w:cs="arial"/>
            <w:i/>
            <w:color w:val="0077CC"/>
            <w:sz w:val="20"/>
            <w:u w:val="single"/>
            <w:shd w:val="clear" w:color="auto" w:fill="FFFFFF"/>
            <w:lang w:val="en-US" w:eastAsia="en-US" w:bidi="ar-SA"/>
          </w:rPr>
          <w:t>2006 BCSC 801</w:t>
        </w:r>
      </w:hyperlink>
      <w:r>
        <w:rPr>
          <w:rFonts w:ascii="arial" w:eastAsia="arial" w:hAnsi="arial" w:cs="arial"/>
          <w:color w:val="000000"/>
          <w:sz w:val="20"/>
          <w:lang w:val="en-US" w:eastAsia="en-US" w:bidi="ar-SA"/>
        </w:rPr>
        <w:t>, Ehrcke J. commented on the need for close scrutiny of the evidence in cases of this kind. At paras. 74 and 75 he stated:</w:t>
      </w:r>
      <w:r>
        <w:rPr>
          <w:rFonts w:ascii="arial" w:eastAsia="arial" w:hAnsi="arial" w:cs="arial"/>
          <w:sz w:val="20"/>
          <w:lang w:val="en-US" w:eastAsia="en-US" w:bidi="ar-SA"/>
        </w:rPr>
        <w:cr/>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inference from a temporal sequence to a causal connection, however, is not always reliable. In fact, this form of reasoning so often results in false conclusions that logicians have given it a Latin name. It is sometimes referred to as the fallacy of </w:t>
      </w:r>
      <w:r>
        <w:rPr>
          <w:rFonts w:ascii="arial" w:eastAsia="arial" w:hAnsi="arial" w:cs="arial"/>
          <w:i/>
          <w:color w:val="000000"/>
          <w:sz w:val="20"/>
          <w:lang w:val="en-US" w:eastAsia="en-US" w:bidi="ar-SA"/>
        </w:rPr>
        <w:t>post hoc ergo propter hoc</w:t>
      </w:r>
      <w:r>
        <w:rPr>
          <w:rFonts w:ascii="arial" w:eastAsia="arial" w:hAnsi="arial" w:cs="arial"/>
          <w:color w:val="000000"/>
          <w:sz w:val="20"/>
          <w:lang w:val="en-US" w:eastAsia="en-US" w:bidi="ar-SA"/>
        </w:rPr>
        <w:t>: "after this therefore because of this".</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searching for causes, a temporal connection is sometimes the only thing to go on. But if a mere temporal connection is going to form the basis for a conclusion about the cause of an event, then it is important to examine that temporal connection carefully. Just how close are the events in time? Were there other events happening around the same time, or even closer in time, that would provide an alternate, and more accurate, explanation of the true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Cases involving psychological injuries may require particularly close scrutiny from a causation perspective. As Newbury J.A. noted in </w:t>
      </w:r>
      <w:r>
        <w:rPr>
          <w:rFonts w:ascii="arial" w:eastAsia="arial" w:hAnsi="arial" w:cs="arial"/>
          <w:i/>
          <w:color w:val="000000"/>
          <w:sz w:val="20"/>
          <w:lang w:val="en-US" w:eastAsia="en-US" w:bidi="ar-SA"/>
        </w:rPr>
        <w:t>Sandegren v. Hardy</w:t>
      </w:r>
      <w:r>
        <w:rPr>
          <w:rFonts w:ascii="arial" w:eastAsia="arial" w:hAnsi="arial" w:cs="arial"/>
          <w:color w:val="000000"/>
          <w:sz w:val="20"/>
          <w:lang w:val="en-US" w:eastAsia="en-US" w:bidi="ar-SA"/>
        </w:rPr>
        <w:t xml:space="preserve"> </w:t>
      </w:r>
      <w:hyperlink r:id="rId968" w:history="1">
        <w:r>
          <w:rPr>
            <w:rFonts w:ascii="arial" w:eastAsia="arial" w:hAnsi="arial" w:cs="arial"/>
            <w:i/>
            <w:color w:val="0077CC"/>
            <w:sz w:val="20"/>
            <w:u w:val="single"/>
            <w:shd w:val="clear" w:color="auto" w:fill="FFFFFF"/>
            <w:lang w:val="en-US" w:eastAsia="en-US" w:bidi="ar-SA"/>
          </w:rPr>
          <w:t>(1999), 67 B.C.L.R. (3d) 123</w:t>
        </w:r>
      </w:hyperlink>
      <w:r>
        <w:rPr>
          <w:rFonts w:ascii="arial" w:eastAsia="arial" w:hAnsi="arial" w:cs="arial"/>
          <w:color w:val="000000"/>
          <w:sz w:val="20"/>
          <w:lang w:val="en-US" w:eastAsia="en-US" w:bidi="ar-SA"/>
        </w:rPr>
        <w:t xml:space="preserve">, claims of debilitating pain that persists long past a reasonable recovery period are notoriously difficult for trial judges to assess. Nevertheless, as a matter of law, psychological and physical injuries are indistinguishable. If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psychological injury to the plaintiff that injury is fully compensable, even if the plaintiff's pre-existing psychological state rendered her unusually vulnerable.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Yoshikawa v. Yoshikawa and Yu</w:t>
      </w:r>
      <w:r>
        <w:rPr>
          <w:rFonts w:ascii="arial" w:eastAsia="arial" w:hAnsi="arial" w:cs="arial"/>
          <w:color w:val="000000"/>
          <w:sz w:val="20"/>
          <w:lang w:val="en-US" w:eastAsia="en-US" w:bidi="ar-SA"/>
        </w:rPr>
        <w:t xml:space="preserve"> </w:t>
      </w:r>
      <w:hyperlink r:id="rId81" w:history="1">
        <w:r>
          <w:rPr>
            <w:rFonts w:ascii="arial" w:eastAsia="arial" w:hAnsi="arial" w:cs="arial"/>
            <w:i/>
            <w:color w:val="0077CC"/>
            <w:sz w:val="20"/>
            <w:u w:val="single"/>
            <w:shd w:val="clear" w:color="auto" w:fill="FFFFFF"/>
            <w:lang w:val="en-US" w:eastAsia="en-US" w:bidi="ar-SA"/>
          </w:rPr>
          <w:t>(1996), 21 B.C.L.R. (3d) 318</w:t>
        </w:r>
      </w:hyperlink>
      <w:r>
        <w:rPr>
          <w:rFonts w:ascii="arial" w:eastAsia="arial" w:hAnsi="arial" w:cs="arial"/>
          <w:color w:val="000000"/>
          <w:sz w:val="20"/>
          <w:lang w:val="en-US" w:eastAsia="en-US" w:bidi="ar-SA"/>
        </w:rPr>
        <w:t>, Lambert J.A. summarised the principles to be applied in assessing claims of psychological injury. At paras. 12 and 13, he stated:</w:t>
      </w:r>
      <w:r>
        <w:rPr>
          <w:rFonts w:ascii="arial" w:eastAsia="arial" w:hAnsi="arial" w:cs="arial"/>
          <w:sz w:val="20"/>
          <w:lang w:val="en-US" w:eastAsia="en-US" w:bidi="ar-SA"/>
        </w:rPr>
        <w:cr/>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important to understand what is established and what is not established by the decision in </w:t>
      </w:r>
      <w:r>
        <w:rPr>
          <w:rFonts w:ascii="arial" w:eastAsia="arial" w:hAnsi="arial" w:cs="arial"/>
          <w:i/>
          <w:color w:val="000000"/>
          <w:sz w:val="20"/>
          <w:lang w:val="en-US" w:eastAsia="en-US" w:bidi="ar-SA"/>
        </w:rPr>
        <w:t>Maslen v. Rubenstein</w:t>
      </w:r>
      <w:r>
        <w:rPr>
          <w:rFonts w:ascii="arial" w:eastAsia="arial" w:hAnsi="arial" w:cs="arial"/>
          <w:color w:val="000000"/>
          <w:sz w:val="20"/>
          <w:lang w:val="en-US" w:eastAsia="en-US" w:bidi="ar-SA"/>
        </w:rPr>
        <w:t xml:space="preserve">, </w:t>
      </w:r>
      <w:hyperlink r:id="rId73" w:history="1">
        <w:r>
          <w:rPr>
            <w:rFonts w:ascii="arial" w:eastAsia="arial" w:hAnsi="arial" w:cs="arial"/>
            <w:i/>
            <w:color w:val="0077CC"/>
            <w:sz w:val="20"/>
            <w:u w:val="single"/>
            <w:shd w:val="clear" w:color="auto" w:fill="FFFFFF"/>
            <w:lang w:val="en-US" w:eastAsia="en-US" w:bidi="ar-SA"/>
          </w:rPr>
          <w:t>[1993] B.C.J. No. 1813</w:t>
        </w:r>
      </w:hyperlink>
      <w:r>
        <w:rPr>
          <w:rFonts w:ascii="arial" w:eastAsia="arial" w:hAnsi="arial" w:cs="arial"/>
          <w:color w:val="000000"/>
          <w:sz w:val="20"/>
          <w:lang w:val="en-US" w:eastAsia="en-US" w:bidi="ar-SA"/>
        </w:rPr>
        <w:t xml:space="preserve">. I propose to set out a number of principles extracted from the reasons of Mr. Justice Taylor, for the Court, in the </w:t>
      </w:r>
      <w:r>
        <w:rPr>
          <w:rFonts w:ascii="arial" w:eastAsia="arial" w:hAnsi="arial" w:cs="arial"/>
          <w:i/>
          <w:color w:val="000000"/>
          <w:sz w:val="20"/>
          <w:lang w:val="en-US" w:eastAsia="en-US" w:bidi="ar-SA"/>
        </w:rPr>
        <w:t>Maslen</w:t>
      </w:r>
      <w:r>
        <w:rPr>
          <w:rFonts w:ascii="arial" w:eastAsia="arial" w:hAnsi="arial" w:cs="arial"/>
          <w:color w:val="000000"/>
          <w:sz w:val="20"/>
          <w:lang w:val="en-US" w:eastAsia="en-US" w:bidi="ar-SA"/>
        </w:rPr>
        <w:t xml:space="preserve"> case. The first point is a preliminary point and appears in </w:t>
      </w:r>
      <w:r>
        <w:rPr>
          <w:rFonts w:ascii="arial" w:eastAsia="arial" w:hAnsi="arial" w:cs="arial"/>
          <w:i/>
          <w:color w:val="000000"/>
          <w:sz w:val="20"/>
          <w:lang w:val="en-US" w:eastAsia="en-US" w:bidi="ar-SA"/>
        </w:rPr>
        <w:t>Maslen</w:t>
      </w:r>
      <w:r>
        <w:rPr>
          <w:rFonts w:ascii="arial" w:eastAsia="arial" w:hAnsi="arial" w:cs="arial"/>
          <w:color w:val="000000"/>
          <w:sz w:val="20"/>
          <w:lang w:val="en-US" w:eastAsia="en-US" w:bidi="ar-SA"/>
        </w:rPr>
        <w:t xml:space="preserve"> at p. 133 under the heading "(a) The Background":</w:t>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must establish that the pain, discomfort or weakness is "real" in the sense that the victim genuinely experiences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remaining ten points are drawn from the part of the reasons headed "(b) The Basic Principles" at pp. 134 to 137:</w:t>
      </w:r>
    </w:p>
    <w:p>
      <w:pPr>
        <w:numPr>
          <w:numId w:val="1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must establish that his or her psychological problems have their cause in the defendant's unlawful act.</w:t>
      </w:r>
    </w:p>
    <w:p>
      <w:pPr>
        <w:numPr>
          <w:numId w:val="1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psychological problems do not have their cause in the defendant's unlawful act if they arise from a desire on the plaintiff's part for such things as care, sympathy, relaxation or compensation.</w:t>
      </w:r>
    </w:p>
    <w:p>
      <w:pPr>
        <w:numPr>
          <w:numId w:val="1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psychological problems do not have their cause in the defendant's unlawful wrongful act if the plaintiff could be expected to overcome them by his or her own inherent resources, or "will-power".</w:t>
      </w:r>
    </w:p>
    <w:p>
      <w:pPr>
        <w:numPr>
          <w:numId w:val="1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psychological problems exist, or continue, because the plaintiff for some reason wishes to have them, or does not wish to end, their existence or continuation must be said to have a subjective, or internal, cause. (NOTE: I consider that this proposition must deal with the conscious mind, otherwise it seems to me to beg the question; see my first observation, later in this Part of these reasons.)</w:t>
      </w:r>
    </w:p>
    <w:p>
      <w:pPr>
        <w:numPr>
          <w:numId w:val="1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a court could not say whether the plaintiff really desired to be free of the psychological problems, the plaintiff would not have established his or her case on the critical issue of causation.</w:t>
      </w:r>
    </w:p>
    <w:p>
      <w:pPr>
        <w:numPr>
          <w:numId w:val="1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Any question of mitigation, or failure to mitigate, arises only after causation has been established.</w:t>
      </w:r>
    </w:p>
    <w:p>
      <w:pPr>
        <w:numPr>
          <w:numId w:val="1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not sufficient to ask whether a psychological condition such as "chronic, benign pain syndrome" is "compensable". Such a psychological condition may be compensable or it may not. The identification of the symptoms as "chronic benign pain syndrome" does not resolve the questions of legal liability or the question of assessment of damages.</w:t>
      </w:r>
    </w:p>
    <w:p>
      <w:pPr>
        <w:numPr>
          <w:numId w:val="1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unlikely that medical practitioners can answer, as matters of expert opinion, the ultimate questions on which these cases often turn.</w:t>
      </w:r>
    </w:p>
    <w:p>
      <w:pPr>
        <w:numPr>
          <w:numId w:val="1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Mr. Justice Spencer, at trial in the Maslen case, put the overall test quite correctly in these words:</w:t>
      </w:r>
    </w:p>
    <w:p>
      <w:pPr>
        <w:spacing w:before="120" w:line="260" w:lineRule="atLeast"/>
        <w:ind w:left="1800"/>
        <w:rPr>
          <w:rFonts w:ascii="arial" w:eastAsia="arial" w:hAnsi="arial" w:cs="arial"/>
          <w:sz w:val="20"/>
          <w:lang w:val="en-US" w:eastAsia="en-US" w:bidi="ar-SA"/>
        </w:rPr>
      </w:pPr>
      <w:r>
        <w:rPr>
          <w:rFonts w:ascii="arial" w:eastAsia="arial" w:hAnsi="arial" w:cs="arial"/>
          <w:color w:val="000000"/>
          <w:sz w:val="20"/>
          <w:lang w:val="en-US" w:eastAsia="en-US" w:bidi="ar-SA"/>
        </w:rPr>
        <w:t>[C]hronic benign pain syndrome will attract damages ... where the plaintiff's condition is caused by the defendant and is not something within her control to prevent. If it is true of a chronic benign pain syndrome, then it will be true also of other psychologically-caused suffering where the psychological mechanism, whatever it is, is beyond the plaintiff's power to control and was set in motion by the defendant's fault.</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must be evidence of a "convincing" nature to overcome the improbability that pain will continue, in the absence of objective symptoms, well beyond the recovery period, but the plaintiff's own evidence, if consistent with the surrounding circumstances, may nevertheless suffice for the purpose.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 am sure Mr. Justice Taylor did not consider that the "basic" principles which he set out exhausted all the possibilities for the application of principle to the difficult problems in these cases. The general principles which apply in relation to causation in law will apply to psychological injury as they apply to physical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Ms. Gilbert's Condition and Level of Function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Ms. Gilbert was born on September 25, 1974 into a powerful First Nations family. Her father, Rick Gilbert, was Band Manager and Chief of the Williams Lake Band during her childhood and youth. Her mother, Margaret Gilbert, was a community leader and co-founder of the New Directions program. She has one sister born of the same parents, as well as several half-siblings and close cousins. She was raised primarily on the Sugarcane Reserve.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Like many of their contemporaries, Ms. Gilbert's parents attended residential school when they were children. Their accomplishments in adult life are all the more impressive taking into account the hardship they experienced when they were young. Despite their resilience, however, both struggled with the aftermath of childhood trauma and deprivation. Margaret Gilbert did not seriously abuse alcohol but her emotional health and relationships with men were very troubled. Rick Gilbert abused alcohol until mid-life, when he stopped drinking, and his 12-year marriage to Margaret was marked by periodic separations.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While she was growing up Ms. Gilbert sometimes lived with both of her parents, her siblings and other children taken in by the family. At other times, she lived with one or the other parent or with extended family and close friends. According to her cousin, Elizabeth Coutlee, whose evidence I accept, the Gilbert family home was a relatively privileged home environment and Ms. Gilbert was obviously loved a great deal.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Ms. Coutlee and two other cousins, Wilma Dick and Marlene Basil, described Ms. Gilbert as a free spirit who was happy, fun-loving and social throughout her childhood, adolescence and early adulthood. I accept their descriptions as sincere and generally accurate, but incomplete.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Ms. Gilbert also states that she was well loved by her parents. She acknowledges, however, and I find, that she was often struck by her mother, grandmother and siblings when she was a child and adolescent. She described physical punishment with objects such as a belt or kindling as "normal on the reserve" and attributed her mother's use of such disciplinary measures to her experiences at residential school. From Ms. Gilbert's perspective, this treatment was not physically abusive. I cannot agree, but conclude that she has come to terms with it by seeing it this way. The physical punishment at home stopped by the time Ms. Gilbert reached her mid-teens.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Life on the Sugarcane Reserve was marked for many by extreme poverty, hardship and a myriad of abuses. As her counsel accurately put it, Ms. Gilbert escaped much of the worst abuse and, in that sense, she was fortunate. Nevertheless, over the years she was exposed to considerable tragedy, including the deaths of many intimates and physical violence in an early romantic relationship. She was also exposed to unwanted sexual contact from "drunken men around my reserve". Her interpretation of those experiences is telling and poignant. While testifying about them Ms. Gilbert stated: "I was lucky. It wasn't severe ... My friends got raped again and again and again. I have never been raped."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Not surprisingly, Ms. Gilbert often felt depressed, anxious and angry about what was taking place in her life. All things considered, she could hardly have felt otherwise.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Despite her often troubled and stressful environment, Ms. Gilbert was popular, warm-hearted and influential amongst her peer group. She had many friends and socialised with them regularly, offering emotional support and guidance to those less fortunate than herself. By the time she was 12, like many of her peers she began to use alcohol and smoke marijuana. From that point forward her life was affected adversely by substance abuse.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extent of Ms. Gilbert's alcohol and drug use in adolescence and early adulthood was a matter of considerable contention between the parties. Ms. Gilbert told Dr. Bishop, a neuropsychologist, that from age 12 onward she drank 10 beers every weekend evening and smoked marijuana daily, with increased alcohol consumption and the addition of cocaine use by her 20s. In cross-examination, however, Ms. Gilbert testified that this estimate was "ridiculous", although she also said she tried to be truthful with Dr. Bishop. Taking into account her statement to Dr. Bishop, together with the other relevant evidence, defence counsel submits that Ms. Gilbert's alcohol and drug abuse before the accident was extreme.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Dr. Bishop's impression was that Ms. Gilbert seemed almost proud of the high levels of alcohol and drug consumption she reported in the course of her interview. I accept this impression as correct and find her statement to Dr. Bishop was a flippant exaggeration. Nevertheless, taking into account all of the relevant evidence, including that of Ms. Dick, Ms. Basil and Ms. Gilbert herself, I find that she consumed large quantities of alcohol and marijuana throughout her teen years and early adulthood on a regular basis. By her 20s, she also used cocaine on occasion and, for a few years, joined a boyfriend in abusing prescription medications such as Tylenol 3. At no point, however, was she an extreme or utterly debilitated alcoholic or drug addict. In the colourful language of Phyllis Chelsea, she was not a "trooper".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Ms. Gilbert's early drug and alcohol abuse undoubtedly contributed to her poor academic performance and negative attitude toward schooling. She attended school full-time until Grade 8 and then withdrew for reasons related to both truancy and fighting with schoolmates. Prior to her withdrawal from school her marks ranged from low to average and she struggled with math and reading. Thereafter, she enrolled in alternative programs but repeatedly withdrew without completing further formal grade level requirements. In her early 20s she enrolled in many adult basic education courses, although she did not complete most of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As a young adult, Ms. Gilbert lived a distinctly itinerant lifestyle. She enjoyed moving from place to place and did so throughout most of her 20s. An enthusiastic cook, she would sometimes perform cooking and cleaning services in exchange for rent and food at the homes of family members and friends. She also did other sorts of short-term work such as tree planting, cashiering and general labour. At one point she worked in a daycare for several months. In 2003, she considered, but did not follow through with, a course to become an aesthetician.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As with school, Ms. Gilbert's drug and alcohol abuse impacted negatively upon her vocational performance. She exhibited poor judgment, poor planning and poor focus in her failure to engage with work in a consistently productive way. This failure was not, however, entirely unremitting. As discussed below, over the years Ms. Gilbert was able to work on a regular, albeit part-time, basis assisting her mother and others with New Directions workshops.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Unsurprisingly, given her circumstances, Ms. Gilbert had a complicated medical and psychiatric history before the accident. As noted, she was often troubled by anxiety, anger and depression in response to painful life experiences. From 2001 onward she took diazepam and other medications to help manage her emotions and assist with her sleep. She also met briefly with a counsellor and underwent an anger management program in connection with a probation order. She did not take anti-depressant medication, however, and I find that her depression was episodic and reactive to frequent tragedy. The same is true of her periodic panic attacks.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Ms. Gilbert's substance abuse, on the other hand, was consistent from her early adolescence onward. As noted, while her substance abuse affected her negatively it did not completely dominate her life. I do not accept, as the defence suggests, that Ms. Gilbert was regularly prone to violence or aggression, although she engaged in physical conflicts in an early romantic relationship. I do accept that she was often anxious and inclined to behave impulsively.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 reach the foregoing conclusions based on all of the evidence, which was complex and in some respects inconsistent. For example, Ms. Gilbert acknowledged that she had long-standing problems with anxiety, anger and depression but disavowed prior statements that she had aggressive rages and was constantly depressed. The descriptions of Ms. Gilbert's family members and New Directions co-workers are inconsistent with the view that she was a chronically angry, aggressive, depressed woman overwhelmed by alcohol and drug addiction. The same is true of her single conviction for impaired driving.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Ms. Gilbert's history with her long-term general practitioner, Dr. Bannerman, was also inconsistent with a picture of such a woman. Although it is true that Dr. Bannerman treated her for emotional complaints over the years, it is also true that those complaints arose in response to significant situational stressors. For example, in 2003 Dr. Bannerman treated Ms. Gilbert for acute depression in connection with the deaths of five family members that occurred within a two-month period. Not surprisingly, she felt unable to work or sleep and requested medical assistance. She did not, however, attend upon Dr. Bannerman routinely seeking medical treatment for her mental health regardless of what was happening in her life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In addition to her periodic mental health concerns, Ms. Gilbert struggled with several physical health challenges. She suffered from asthma and diabetes, which was poorly controlled, and, in 1999, experienced a frightening episode of necrotizing fasciitis under her arm. In 2003, Ms. Gilbert also experienced numbness in her feet in connection with her diabetes and acknowledged to health care providers that she often forgot to take her diabetes control medication. In 2000, she fell and hurt her low back and on two or three occasions thereafter experienced transient but severe low back pain. She also had surgery to correct a problem with her jaw.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In 2002, Ms. Gilbert obtained a note from Dr. Bannerman to the effect that she was unable to work as a tree planter because of low back pain. Before the accident, however, Dr. Bannerman did not think it necessary to send her for X-rays in response to her complaints of transient back pain. Taking into account Ms. Gilbert's evidence together with that of Dr. Bannerman, I am satisfied that her transient back pain was not a significant or disabling physical challenge for Ms. Gilbert before the accident. Like substance abuse, however, poor control of diabetes was a regular factor that impacted negatively upon her general health and quality of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Although Ms. Gilbert's life before the accident was plainly difficult, it also held real and deep satisfactions. High amongst them is her sense of pride in and connection to her First Nations heritage. As a youth she was active and accomplished in many cultural activities including drumming, singing and "fancy dancing", a form of traditional native dance that requires strength, focus and dedication. Ms. Gilbert was very committed and very good. She and her mother created the elaborate regalia that she wore and she travelled the province as a successful competitive fancy dancer. At the age of 12, she was crowned the Sugarcane Princess.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Ms. Gilbert stopped competitive fancy dancing in her early teens shortly after she began to abuse alcohol and drugs. The physical demands of fancy dancing were hard on her ankles and legs, which contributed to her decision to stop. I conclude that her motivation and focus also diminished once she began to consume alcohol and drugs regularly. She did, however, continue to enjoy music and singing throughout her adolescence and early adulthood. She did not engage in other hobbies or sports.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In addition to participating in cultural activities, Ms. Gilbert became involved at an early age in the New Directions program. New Directions was co-founded by her mother and Phyllis Chelsea, an extraordinary First Nations woman who, amongst other achievements, was awarded an Honorary Doctorate of Laws and the Order of British Columbia. Like Margaret Gilbert, Phyllis Chelsea attended residential school as a child and, in consequence, suffered greatly. At the age of 29, however, she overcame alcohol addiction and embarked on a life of community service.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From the age of 12 onward, Ms. Gilbert joined Margaret Gilbert, Phyllis Chelsea, and other impressive First Nations women, including Julie Antoine and Rosalee Zabatel, in delivering New Directions programs in various locations across Western Canada. New Directions offers five day workshops in personal healing, growth and development. The program addresses a wide range of topics such as historical abuse, family dynamics and anger management in a First Nations cultural context. In her teen years Ms. Gilbert participated in New Directions as a youth trainer. In her 20s she was responsible for the music component of the program, although she also interacted with workshop participants and provided them with encouragement, guidance and support.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 frequency with which Ms. Gilbert worked with New Directions prior to the accident is difficult to determine with precision. Record keeping was incomplete and, because income was largely generated on reserves, tax records are not available to assist. Taking into account all of the available evidence, particularly that of Margaret Gilbert, I am satisfied that in the two years preceding the accident Ms. Gilbert participated in approximately six or seven New Directions workshops per year. She was typically paid approximately $1,000 per five-day workshop. Her earnings from other forms of part-time work were minimal. She also received social assistance benefits from time to time in unspecified amounts.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One of the most common issues addressed in New Directions workshops is substance abuse. For this reason, and others, it is imperative that presenters (known as trainers) abstain completely from alcohol and drug use, at least while the workshop is going on. Ms. Gilbert testified that she did so without fail whenever she worked as a New Directions trainer because of her respect for the program and commitment to workshop participants. Taking into account the evidence of her mother, Ms. Chelsea, Ms. Antoine and Ms. Zabatel, all of whom observed and praised her pre-accident New Directions performance, I accept her testimony on this important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 conclude that, although she often abused alcohol and drugs in other contexts, Ms. Gilbert was able to exert sufficient self control to abstain for purposes of her part-time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 also conclude that her work with New Directions was a source of deep satisfaction for Ms. Gilbert, and she was good at it. Margaret Gilbert, Ms. Chelsea, Ms. Antoine and Ms. Zabatel all described her positive attitude, strong interpersonal skills and energetic engagement at workshops. Ms. Gilbert testified to similar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It was apparent to Ms. Antoine that Margaret Gilbert was grooming her daughter to take on greater responsibility within the New Directions program. Ms. Gilbert and her mother confirmed that this was the long range plan. With advancing age and family commitments, Margaret Gilbert wished to reduce her own role in the program and hoped to increase that of her daughter. Nevertheless, I infer that she understood Ms. Gilbert's existing lifestyle and habits limited her to part-time participation. I also infer that Margaret Gilbert accommodated her daughter's limitations to a greater extent than would an unrelated employer.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Despite the foregoing, I am satisfied that Ms. Gilbert's plan for increased future participation in New Directions had real potential. I am also satisfied that it could only be realised if she joined the others in abstaining completely from the consumption of alcohol and drugs. Ms. Gilbert's itinerant, borderline lifestyle was significantly related to her ongoing abuse of substances. When living in this manner, she did not and could not display the necessary focus, organization and persistence required for full-time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Prior to the accident, Ms. Gilbert made no serious attempt to stop consuming alcohol and drugs completely. As noted, however, she did abuse pain medication for a period in her 20s and then she stopped. She was also able to avoid substance abuse when she worked with New Directions because she was strongly motivated and committed to the program. Taking into account her history of determined effort with fancy dancing, an activity of interest and aptitude, and her periodic control of substance abuse, I conclude that Ms. Gilbert had the capacity to stop abusing substances if and when she chose seriously to 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In sum, Ms. Gilbert's physical, mental and emotional condition and functioning before the accident involved a complex blend of strengths, limits and vulnerabilities. Her strong connection to family, social network and cultural engagement helped Ms. Gilbert develop a measure of resilience and optimism despite the tragedy and hardship that surrounded and beset her. At the same time, the tragedy and hardship took a toll. Her minimal education, frequent substance abuse and physical and emotional problems impeded Ms. Gilbert's life, but did not rob it of all quality or promise. On the contrary, she experienced life as often satisfying, as well as hard, and contributed to the lives of others in her orbit.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As noted, Ms. Gilbert recalls events leading up to the accident but is unable to recall its occurrence. Immediately after the accident Mr. Bottle found her lying on the ground beneath the vehicle, apparently snoring. An ambulance was dispatched to the scene and arrived within minutes of the accident's occurrence. Mr. Bottle fled when he heard sirens and did not, therefore, report his observations to the ambulance crew.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The Glasgow Coma score is a scale for the assessment of consciousness. According to the ambulance crew report, Ms. Gilbert had a Glasgow Coma score of 10 at 8:50 p.m. Based on the crew report and Mr. Bottle's evidence, I conclude that Ms. Gilbert lost consciousness due to the head injury she sustained in the accident. Given that she was an experienced drinker and her blood alcohol level was 29 mmol/L at 9:50 p.m., I also conclude that alcohol consumption did not play a significant role in either her loss of consciousness or post-traumatic amnesia.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Ms. Gilbert was transported by ambulance to the Cariboo Memorial Hospital. She was admitted at approximately 9:15 p.m. By 10:09 p.m. her Glasgow Coma score had risen to 14 and by 7:00 a.m. the next morning it was 15, which is a normal score.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X-rays of Ms. Gilbert's chest, skull and left clavicle were taken at the hospital, but a CT scan was not performed. Her head laceration was stapled and she first received pain medication at 1:10 a.m. She was discharged into her mother's care later in the day on March 9,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Ms. Gilbert recalls almost nothing of her stay in hospital. She has only patchy recollections of what occurred over the course of the next few weeks.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Ms. Gilbert's Condition and Level of Function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Ms. Gilbert moved into her mother's home following her discharge from hospital. She experienced severe pain throughout her body due to her injuries and slept in a chair for awhile because she was unable to lie down. According to Margaret Gilbert, Ms. Gilbert was up and around again with assistance within about two weeks of the accident. It took about another month, however, before she was able to take care of herself.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Although Ms. Gilbert's recollection is hazy, it is clear from Dr. Bannerman's evidence, as well as her own memories, that Ms. Gilbert suffered widespread pain throughout her body in the immediate aftermath of the accident. This pain included jaw pain, shoulder, back and leg pain, headaches, dizziness and memory loss. On March 20, 2005 she reinjured her shoulder by walking into a wall. Within months, her head laceration and fractured clavicle had healed and her physical pain and memory loss improved somewhat. She testified, however, that within a year she reached a plateau and her physical, mental and emotional health has remained compromised ever since.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According to Ms. Gilbert, her physical, mental and emotional state has changed significantly since the accident, as has her level of function. For example, she says that whereas she was outgoing, empathic and socially attuned before the accident, afterwards she became irritable, forgetful and emotionally disconnected. Her transient states of depression and panic attacks were replaced by constant sadness, inappropriate rages and difficulties with memory, focus and concentration. She also suffers from pain throughout her body, including daily headaches, shoulder, neck and back pain radiating into her legs, and tingling in her extremities. As a result of her pain, her sleep is poor and her energy level is 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Ms. Gilbert claims that she has tried to work, socialise and move forward, but her efforts have been largely unsuccessful. She says she is always physically uncomfortable, anxious and tired. She also cannot connect emotionally with others and worries she will hurt them with her aggressive temper outbursts. As a result of one such outburst she is now facing criminal charges of assault.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Ms. Gilbert goes on to say that she is embarrassed by her inability to recognise acquaintances, including former New Directions participants. She is also embarrassed by her frequent failure to remember past experiences with close friends. As a result of her changed condition, she says she increased her already high level of alcohol consumption for a time after the accident. More recently, she has taken to dulling the pain with crack cocaine. She now spends most of her time in self-imposed isolation and avoids Williams Lake.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Defence counsel challenges Ms. Gilbert's description of a significant change in her physical, mental and emotional condition and level of function. He emphasizes that she abused drugs and alcohol before the accident and has always suffered poorly controlled physical and emotional problems that impair her ability to function well. He notes that Ms. Gilbert was able to complete the Culinary Arts course in 2006 and continued cooking and cleaning for family members and friends after the accident. He also notes that her itinerant lifestyle has continued much as before, as has the seemingly endless series of personal tragedies that cause her to suffer emotionally.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In defence counsel's submission, Ms. Gilbert's condition before and after the accident must be viewed from a functional perspective. Assessed in this way, he submits that her physical, mental and emotional condition is substantially unchanged.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Although I agree that Ms. Gilbert's functioning is the appropriate focus of inquiry, I do not accept defence counsel's submission. Rather, I find that Ms. Gilbert's physical, mental and emotional condition have changed significantly since the accident, as has her level of function. As she claims, Ms. Gilbert is no longer the social, free-spirited woman she was before the accident. Instead, she has become irritable, forgetful and emotionally labile and her limited ability to focus and concentrate has deteriorated considerably. She has also become isolative, prone to aggression and socially distant and inept. In addition, she now suffers from frequent headaches and chronic neck, shoulder and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I further conclude that Ms. Gilbert's headaches and body pain limit her ability to cook and clean as well as she did before the accident. They also interfere with her mood and her sleep. Most significantly, Ms. Gilbert is no longer able to work with New Directions due to her forgetfulness, irritability and increased emotional disturbance. This change has led to a substantial deterioration in the overall quality of her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Ms. Gilbert continues to indulge in regular substance abuse, as she did before the accident. Her consumption pattern, however, has also undergone a significant and troubling change. As noted, her alcohol intake increased and then abated after the accident. Unfortunately, her substance of choice has recently become crack cocaine.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Ms. Gilbert continues to socialise with others on occasion. I accept, however, that she does not connect with them well and often behaves in an inappropriate manner. Although she continues to cook and clean, she tires easily and finds it difficult and unsatisfying. When she works in the kitchen, she now cleans dishes and arranges towels in a compulsive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Ms. Gilbert is also less able to cope emotionally with the tragic deaths of intimates that have continued with dreadful regularity since the accident. In 2008, for example, she experienced emotional flatness and extreme anxiety in connection with the deaths of several friends and two former romantic partners. As a result, she was briefly hospitalised. I find, however, that these distressing post-accident deaths did not alter her overall level of function in any long-lasting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The foregoing picture emerges from Ms. Gilbert's testimony and that of her family, friends, and Dr. Bannerman. It is also consistent with the opinion evidence provided by experts who generally relied upon Ms. Gilbert's account of a post-accident physical, mental and emotional change in her functioning. Although it is unnecessary to identify all of the evidence that supports these findings, its most salient features are summarised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Margaret Gilbert noticed a significant change in her daughter immediately following the accident. Whereas beforehand she says Ms. Gilbert was bubbly and affectionate, afterwards she became short-tempered and emotionally disconnected. She also became quiet, forgetful and prone to repeating herself. Although Margaret tried to speak with her daughter clearly, Ms. Gilbert often misunderstood and would lash out in uncharacteristic anger. Within a year, Margaret no longer felt comfortable in her home and asked her to move out. Since then they have stayed in touch but Ms. Gilbert's communications are curt and goal-directed, not caring and intimate as they were before.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After the accident Ms. Gilbert joined her mother and others in presenting three New Directions workshops. Her performance at all three was distinctly different and unsatisfactory. Ms. Gilbert played the wrong music, needed reminders and failed to engage emotionally with workshop participants. In 2009, in response to her concerns and those of others, Margaret Gilbert decided that her daughter could not continue to work as a trainer unless and until her mental and emotional state improves.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I accept Margaret's Gilbert's description of Ms. Gilbert's changed condition and behaviour. In addition to its consistency with Ms. Gilbert's own account, it is consistent with many observations made by other family members. For example, Ms. Coutlee, with whom Ms. Gilbert lived from September, 2009 to September, 2010, said she often retreated within herself, became more easily frustrated and seemed less happy than she was before the accident. Ms. Basil, with whom she currently lives, remarked that since the accident Ms. Gilbert has a noticeably shorter fuse, is forgetful and tends to isolate.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Importantly, the observations of Ms. Gilbert's family members are consistent with those made by others to whom she is not related. For example, Julie Antoine, who knows her only through work, was struck by her moodiness, lack of energy and emotional disconnection at a New Directions workshop. As a result of this change, she asked Margaret Gilbert not to bring her to workshops anymore. Margaret Gilbert testified that Ms. Antoine asked her to stop bringing Ms. Gilbert to New Directions workshops after the accident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When she testified, Ms. Antoine expressed confusion about the workshop at which she noticed Ms. Gilbert's changed performance. Under cross-examination she said it was at a workshop held in Kamloops. Other evidence revealed that the Kamloops workshop took place before, not after, the accident. Not surprisingly, defence counsel submits that, for this reason, Ms. Antoine's testimony does not corroborate Ms. Gilbert's claim of a post-accident behavioural change.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I conclude that Ms. Antoine was mistaken in her testimony on cross-examination about the workshop at which she noticed Ms. Gilbert's changed performance. I do so based on Margaret Gilbert's recollection that Ms. Antoine asked her to stop bringing Ms. Gilbert after the accident, not before. Margaret Gilbert was attuned to the accident's occurrence and its effect upon her daughter. Ms. Antoine was not and had no reason to focus on the workshop at which she noticed the change. In addition, Ms. Antoine participated in her last workshop with Ms. Gilbert well after the accident and made her observations near the end of her New Directions tenure. On balance, I am satisfied that Ms. Antoine noticed a change in Ms. Gilbert at a workshop conducted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Ms. Antoine was not the only non-family member who noticed a change in Ms. Gilbert after the accident. In 2009, her sister, Rosalie Zabatel, worked at the last New Directions workshop in which Ms. Gilbert was ever involved. Ms. Zabatel's evidence was helpful and compelling. It supported Ms. Gilbert's description of her changed condition and its negative impact upon her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Like Ms. Antoine, Ms. Zabatel knew Ms. Gilbert only from working with her in New Directions. In Ms. Zabatel's case most of that work took place in the 1980s, when Ms. Gilbert worked as a youth trainer. In 2009, however, she accompanied Ms. Gilbert and her mother to a New Directions workshop in Manitoba. Although she did not know about the accident it was immediately obvious to her that Ms. Gilbert was not the same person she had known years before.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Ms. Zabatel noticed that Ms. Gilbert was short-tempered and seemed to lack feelings. She also noticed that she had to repeat herself several times before Ms. Gilbert appeared to understand. Ms. Zabatel has a brother who suffers from brain damage. Ms. Gilbert reminded her of her brother. By the end of the week, Ms. Zabatel felt worn down from spending time with her. When she got home, she called Ms. Antoine and remarked that Ms. Gilbert had "lost her marbles".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Ms. Gilbert attended at Dr. Bannerman's office with many complaints in the year following the accident. They included headache, double vision, dizziness, memory and thinking problems, as well as shoulder and back pain radiating down her legs, leg numbness and increased emotional lability. In December, 2005 Dr. Bannerman referred her for spinal X-rays, which showed early degenerative changes but no evidence of fracture or dislocation. In January, 2006 she referred her to a neurologist, who diagnosed persistent polymyalgias and arthralgias. He recommended medication for pain and for sleep.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Dr. Bannerman encouraged Ms. Gilbert to walk, exercise and lose weight after the accident. She also prescribed medication for her diabetes, diazepam for her emotions, and analgesics for her pain. In addition, Dr. Bannerman recommended that Ms. Gilbert attend for physiotherapy.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Ms. Gilbert did not follow all of Dr. Bannerman's recommendations. In particular, she did not attend for physiotherapy to help address her physical complaints and associated pain. At trial, she claimed her failure to do so was related to her intense post-accident dislike of being touched by others. I am not persuaded, however, that this is the primary explanation.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I accept that, as she claims, Ms. Gilbert became less comfortable with physical contact after the accident. That discomfort impacted various areas of her life, including sexual desire. Nevertheless, she was able and willing to engage in sexual contact with a boyfriend after the accident, albeit in a less than satisfying manner. In these circumstances, I conclude that, standing alone, her post-accident dislike of physical contact did not prevent her from attending for physiotherapy.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I find that Ms. Gilbert's pre-accident tendency not to attend appropriately to her health care needs continued after the accident. This tendency was exacerbated by her increased mental disorganization, poor self-monitoring and inclination to isolate. Her failure to follow up on Dr. Bannerman's recommendation with respect to physiotherapy was primarily associated with this increased, but pre-existing, pattern of behaviour. Her dislike of physical contact also contributed, but only minimally. Her failure to manage her diabetes continued and increased.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Ms. Gilbert did lose some weight after the accident. The extent of her weight loss is unclear, however, and she remains significantly overweight. She did not exercise as Dr. Bannerman recommended because she found it too painful when she attempted to do so. Eventually, she simply gave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In 2006 Ms. Gilbert decided to take a five-month Culinary Arts course at Thompson River University. Her goal was to move forward with her life and become a professional chef. In order to register she needed a medical form from Dr. Bannerman confirming that she was physically and mentally fit for the course, which form Dr. Bannerman provided. On it, she referenced Ms. Gilbert's history of depression but expressed the view that she was cured and without physical or psychological limits.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Dr. Bannerman was cross-examined thoroughly in connection with the medical form and its contents. She testified that she believed Ms. Gilbert was sufficiently physically and mentally fit to take the Culinary Arts program and had improved since the accident. She went on to say, however, that in 2006 she did not believe Ms. Gilbert was fully recovered from her injuries. She also said that she wished to support Ms. Gilbert in her efforts to improve her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I accept Dr. Bannerman's explanation of her views and intentions with respect to the medical form in question. She was presenting her patient in the best possible light in a supportive effort to assist her when she signed the form. She knew, however, that Ms. Gilbert continued to struggle with a range of physical, mental and emotional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Dr. Bannerman's confidence in Ms. Gilbert proved to be well-founded. She was able to complete the Culinary Arts course, which represented her highest academic achievement to that point in her life. She testified, however, that she found the course physically and mentally exhausting and was able to get through only because she sat down frequently and received a lot of help from the other students. Taking into account the evidence of her instructor, Kim Judd, I accept that this is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Ms. Judd was a strikingly fair, balanced and objective witness. Although she did not corroborate all aspects of Ms. Gilbert's testimony, her account did not conflict significantly with much of what she had to say. Rather, Ms. Judd's perspective and impressions differed somewhat from those of Ms. Gilbert, as did her focus and the extent of her recollection. Overall, however, it generally fit with Ms. Gilbert's own description of her experience at the Culinary Arts course.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Ms. Judd confirmed that Ms. Gilbert attended class regularly, showed no sign of substance abuse and got along well with other students. She described Ms. Gilbert as a quiet, average student who kept to herself and seemed to start out determined but "fizzled" as time passed. She did not notice Ms. Gilbert sit down frequently, exhibit signs of physical discomfort or receive help from others, but she was busy and did not spend much time observing her students. She also did not notice Ms. Gilbert display anger, but did see her display frustration and difficulty in connection with computer testing. Ms. Judd testified, and I accept, that Ms. Gilbert's practical work in the course was good but she clearly found the theory challenging.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After Ms. Gilbert finished the Culinary Arts program she left Williams Lake and resumed her pre-accident pattern of living with friends and relatives throughout the province. She did not seek or obtain work as a professional chef because she did not feel able to manage the physical or mental demands of the job. She did, however, cook and clean for family and friends in exchange for room and board.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Ms. Coutlee and Ms. Basil confirmed that Ms. Gilbert has provided them with household assistance, including cooking and cleaning, when they lived together. It was clear, however, that they placed minimal demands upon her due to her obviously compromised physical and mental state. I am satisfied that these arrangements, while somewhat mutually beneficial, were largely a matter of family support. I am also satisfied that Ms. Gilbert correctly assessed her own inability to manage the demands of work as a professional chef.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Although a CT scan of Ms. Gilbert's head was not obtained immediately after the accident, on January 17, 2008 an MRI scan was performed at St. Paul's Hospital in Vancouver. It showed three separate foci of hemorrhagic shear injury in the right frontal, left parietal and left thalamus areas of Ms. Gilbert's brain, with each measuring 3 mm in size. Each is consistent with hemosiderin deposition which is in turn consistent with the effects of a traumatic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In July, 2008 Ms. Gilbert met with John Millard, the Executive Director of the Cheshire Homes Society of British Columbia ("CHSBC"). CHSBC provides a range of programs for individuals who have suffered a brain injury, including a residential rehabilitation program. Mr. Millard assessed Ms. Gilbert as suitable for placement in a CHSBC residential program. She could not attend, however, because she could not afford the fees.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Ms. Gilbert has not sought or received other counselling or structured support since the accident beyond her brief crisis hospitalisation in 2008. Although she has previously remarked that she had no desire to seek counselling, I accept her trial testimony that she is now prepared to do so. I conclude that her recent willingness is the product of slowly developing insight into the full nature and implications of her post-accident condition. Its slow development is not something that Ms. Gilbert could control.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Expert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Ms. Gilbert was assessed by many experts who expressed a range of opinion on the diagnosis, prognosis and cause of her ongoing physical, mental and emotional problems. All agreed that her case is very complex from a causation perspective because of her compromised pre-accident condition and questionable reliability as an historian. All agreed that a reliable pre-accident and post-accident history is a central factor for assessing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Although the experts accepted that Ms. Gilbert suffered a traumatic brain injury, fractured clavicle and multiple soft tissue injuries, they disagreed on the extent to which those injuries inform her current presentation. The differences were based primarily on whether the expert in question assumed there was a significant change in her cognitive and executive function, emotional state, physical complaints and associated behaviour after the accident, as reported or at all. The experts also disagreed on whether Ms. Gilbert's traumatic brain injury is properly categorised as mild or moderate.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A considerable body of evidence concerning traumatic brain injury and chronic pain disorder, generally and specifically regarding Ms. Gilbert, was presented. In simplified form, the key elements of these conditions established by the general evidence are summarised below. The experts' differing opinions on how they apply in Ms. Gilbert's case are also summarised, as are the experts' views on the impact of her injuries and appropriate treatment recommendations. The summaries of expert evidence are followed by my conclusions on causation, analysis of the duty to mitigate and assessment of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Traumatic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A traumatic brain injury is an insult to the brain that may cause organic change and brain disruption. Such injuries are typically categorised as mild, moderate or severe. According to Dr. Nairn Stewart, a physiatrist, the frontal lobe of the brain is the area most vulnerable to traumatic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The categorisation of a traumatic brain injury is relevant to but not determinative of its likely outcome. As Dr. Prout, a neurologist, explained, the higher the categorisation the more likely it is that there will be significant ongoing sequelae. According to Dr. Smith, a psychiatrist, the most common cognitive sequelae following a brain injury are difficulties with processing speed, attention and memory. According to Dr. Bishop, executive function difficulties such as low frustration tolerance, emotional lability, poor initiation, poor organization and poor judgment are also commonly associated with trauma to the brain.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The frontal lobe of the brain controls executive functioning. Executive functioning involves the use of cognitive processes and skills effectively and appropriately in the course of daily living. The experts all agreed that frontal lobe damage can compromise an individual's ability to use his or her cognitive processes and skills in an effective and appropriate manner. For this reason, personality change, emotional disturbance and behavioural problems are sometimes experienced following a traumatic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Psychometric tests measure aspects of an individual's cognitive and psychological function. For example, tests of attention, memory, intellect, mood and personality may be administered and objective scores obtained. Neuropsychologists and others interpret the test results within the larger context, including the individual's pre and post injury social, educational, vocational and medical history. Standing alone, however, such testing does not reveal the cause of an identified decrement.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In some cases it is difficult to isolate the cause of problematic symptoms and behaviours following a traumatic brain injury. This is true in part because symptoms of traumatic brain injury may overlap with psychiatric or other symptoms. For example, memory problems following a brain injury may be caused by frontal lobe damage or by distractibility associated with chronic pain or emotional dysregulation. In addition, symptoms such as emotional flatness or numbing may be caused by a brain injury, depression or extreme stress.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To complicate matters further, substance abuse may produce problems similar to those caused by traumatic brain injury. For example, memory loss, poor motivation and emotional dysregulation may also be associated with chronic substance abuse. In addition, substance abuse is itself a risk for brain injured individuals. As noted by Dr. Travalos, a physiatrist, reduced inhibition and increased impulsivity caused by traumatic brain injury may accelerate or accentuate alcohol and drug abuse.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Individuals who experience a mild traumatic brain injury usually recover fully in three to six months, although the recovery period may be prolonged by pre-existing vulnerabilities. In approximately 10% of cases, however, mild traumatic brain injury victims continue to suffer from significant ongoing symptoms. When the brain injury is moderate the likelihood of ongoing symptoms is increased.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According to Dr. Wilkinson, a neuropsychologist, if a mild traumatic brain injury is "complicated" the functional recovery pattern is more like that of a moderate traumatic brain injury. According to Dr. Prout, the typical pattern of recovery from brain injury symptoms is a period of improvement for several months, followed by a plateau.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Factors for consideration in classifying the severity of a traumatic brain injury include the individual's Glasgow Coma score and degree of pre and post traumatic amnesia. Dr. Prout testified, and I accept, that the presence of imaged brain lesions does not change the classification of the injury from mild to moderate. It does, however, place an otherwise mild traumatic brain injury into the complicated category.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In this case, Ms. Gilbert participated in psychometric testing with Dr. Bishop and Dr. Wilkinson as part of their neuropsychological assessments. Test results showed low average verbally-mediated skills with average reasoning capacity. They also showed variable attentional capacity, distractibility, above average nonverbal reasoning, weak verbal memory, strong visual learning and variable visual-spatial and visual perceptual capacity. Ms. Gilbert was anxious, spoke slowly and seemed fatigued during much of the testing process, but she gave good effort and the results she produced were valid.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Ms. Gilbert also participated in clinical interviews with the experts who assessed her. Although some of the detail of what she told them varied, she made it clear to all that her pre-accident life included considerable stress and trauma, as well as prodigious substance abuse. The experts also reviewed a range of pre and post accident records, such as those of Dr. Bannerman, Ms. Gilbert's school records, the MRI report and other written materials. Dr. Bishop conducted a collateral interview of Margaret Gilbert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Dr. Bishop assumed Margaret Gilbert's description of a significant change in Ms. Gilbert's neurobehavioral functioning after the accident was generally accurate. She noted the complexity of separating out problems caused by substance abuse and pre-existing emotional and behavioural difficulties from those caused by the traumatic brain injury. Nevertheless, Dr. Bishop concluded that Ms. Gilbert suffered moderate trauma to the brain with at least moderate sequelae as a result of the accident. In her view, Ms. Gilbert's pre-existing emotional and neurobehavioural problems such as poor judgment, poor insight and impulsivity were exacerbated by her traumatic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Dr. Bishop classified Ms. Gilbert's brain injury as moderate based on her loss of consciousness and the MRI findings, together with the reports of increased post-accident problems such as memory loss, poor concentration and low frustration tolerance. She noted that all of these reported problems are consistent with a blow to the head. Dr. Bishop also opined that Ms. Gilbert's recovery from the traumatic brain injury had plateaued and her cognitive functioning was impacted negatively by chronic pain as well by the damage to her brain.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Dr. Wilkinson did not share Dr. Bishop's opinion on the classification of Ms. Gilbert's traumatic brain injury or its likely ongoing sequelae. In her view, the injury met the criteria for a complicated mild traumatic brain injury, not a moderate traumatic brain injury. She also opined that Ms. Gilbert suffered no loss of cognitive ability as a result of the accident. She went on to say that her current executive function difficulties all pre-existed the injury and were not causally connected to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Like Dr. Bishop, Dr. Wilkinson expressed the view that Ms. Gilbert's brain was probably affected negatively by substance abuse prior to the accident. For this reason it was vulnerable to the effects of the brain trauma, which probably lasted longer than would ordinarily be expected. Although she could not be definitive, Dr. Wilkinson indicated that Ms. Gilbert likely suffered cognitive symptoms caused solely by brain trauma for something in the range of six months after the accident. Thereafter, in her view, her recovery was confounded by other problems such as pain, fatigue and ingestion of medication. She attributed symptoms such as emotional numbing to the many other traumas in Ms. Gilbert's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Dr. Prout agreed with Dr. Wilkinson that Ms. Gilbert likely suffered from a complicated mild traumatic brain injury. He accepted that she experienced related problems with cognitive function shortly after the accident, but expressed the view that when he assessed her in 2008 she was cognitively intact. In his opinion, any subjective cognitive complaints Ms. Gilbert continued to experience were likely the result of pain, poor sleep, substance abuse and psychological difficulties, not her traumatic brain injury. For example, he associated her slow speech with depression and her memory loss with distractibility caused by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Dr. Anderson and Dr. Smith are both psychiatrists. The focus of their assessments was, therefore, Ms. Gilbert's emotional and psychiatric complaints. Nevertheless, both expressed views on the classification of her traumatic brain injury and associated cognitive and neurobehavioral functioning. In Dr. Anderson's view, given the MRI findings, Ms. Gilbert suffered at least a moderate traumatic brain injury. In Dr. Smith's view, she suffered somewhere between a mild and moderate traumatic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Like Dr. Bishop, Dr. Anderson assumed Ms. Gilbert's account of a significant post accident change in her personality, mood and neurobehavioral functioning was generally accurate. Like Dr. Wilkinson, by and large, Dr. Smith did not. Unsurprisingly, given this difference in underlying assumptions, the two psychiatrists reached different conclusions on the extent to which Ms. Gilbert's brain injury had ongoing sequelae. Dr. Anderson concluded that her pre-existing personality, mood and neurobehavioral problems were markedly exacerbated by the traumatic brain injury. Dr. Smith concluded that, other than possible compulsive kitchen cleaning, Ms. Gilbert's ongoing problems were all pre-existing and probably unrelated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Dr. Nairn Stewart and Dr. Travalos are both physiatrists, expert in the field of physical medicine and rehabilitation. They, too, expressed opinions on the classification of Ms. Gilbert's traumatic brain injury and its effects. Dr. Nairn Stewart described her brain injury as falling within the mild to moderate classification. Dr. Travalos described it as more of a mild than a moderate head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Dr. Nairn Stewart characterised Ms. Gilbert's brain injury as her most significant accident-related injury. She accepted as accurate the reported changes in her personality and functioning and emphasized that her cognitive and emotional difficulties are "absolutely characteristic of frontal lobe brain injury". She went on to note that Ms. Gilbert exhibited inappropriate anger, loud laughter and apparently unconscious self-contradiction in the course of her assessment. In her opinion, Ms. Gilbert's brain injury creates considerable risk and difficulty with regard to her general health and rehabilitation.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Dr. Travalos opined that Ms. Gilbert's cognitive, emotional and behavioural problems are multifactorial in nature. In his view, there is no doubt that her symptoms of dizziness, cognitive complaints and to some extent irritability over time were in part related to her head injury. He went on to say that chronic pain and sleep problems compounded her clinical picture and cognition, as did her pre-existing emotional and substance abuse problems. He also remarked that Ms. Gilbert's ongoing headache pain may be post-concussive in origin.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Chronic Pain Disorder, Depression and Anxiety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Physical illness or injury may cause an individual to perceive pain, which may, in turn, contribute to psychiatric symptoms such as depression and anxiety. Conversely, symptoms of depression and anxiety may also increase pain perception and negatively affect an individual's ability to cope with pain. The same is true of chronic sleep deprivation. When pain endures for six months or longer, becomes the predominant focus of an individual's presentation and is severe enough that clinical attention is required a diagnosis of chronic pain disorder is warranted.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Chronic pain disorder causes significant impairment in social, occupational or other important areas of functioning. According to Dr. Anderson, psychological factors play a significant role in the onset, severity, exacerbation or maintenance of the pain. Although the pain perceived is not produced exclusively by physical factors, it is also not produced intentionally or feigned by the individual. The most appropriate treatment for chronic pain is a multidisciplinary approach that addresses both the physical and emotional factors that are at play.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Dr. Anderson described Ms. Gilbert as an emotionally vulnerable person who had difficulty coping with life stressors prior to the accident. After its occurrence, in his view, she developed a chronic pain disorder. Her physical pain reduced her already compromised coping ability and contributed to her ongoing cognitive and emotional difficulties, which may be further compromised by her abuse of substances. Although she did not develop posttraumatic stress disorder as a result of the accident, she experienced increased anxiety. She also suffered from a major depressive disorder for a time and continues to suffer from significant and related depressive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Dr. Smith agreed that Ms. Gilbert was emotionally vulnerable prior to the accident. He also agreed that she did not develop posttraumatic stress disorder in its aftermath. In his view, however, none of her ongoing cognitive or emotional difficulties are attributable to the injuries she suffered in the accident, with the possible exception of mild obsessive compulsive symptoms caused by her brain injury. He described these symptoms, which involve compulsive cleaning, as innocuous and even a positive social attribute.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As noted, in Dr. Nairn Stewart's opinion Ms. Gilbert's most significant accident-related injury was her frontal lobe brain damage. She also commented, however, on Ms. Gilbert's physical state and experience of pain. Dr. Nairn Stewart acknowledged Ms. Gilbert's pre-accident diabetes and asthma, but described her, inaccurately, as well before with accident "with none of her current problems". On physical examination, she noted some decreased range of motion in Ms. Gilbert's neck and shoulders, full range of motion in both hips and full rotation in the mid-back. She associated Ms. Gilbert's daily headaches with her ongoing neck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Dr. Travalos remarked on Ms. Gilbert's pre-accident history of low back pain and emotional difficulties. He acknowledged, however, that the early records do not describe or explain the vast array of symptoms that she now presents. He went on to say that her substance abuse, sleep problems and profound deconditioning contribute negatively to her general wellbeing. In his view, Ms. Gilbert's deconditioned stated is a major factor in her current physical, mental and emotional 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Dr. Gouws is an occupational health physician. He assessed Ms. Gilbert's fitness to work. In the course of so doing he took a history and conducted a physical examination, in which he noted tenderness and reduced rotation of the cervical spine. Dr. Gouws diagnosed widespread myofascial pain related to soft tissue injuries and cervicogenic headaches. Like Dr. Travalos, he remarked on Ms. Gilbert's pre-existing problems and seriously deconditioned 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Dr. Prout also conducted a physical examination. He recorded multiple areas of myofascial tenderness in the neck and back, but noted the absence of objective signs such as muscle spasm. Like many other experts, Dr. Prout associated Ms. Gilbert's headaches with her soft tissue neck and back injuries. He also described her occasional and slight feelings of dizziness as a residual symptom of the effects of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Vocational Impact of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The experts disagreed on the extent, if any, to which Ms. Gilbert's injuries impact upon her vocational capacity. The division was based primarily on whether the expert in question accepted that her level of vocational function before and after the accident did or did not undergo a significant change. For present purposes, it is unnecessary to review each of these opinions in detail. Aspects of the most pertinent are summarised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Dr. Gouws explained that understanding an individual's baseline pre-accident vocational performance is critical to assessing the extent of any post-accident loss of capacity. In formulating his opinion, he assumed that, despite her many challenges, before the accident Ms. Gilbert was able to work successfully with New Directions on a part time basis for approximately 14 years. He acknowledged that, in so doing, Ms. Gilbert was operating in a sheltered work environment. Nevertheless, he concluded that but for the accident she would have continued with that work and due to its occurrence she could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Richard Carlin is a vocational rehabilitation consultant. In conducting his assessment, he interviewed Ms. Gilbert, reviewed medical reports and administered a battery of vocational tests. Taking into account that body of information, Mr. Carlin concluded that, given her post-accident condition, Ms. Gilbert is probably incapable of working in the labour market at a competitive level.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Mr. Carlin also commented on Ms. Gilbert's pre-accident condition from a vocational perspective. In so doing, he noted the multifaceted benefits of her New Directions work and stated the workshops allowed her to experience and heal her own wounds at the same time she was helping participants. He went on to state: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From a vocational rehabilitation perspective, I am of the opinion that Ms. Gilbert was likely receiving significant support in her own life by participating in these workshop presentations. Through helping participants live with the painful events in their lives, Ms. Gilbert gained meaning and purpose in her own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Dr. Travalos expressed the view that Ms. Gilbert is capable of working in an appropriately structured and controlled environment, but is not competitively employable. In his opinion, her limitations include prolonged immobility or prolonged sitting and any work she undertakes should not be mentally taxing. In comparing Ms. Gilbert's pre-accident and post-accident functioning in connection with her work at New Directions, Dr. Travalos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one assumes that the level of functioning was borderline previously and now is slightly worse than that, then this could certainly impact on her longevity of the work. If she had started out with a fairly good level of capacity then the head injury may have reduced her level of function but not impacted on her ability to do her work. Ms. Gilbert described to me that she was fired by her mother for an inability to do the work. It would appear, therefore, that the accident was just enough to reduce her pre-accident level of ability to one that was no longer functional within the non-competitive and controlled environment with which she was working prior to the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Treatment and Prognosis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The experts all agree that Ms. Gilbert would benefit from a wide range of therapies regardless of the cause of her currently compromised condition. For example, she would benefit from substance abuse, pain management and other forms of counselling, medication, a structured living environment and a stringent supervised exercise program. They also agree that the absence of such interventions to date has negatively affected her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According to Dr. Nairn Stewart, given the passage of time since the accident Ms. Gilbert will likely continue to experience her current physical, cognitive, emotional and behavioural problems over the long term. In her view, she will probably remain competitively unemployable because of these problems and need long term support, as recommended by an occupational therapist. In addition, Ms. Gilbert's cognitive and executive function deficits will make rehabilitation efforts and provision for her needs unusually difficult. Nevertheless, in Dr. Nairn Stewart's view, such efforts should be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Drs. Bishop, Anderson and Gouws and Richard Carlin all expressed similar views to those of Dr. Nairn Stewart.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Tracy Berry is an occupational therapist. She met with and assessed Ms. Gilbert in June, 2010 when she was living in Ms. Coutlee's home. Like several other experts, Ms. Berry interviewed Ms. Gilbert, reviewed medical reports and obtained collateral information, in this case from Ms. Coutlee, who answered "caregiver questions". She based her recommendations for future care on the assumption that the reports and information provided were factually accurate. She also assumed that family and friends would not continue to provide Ms. Gilbert with shelter and care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In Ms. Berry's opinion Ms. Gilbert does not possess the cognitive skills to live independently. She also holds the view that Ms. Gilbert likely would not have required specialized intervention to learn independent living skills before the accident. Given her post-accident condition, Ms. Berry recommends the provision of a supported living environment, drug and alcohol treatment and a multidisciplinary pain clinic. She also recommends structured activity to help address chronic pain management and emotional regulation, together with medication, homemaking support and financial management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Dr. Travalos agrees with Drs. Nairn Stewart, Bishop, Anderson and Gouws that Ms. Gilbert's long term prognosis is poor but that rehabilitative efforts are nevertheless appropriate. In his view, the window of opportunity for physical, mental and emotional improvement is closing, but it is not yet entirely shut. In his opinion time-limited, goal-oriented and structured interventions may improve Ms. Gilbert's overall clinical presentation and general wellbeing in the future. Depending on their outcome, her lower than normal life expectancy may be extended and the quality of her life may be enhanced.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Drs. Smith and Wilkinson concur with the pessimistic view of Ms. Gilbert's future prognosis expressed by the other experts. Dr. Smith also opined that her life expectancy is lower than normal, due in large measure to her substance abuse and poorly controlled diabetes. Dr. Travalos also indicated that these were significant factors in connection with Ms. Gilbert's lower than normal life expectancy. He identified her substantial deconditioning and high blood pressure as additional contributing factors.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Defence counsel sought to introduce an expert medical opinion specifically concerning Ms. Gilbert's life expectancy in purported response to the report of Robert Carson, an economist. Mr. Carson's report included various factual assumptions with respect to Ms. Gilbert's possible life expectancy. I ruled the opinion evidence put forward by the defence was not admissible because it was not truly responsive to the Carson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Mr. Carson did not purport to express an opinion on Ms. Gilbert's actual life expectancy. Rather, he provided calculations in accordance with factual assumptions provided to him by her counsel. The weight of Mr. Carson's evidence is affected by the extent to which those assumptions are otherwise established. Their inclusion in his report, however, does not render them an expert opinion to which responsive expert opinion may be adduced.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Given the foregoing ruling, there was no evidence presented regarding the precise extent of Ms. Gilbert's reduced life expectancy. As referenced above, however, opinions from Drs. Travalos and Smith were admitted to the general effect that her life expectancy is lower than normal.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As previously noted, counsel for Ms. Gilbert submits that she suffered a moderate traumatic brain injury in the accident which caused significant and permanent sequelae. These include memory impairment, decreased concentration, low frustration tolerance, diminished organisational capacity and obsessive compulsive behaviour. In addition, he says she suffered soft tissue injuries in her neck, shoulder and back which led to chronic pain and daily headaches. According to her counsel, as a result of her injuries Ms. Gilbert's pre-existing problems with alcohol, drugs and emotions were significantly exacerbated. In consequence, she can no longer function as effectively as before in a personal, social or vocational sense.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As also noted, defence counsel disputes Ms. Gilbert's claim of a significant change in her cognitive, emotional and behavioural functioning. Based on this position, he submits she has not established that "but for" the accident her ongoing problems would be any different. Given Ms. Gilbert's pre-existing condition and post-accident stressors, he says that, beyond the initial recovery stage, she is in the same functional position that she was in before the accident. All things considered, he submits there is no causal link between Ms. Gilbert's injuries and her ongoing physical, mental and emotional difficulties and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xml:space="preserve">  I have accepted that Ms. Gilbert's cognitive, emotional and behavioural condition and functioning are significantly different than they were before the accident. My findings in this regard are set out in detail above and need not be repeated here. I also accept that there is a substantial connection between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these changes. Given Ms. Gilbert's pre-existing condition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not the only source of the damage. For purposes of establishing causation, however, it is only necessary that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w:t>
      </w:r>
      <w:r>
        <w:rPr>
          <w:rFonts w:ascii="arial" w:eastAsia="arial" w:hAnsi="arial" w:cs="arial"/>
          <w:color w:val="000000"/>
          <w:sz w:val="20"/>
          <w:u w:val="single"/>
          <w:lang w:val="en-US" w:eastAsia="en-US" w:bidi="ar-SA"/>
        </w:rPr>
        <w:t>a</w:t>
      </w:r>
      <w:r>
        <w:rPr>
          <w:rFonts w:ascii="arial" w:eastAsia="arial" w:hAnsi="arial" w:cs="arial"/>
          <w:color w:val="000000"/>
          <w:sz w:val="20"/>
          <w:lang w:val="en-US" w:eastAsia="en-US" w:bidi="ar-SA"/>
        </w:rPr>
        <w:t xml:space="preserve"> cause of the damage. Accordingly, Ms. Gilbert has met the requisite burden of proof and is entitled to compensation for her associated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I conclude that Ms. Gilbert suffered a complicated mild traumatic brain injury with significant and permanent sequelae as a result of the accident. This finding is based on the following factors:</w:t>
      </w:r>
      <w:r>
        <w:rPr>
          <w:rFonts w:ascii="arial" w:eastAsia="arial" w:hAnsi="arial" w:cs="arial"/>
          <w:sz w:val="20"/>
          <w:lang w:val="en-US" w:eastAsia="en-US" w:bidi="ar-SA"/>
        </w:rPr>
        <w:cr/>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Gilbert lost consciousness for at least 20 minutes after the accident and experienced posttraumatic amnesia for over a day. The posttraumatic amnesia period includes several hours prior to her first receipt of pain medication at 1:10 a.m. on March 9, 2005.</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Gilbert's brain was vulnerable to injury due to her pre-existing and long-standing pattern of significant substance abuse.</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Gilbert's increased post-accident problems with cognitive processes, including poor memory and focus, executive function and associated personality change, are characteristic of frontal lobe brain injury.</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 strong temporal relationship between Ms. Gilbert's increased cognitive and executive function problems and the accident in that the increased problems appeared immediately after its occurrence and have persisted ever since.</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Gilbert's increased problems with cognitive function improved for a time, then plateaued, in a pattern typical of partial recovery from brain injury symptoms.</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MRI findings show organic change to Ms. Gilbert's brain, which, given her presentation, I am satisfied was caused by the accident.</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plausible alternate explanation for the constellation of altered cognitive, executive function and emotional compromises consistently displayed by Ms. Gilbert since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I also conclude that the change in Ms. Gilbert's substance abuse pattern is substantially connected to her brain injury symptoms. Dulling physical and emotional pain with crack cocaine shows markedly poor judgment and poor self-control. Ms. Gilbert's already inadequate functioning in these areas has been further compromised by her injuries. In consequence, her substance abuse problem has altered in a significantly negative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As noted, I am satisfied that the tragedies Ms. Gilbert experienced after the accident had no lasting impact on her overall level of function. Her pre-accident life was also filled with tragedy, but those sad events did not render her forgetful, aggressive or emotionally numb, nor did they stop her from working with New Directions.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Taking into account my findings as to Ms. Gilbert's altered pre-accident and post-accident condition and functioning I prefer the opinions of Drs. Bishop, Anderson and Nairn Stewart to those of Drs. Wilkinson, Smith and Prout on causation regarding Ms. Gilbert's traumatic brain injury. This is so because the hypotheses upon which the former rest more closely align with the facts established on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As is apparent from the foregoing, I agree with Dr. Travalos' view that Ms. Gilbert's ongoing cognitive, emotional and neurobehavioural problems are multifactorial in nature. I also agree that her increased problems in these realms are related, at least in part, to her head injury. I accept that Ms. Gilbert's cognitive, executive function and emotional problems are also compounded by chronic pain and sleep deprivation. I find, however, that her problems in areas such as memory loss, low frustration tolerance and poor concentration are primarily connected with her traumatic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I further conclude that Ms. Gilbert suffers from chronic pain disorder as a result of the accident. The pain includes frequent neck, shoulder and back pain, together with cervicogenic headaches which originate from soft tissue injuries to her neck. I am satisfied that her pain is genuine in the sense that it is not feigned or goal-directed, although it has a significant psychological, as well as physical, component. In particular, Ms. Gilbert's pre-existing emotional vulnerability and increased emotional disturbance caused by her brain injury are both substantially connected to the severity and maintenance of her ongoing pain. The onset of the pain is a result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As with her brain injury symptoms, there is strong temporal relationship between Ms. Gilbert's chronic pain and the accident. Her headaches, neck and shoulder pain began immediately thereafter and her back pain became a consistent, not transient, feature of her life. As Dr. Travalos points out, while Ms. Gilbert was not particularly healthy before the accident she did not present the vast array of physical complaints she has presented ever since its occurrence. This is true despite the fact that she has long been overweight, deconditioned and emotionally troubled, and her diabetes has long been poorly controlled.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I find that the tingling in Ms. Gilbert's extremities is probably caused by her diabetes and not her accident-related injuries. I am, however, satisfied that her pre-existing health problems do not otherwise explain her chronic pain complaints, nor do any post-accident events. Although it is true that Ms. Gilbert does not exhibit objective signs such as muscle spasm, she does demonstrate decreased range of motion in the neck and shoulder areas and her psychological condition has deteriorated significantly. All things considered, I am satisfied on balance that but for the accident Ms. Gilbert would not be suffering from widespread chronic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The extent of Ms. Gilbert's loss due to her accident-related injuries is substantial. She is, in my view, a thin skull plaintiff. Before the accident, she lived a borderline existence due to her harsh environment, disorganized lifestyle and poor general health and habits. As Dr. Travalos points out, however, she was nonetheless able to work with New Directions. She was also able to participate in and enjoy intimate personal connections.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As a result of the accident, Ms. Gilbert can no longer do either. In effect, she has lost the two major sources of pleasure, purpose and meaning in an already difficult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Ms. Gilbert is and will probably remain competitively unemployable due to the effects of her traumatic brain injury. Although her post-accident functional change is more substantial than Dr. Travalos assumed, I accept his view that her injuries tipped her over the edge in a vocational sense. I also accept that Ms. Gilbert's quality of life may improve with appropriate support and treatment. I am satisfied, however, that, even with support, she will probably never work for pay again.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DUTY TO MITIGATE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xml:space="preserve">  The plaintiff has a positive duty to mitigate by taking all reasonable measures to reduce loss and damages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This duty includes an obligation to undertake reasonably available treatment that would assist in alleviating or curing his or her injuries. The principle of mitigation is based on the general proposition that a defendant should not be held liable for loss and damages the plaintiff could have reasonably avoided: </w:t>
      </w:r>
      <w:r>
        <w:rPr>
          <w:rFonts w:ascii="arial" w:eastAsia="arial" w:hAnsi="arial" w:cs="arial"/>
          <w:i/>
          <w:color w:val="000000"/>
          <w:sz w:val="20"/>
          <w:lang w:val="en-US" w:eastAsia="en-US" w:bidi="ar-SA"/>
        </w:rPr>
        <w:t>Janiak v. Ippolito</w:t>
      </w:r>
      <w:r>
        <w:rPr>
          <w:rFonts w:ascii="arial" w:eastAsia="arial" w:hAnsi="arial" w:cs="arial"/>
          <w:color w:val="000000"/>
          <w:sz w:val="20"/>
          <w:lang w:val="en-US" w:eastAsia="en-US" w:bidi="ar-SA"/>
        </w:rPr>
        <w:t xml:space="preserve">, </w:t>
      </w:r>
      <w:hyperlink r:id="rId969" w:history="1">
        <w:r>
          <w:rPr>
            <w:rFonts w:ascii="arial" w:eastAsia="arial" w:hAnsi="arial" w:cs="arial"/>
            <w:i/>
            <w:color w:val="0077CC"/>
            <w:sz w:val="20"/>
            <w:u w:val="single"/>
            <w:shd w:val="clear" w:color="auto" w:fill="FFFFFF"/>
            <w:lang w:val="en-US" w:eastAsia="en-US" w:bidi="ar-SA"/>
          </w:rPr>
          <w:t>[1985] 1 S.C.R. 146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Danicek v. Alexander Holburn Beaudin &amp; Lang</w:t>
      </w:r>
      <w:r>
        <w:rPr>
          <w:rFonts w:ascii="arial" w:eastAsia="arial" w:hAnsi="arial" w:cs="arial"/>
          <w:color w:val="000000"/>
          <w:sz w:val="20"/>
          <w:lang w:val="en-US" w:eastAsia="en-US" w:bidi="ar-SA"/>
        </w:rPr>
        <w:t xml:space="preserve">, </w:t>
      </w:r>
      <w:hyperlink r:id="rId84" w:history="1">
        <w:r>
          <w:rPr>
            <w:rFonts w:ascii="arial" w:eastAsia="arial" w:hAnsi="arial" w:cs="arial"/>
            <w:i/>
            <w:color w:val="0077CC"/>
            <w:sz w:val="20"/>
            <w:u w:val="single"/>
            <w:shd w:val="clear" w:color="auto" w:fill="FFFFFF"/>
            <w:lang w:val="en-US" w:eastAsia="en-US" w:bidi="ar-SA"/>
          </w:rPr>
          <w:t>2010 BCSC 1111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xml:space="preserve">  Once a plaintiff has established that the defendant is liable for causing his or her injuries, the burden of proof shifts to the defendant. To succeed on a mitigation defence, the defence must prove that the plaintiff acted unreasonably and reasonable conduct would have reduced or eliminated the loss. Whether the plaintiff acted reasonably is a factual question. Its answer depends on consideration of all of the surrounding circumstances: </w:t>
      </w:r>
      <w:r>
        <w:rPr>
          <w:rFonts w:ascii="arial" w:eastAsia="arial" w:hAnsi="arial" w:cs="arial"/>
          <w:i/>
          <w:color w:val="000000"/>
          <w:sz w:val="20"/>
          <w:lang w:val="en-US" w:eastAsia="en-US" w:bidi="ar-SA"/>
        </w:rPr>
        <w:t>Byron v. Larson</w:t>
      </w:r>
      <w:r>
        <w:rPr>
          <w:rFonts w:ascii="arial" w:eastAsia="arial" w:hAnsi="arial" w:cs="arial"/>
          <w:color w:val="000000"/>
          <w:sz w:val="20"/>
          <w:lang w:val="en-US" w:eastAsia="en-US" w:bidi="ar-SA"/>
        </w:rPr>
        <w:t xml:space="preserve">, </w:t>
      </w:r>
      <w:hyperlink r:id="rId970" w:history="1">
        <w:r>
          <w:rPr>
            <w:rFonts w:ascii="arial" w:eastAsia="arial" w:hAnsi="arial" w:cs="arial"/>
            <w:i/>
            <w:color w:val="0077CC"/>
            <w:sz w:val="20"/>
            <w:u w:val="single"/>
            <w:shd w:val="clear" w:color="auto" w:fill="FFFFFF"/>
            <w:lang w:val="en-US" w:eastAsia="en-US" w:bidi="ar-SA"/>
          </w:rPr>
          <w:t>2004 ABCA 398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xml:space="preserve">  A relevant circumstance in cases such as this is the plaintiff's personality and condition before and after the accident. The law does not require a plaintiff to do that which cannot be controlled, nor does it require perfection in the pursuit of rehabilitation. In addition, the defendant must take the victim as found, which may affect what is to be reasonably expected. For example, a person who has struggled with life-long obesity may not be expected to lose substantial weight to discharge the duty to mitigate, even though weight loss would assist recovery. What the law requires is that the plaintiff makes contextually reasonable and sincere efforts to limit his or her damages and loss: </w:t>
      </w:r>
      <w:r>
        <w:rPr>
          <w:rFonts w:ascii="arial" w:eastAsia="arial" w:hAnsi="arial" w:cs="arial"/>
          <w:i/>
          <w:color w:val="000000"/>
          <w:sz w:val="20"/>
          <w:lang w:val="en-US" w:eastAsia="en-US" w:bidi="ar-SA"/>
        </w:rPr>
        <w:t>Qiao v. Buckley</w:t>
      </w:r>
      <w:r>
        <w:rPr>
          <w:rFonts w:ascii="arial" w:eastAsia="arial" w:hAnsi="arial" w:cs="arial"/>
          <w:color w:val="000000"/>
          <w:sz w:val="20"/>
          <w:lang w:val="en-US" w:eastAsia="en-US" w:bidi="ar-SA"/>
        </w:rPr>
        <w:t xml:space="preserve">, </w:t>
      </w:r>
      <w:hyperlink r:id="rId971" w:history="1">
        <w:r>
          <w:rPr>
            <w:rFonts w:ascii="arial" w:eastAsia="arial" w:hAnsi="arial" w:cs="arial"/>
            <w:i/>
            <w:color w:val="0077CC"/>
            <w:sz w:val="20"/>
            <w:u w:val="single"/>
            <w:shd w:val="clear" w:color="auto" w:fill="FFFFFF"/>
            <w:lang w:val="en-US" w:eastAsia="en-US" w:bidi="ar-SA"/>
          </w:rPr>
          <w:t>2008 BCSC 1782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Antoniali v. Massey</w:t>
      </w:r>
      <w:r>
        <w:rPr>
          <w:rFonts w:ascii="arial" w:eastAsia="arial" w:hAnsi="arial" w:cs="arial"/>
          <w:color w:val="000000"/>
          <w:sz w:val="20"/>
          <w:lang w:val="en-US" w:eastAsia="en-US" w:bidi="ar-SA"/>
        </w:rPr>
        <w:t xml:space="preserve">, </w:t>
      </w:r>
      <w:hyperlink r:id="rId972" w:history="1">
        <w:r>
          <w:rPr>
            <w:rFonts w:ascii="arial" w:eastAsia="arial" w:hAnsi="arial" w:cs="arial"/>
            <w:i/>
            <w:color w:val="0077CC"/>
            <w:sz w:val="20"/>
            <w:u w:val="single"/>
            <w:shd w:val="clear" w:color="auto" w:fill="FFFFFF"/>
            <w:lang w:val="en-US" w:eastAsia="en-US" w:bidi="ar-SA"/>
          </w:rPr>
          <w:t>2008 BCSC 1085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Defence counsel submits that Ms. Gilbert failed to mitigate her loss by exercising regularly and attending for physiotherapy and counselling. Had she done so, he says any accident-related exacerbation of her physical and emotional problems would have been limited. According to defence counsel, given Dr. Bannerman's recommendations with respect to these matters the plaintiff ought reasonably to have undertaken them. She did not, and her damages should be correspondingly reduced.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Counsel for Ms. Gilbert responds that she cannot be faulted for failing to follow Dr. Bannerman's recommendations given her personal circumstances and injuries. Her increased problems with executive function made it impossible for her to organise and attend appointments, particularly as she did not have a stable home. In addition, her aversion to being touched interferes with her willingness to undertake physiotherapy. Further, her attempt to participate in a residential brain injury program with Cheshire Homes in 2008 was frustrated by an inability to secure funding.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Counsel goes on to say that, in any event, the evidence fails to establish Ms. Gilbert would have improved functionally had she undertaken physiotherapy and counselling. He further submits that, in contrast, the evidence does establish she took reasonable steps to mitigate her loss by trying to return to remunerative work. Those efforts included attending the Culinary Arts program and participating in three post-accident New Directions workshops. Unfortunately, while sincerely made, they were unsuccessful due to the effects of Ms. Gilbert's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I agree with Ms. Gilbert's counsel and conclude she has not failed to mitigate her damages. While I do not accept that her living arrangements since the accident have been any less stable than before, I do accept that she is more mentally disorganised and her already poor self-care habits have deteriorated considerably. This deterioration contributed materially to Ms. Gilbert's failure to follow Dr. Bannerman's recommendations in connection with physiotherapy, exercise and counselling, as did her pre-existing personality and condition. Her accident-related, uncontrollable lack of insight into her need for treatment also contributed. In addition, her inability to afford programs such as Cheshire Homes means that such treatment was not reasonably available to Ms. Gilbert.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I also conclude that Ms. Gilbert took reasonable steps to mitigate her loss in connection with employment, despite her compromised condition. The Culinary Arts program was difficult for her, but she persisted and was just able to pass. This does not mean, however, that she has been able to work as a professional chef since the accident. On the contrary, I am satisfied that, for reasons beyond her control, she has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The Culinary Arts program environment was sheltered and Ms. Gilbert was regularly supported by her fellow students in fulfilling its requirements. Her post-accident efforts to cook and clean for family and friends were also marked by shelter and support. I am, however, satisfied that Ms. Gilbert's chronic pain and mental disorganisation make it impossible for her to work in an unsheltered employment environment such as a restaurant or work camp. As previously noted, I am also satisfied that she is no longer able to work with New Directions or a comparable program in any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xml:space="preserve">  Non-pecuniary damages are awarded to compensate the plaintiff for pain, suffering, loss of enjoyment of life and loss of amenities. The compensation awarded should be fair and reasonable to both parties. For purposes of assessment, fairness is measured against awards made in comparable cases. Each case is, however, unique and fact-driven. For this reason, other cases can serve only as a rough guide: </w:t>
      </w:r>
      <w:r>
        <w:rPr>
          <w:rFonts w:ascii="arial" w:eastAsia="arial" w:hAnsi="arial" w:cs="arial"/>
          <w:i/>
          <w:color w:val="000000"/>
          <w:sz w:val="20"/>
          <w:lang w:val="en-US" w:eastAsia="en-US" w:bidi="ar-SA"/>
        </w:rPr>
        <w:t>Trites v. Penner</w:t>
      </w:r>
      <w:r>
        <w:rPr>
          <w:rFonts w:ascii="arial" w:eastAsia="arial" w:hAnsi="arial" w:cs="arial"/>
          <w:color w:val="000000"/>
          <w:sz w:val="20"/>
          <w:lang w:val="en-US" w:eastAsia="en-US" w:bidi="ar-SA"/>
        </w:rPr>
        <w:t xml:space="preserve">, </w:t>
      </w:r>
      <w:hyperlink r:id="rId89" w:history="1">
        <w:r>
          <w:rPr>
            <w:rFonts w:ascii="arial" w:eastAsia="arial" w:hAnsi="arial" w:cs="arial"/>
            <w:i/>
            <w:color w:val="0077CC"/>
            <w:sz w:val="20"/>
            <w:u w:val="single"/>
            <w:shd w:val="clear" w:color="auto" w:fill="FFFFFF"/>
            <w:lang w:val="en-US" w:eastAsia="en-US" w:bidi="ar-SA"/>
          </w:rPr>
          <w:t>2010 BCSC 882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xml:space="preserve">  An award of non-pecuniary damages compensates the plaintiff for losses suffered up to the trial date and into the future. Common factors for consideration include the plaintiff's age, the nature of the injuries, the severity and duration of pain and disability, relationship impairment, and loss of life style. A functional approach to quantification is appropriate and damages are to be assessed in light of the plaintiff's individual circumstances. A clear appreciation of his or her loss and need for solace is the key: </w:t>
      </w:r>
      <w:r>
        <w:rPr>
          <w:rFonts w:ascii="arial" w:eastAsia="arial" w:hAnsi="arial" w:cs="arial"/>
          <w:i/>
          <w:color w:val="000000"/>
          <w:sz w:val="20"/>
          <w:lang w:val="en-US" w:eastAsia="en-US" w:bidi="ar-SA"/>
        </w:rPr>
        <w:t>Dikey v. Samieian</w:t>
      </w:r>
      <w:r>
        <w:rPr>
          <w:rFonts w:ascii="arial" w:eastAsia="arial" w:hAnsi="arial" w:cs="arial"/>
          <w:color w:val="000000"/>
          <w:sz w:val="20"/>
          <w:lang w:val="en-US" w:eastAsia="en-US" w:bidi="ar-SA"/>
        </w:rPr>
        <w:t xml:space="preserve">, </w:t>
      </w:r>
      <w:hyperlink r:id="rId973" w:history="1">
        <w:r>
          <w:rPr>
            <w:rFonts w:ascii="arial" w:eastAsia="arial" w:hAnsi="arial" w:cs="arial"/>
            <w:i/>
            <w:color w:val="0077CC"/>
            <w:sz w:val="20"/>
            <w:u w:val="single"/>
            <w:shd w:val="clear" w:color="auto" w:fill="FFFFFF"/>
            <w:lang w:val="en-US" w:eastAsia="en-US" w:bidi="ar-SA"/>
          </w:rPr>
          <w:t>2008 BCSC 604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Counsel for Ms. Gilbert submits that the appropriate range for non-pecuniary damages in this case is between $200,000 and $250,000. He seeks an award in the middle of that range. He emphasizes that Ms. Gilbert is permanently unemployable and has suffered a great deal because she can no longer work with New Directions. He also emphasizes the painful nature of her loss of close relationships and realistic hopes for a better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xml:space="preserve">  In support of his submission, counsel for Ms. Gilbert relies upon </w:t>
      </w:r>
      <w:r>
        <w:rPr>
          <w:rFonts w:ascii="arial" w:eastAsia="arial" w:hAnsi="arial" w:cs="arial"/>
          <w:i/>
          <w:color w:val="000000"/>
          <w:sz w:val="20"/>
          <w:lang w:val="en-US" w:eastAsia="en-US" w:bidi="ar-SA"/>
        </w:rPr>
        <w:t>Young v. Anderson</w:t>
      </w:r>
      <w:r>
        <w:rPr>
          <w:rFonts w:ascii="arial" w:eastAsia="arial" w:hAnsi="arial" w:cs="arial"/>
          <w:color w:val="000000"/>
          <w:sz w:val="20"/>
          <w:lang w:val="en-US" w:eastAsia="en-US" w:bidi="ar-SA"/>
        </w:rPr>
        <w:t xml:space="preserve">, </w:t>
      </w:r>
      <w:hyperlink r:id="rId974" w:history="1">
        <w:r>
          <w:rPr>
            <w:rFonts w:ascii="arial" w:eastAsia="arial" w:hAnsi="arial" w:cs="arial"/>
            <w:i/>
            <w:color w:val="0077CC"/>
            <w:sz w:val="20"/>
            <w:u w:val="single"/>
            <w:shd w:val="clear" w:color="auto" w:fill="FFFFFF"/>
            <w:lang w:val="en-US" w:eastAsia="en-US" w:bidi="ar-SA"/>
          </w:rPr>
          <w:t>2008 BCSC 1306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Adamson v. Charity</w:t>
      </w:r>
      <w:r>
        <w:rPr>
          <w:rFonts w:ascii="arial" w:eastAsia="arial" w:hAnsi="arial" w:cs="arial"/>
          <w:color w:val="000000"/>
          <w:sz w:val="20"/>
          <w:lang w:val="en-US" w:eastAsia="en-US" w:bidi="ar-SA"/>
        </w:rPr>
        <w:t xml:space="preserve">, </w:t>
      </w:r>
      <w:hyperlink r:id="rId975" w:history="1">
        <w:r>
          <w:rPr>
            <w:rFonts w:ascii="arial" w:eastAsia="arial" w:hAnsi="arial" w:cs="arial"/>
            <w:i/>
            <w:color w:val="0077CC"/>
            <w:sz w:val="20"/>
            <w:u w:val="single"/>
            <w:shd w:val="clear" w:color="auto" w:fill="FFFFFF"/>
            <w:lang w:val="en-US" w:eastAsia="en-US" w:bidi="ar-SA"/>
          </w:rPr>
          <w:t>2007 BCSC 671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Hodgins v. Street</w:t>
      </w:r>
      <w:r>
        <w:rPr>
          <w:rFonts w:ascii="arial" w:eastAsia="arial" w:hAnsi="arial" w:cs="arial"/>
          <w:color w:val="000000"/>
          <w:sz w:val="20"/>
          <w:lang w:val="en-US" w:eastAsia="en-US" w:bidi="ar-SA"/>
        </w:rPr>
        <w:t xml:space="preserve">, </w:t>
      </w:r>
      <w:hyperlink r:id="rId976" w:history="1">
        <w:r>
          <w:rPr>
            <w:rFonts w:ascii="arial" w:eastAsia="arial" w:hAnsi="arial" w:cs="arial"/>
            <w:i/>
            <w:color w:val="0077CC"/>
            <w:sz w:val="20"/>
            <w:u w:val="single"/>
            <w:shd w:val="clear" w:color="auto" w:fill="FFFFFF"/>
            <w:lang w:val="en-US" w:eastAsia="en-US" w:bidi="ar-SA"/>
          </w:rPr>
          <w:t>2009 BCSC 673</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Danicek v. Alexander Holburn Beaudin &amp; Lang</w:t>
      </w:r>
      <w:r>
        <w:rPr>
          <w:rFonts w:ascii="arial" w:eastAsia="arial" w:hAnsi="arial" w:cs="arial"/>
          <w:color w:val="000000"/>
          <w:sz w:val="20"/>
          <w:lang w:val="en-US" w:eastAsia="en-US" w:bidi="ar-SA"/>
        </w:rPr>
        <w:t xml:space="preserve">, </w:t>
      </w:r>
      <w:hyperlink r:id="rId84" w:history="1">
        <w:r>
          <w:rPr>
            <w:rFonts w:ascii="arial" w:eastAsia="arial" w:hAnsi="arial" w:cs="arial"/>
            <w:i/>
            <w:color w:val="0077CC"/>
            <w:sz w:val="20"/>
            <w:u w:val="single"/>
            <w:shd w:val="clear" w:color="auto" w:fill="FFFFFF"/>
            <w:lang w:val="en-US" w:eastAsia="en-US" w:bidi="ar-SA"/>
          </w:rPr>
          <w:t>2010 BCSC 1111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Young</w:t>
      </w:r>
      <w:r>
        <w:rPr>
          <w:rFonts w:ascii="arial" w:eastAsia="arial" w:hAnsi="arial" w:cs="arial"/>
          <w:color w:val="000000"/>
          <w:sz w:val="20"/>
          <w:lang w:val="en-US" w:eastAsia="en-US" w:bidi="ar-SA"/>
        </w:rPr>
        <w:t>, the 51-year-old plaintiff suffered a mild traumatic brain injury, as well as other serious injuries. As a result, he experienced, amongst other problems, chronic pain, depression and a cognitive disorder. The court awarded $200,000 in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Adamson</w:t>
      </w:r>
      <w:r>
        <w:rPr>
          <w:rFonts w:ascii="arial" w:eastAsia="arial" w:hAnsi="arial" w:cs="arial"/>
          <w:color w:val="000000"/>
          <w:sz w:val="20"/>
          <w:lang w:val="en-US" w:eastAsia="en-US" w:bidi="ar-SA"/>
        </w:rPr>
        <w:t>, the 42-year-old plaintiff also suffered chronic pain, depression and a range of symptoms related to a mild traumatic brain injury. As a result, he was rendered competitively unemployable for the remainder of his life. The court awarded $200,000 in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Hodgins</w:t>
      </w:r>
      <w:r>
        <w:rPr>
          <w:rFonts w:ascii="arial" w:eastAsia="arial" w:hAnsi="arial" w:cs="arial"/>
          <w:color w:val="000000"/>
          <w:sz w:val="20"/>
          <w:lang w:val="en-US" w:eastAsia="en-US" w:bidi="ar-SA"/>
        </w:rPr>
        <w:t>, the 16-year-old plaintiff suffered a traumatic brain injury, together with other injuries. As in this case, her ongoing symptoms were produced by an interaction of organic factors from the brain injury and psychological factors in a psychologically vulnerable person. She was significantly functionally disabled as a result of her injuries, although she could work at 50% capacity. Non-pecuniary damages were assessed at $220,000 and reduced by $30,000 based on a finding that she was a "crumbling skull"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Danicek</w:t>
      </w:r>
      <w:r>
        <w:rPr>
          <w:rFonts w:ascii="arial" w:eastAsia="arial" w:hAnsi="arial" w:cs="arial"/>
          <w:color w:val="000000"/>
          <w:sz w:val="20"/>
          <w:lang w:val="en-US" w:eastAsia="en-US" w:bidi="ar-SA"/>
        </w:rPr>
        <w:t>, the 32-year-old plaintiff suffered a mild traumatic brain injury, soft tissue injuries and chronic headaches. Her life was profoundly affected by these injuries, particularly in connection with her work. The court awarded $185,000 in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xml:space="preserve">  Defence counsel submits that the appropriate range for non-pecuniary damages is between $50,000 and $95,000. This submission is based on the position that Ms. Gilbert suffered cognitive deficits and pain due to her injuries for a time after the accident, but her ongoing condition has not been significantly or permanently changed. In support of his submission, defence counsel relies upon </w:t>
      </w:r>
      <w:r>
        <w:rPr>
          <w:rFonts w:ascii="arial" w:eastAsia="arial" w:hAnsi="arial" w:cs="arial"/>
          <w:i/>
          <w:color w:val="000000"/>
          <w:sz w:val="20"/>
          <w:lang w:val="en-US" w:eastAsia="en-US" w:bidi="ar-SA"/>
        </w:rPr>
        <w:t>Dial v. Grewal</w:t>
      </w:r>
      <w:r>
        <w:rPr>
          <w:rFonts w:ascii="arial" w:eastAsia="arial" w:hAnsi="arial" w:cs="arial"/>
          <w:color w:val="000000"/>
          <w:sz w:val="20"/>
          <w:lang w:val="en-US" w:eastAsia="en-US" w:bidi="ar-SA"/>
        </w:rPr>
        <w:t xml:space="preserve">, </w:t>
      </w:r>
      <w:hyperlink r:id="rId977" w:history="1">
        <w:r>
          <w:rPr>
            <w:rFonts w:ascii="arial" w:eastAsia="arial" w:hAnsi="arial" w:cs="arial"/>
            <w:i/>
            <w:color w:val="0077CC"/>
            <w:sz w:val="20"/>
            <w:u w:val="single"/>
            <w:shd w:val="clear" w:color="auto" w:fill="FFFFFF"/>
            <w:lang w:val="en-US" w:eastAsia="en-US" w:bidi="ar-SA"/>
          </w:rPr>
          <w:t>2010 BCSC 759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Sedor v. Snider</w:t>
      </w:r>
      <w:r>
        <w:rPr>
          <w:rFonts w:ascii="arial" w:eastAsia="arial" w:hAnsi="arial" w:cs="arial"/>
          <w:color w:val="000000"/>
          <w:sz w:val="20"/>
          <w:lang w:val="en-US" w:eastAsia="en-US" w:bidi="ar-SA"/>
        </w:rPr>
        <w:t xml:space="preserve">, </w:t>
      </w:r>
      <w:hyperlink r:id="rId978" w:history="1">
        <w:r>
          <w:rPr>
            <w:rFonts w:ascii="arial" w:eastAsia="arial" w:hAnsi="arial" w:cs="arial"/>
            <w:i/>
            <w:color w:val="0077CC"/>
            <w:sz w:val="20"/>
            <w:u w:val="single"/>
            <w:shd w:val="clear" w:color="auto" w:fill="FFFFFF"/>
            <w:lang w:val="en-US" w:eastAsia="en-US" w:bidi="ar-SA"/>
          </w:rPr>
          <w:t>[1999] B.C.J. No. 2853</w:t>
        </w:r>
      </w:hyperlink>
      <w:r>
        <w:rPr>
          <w:rFonts w:ascii="arial" w:eastAsia="arial" w:hAnsi="arial" w:cs="arial"/>
          <w:color w:val="000000"/>
          <w:sz w:val="20"/>
          <w:lang w:val="en-US" w:eastAsia="en-US" w:bidi="ar-SA"/>
        </w:rPr>
        <w:t xml:space="preserve">, (December 14, 1999) New Westminster Registry S029844; and </w:t>
      </w:r>
      <w:r>
        <w:rPr>
          <w:rFonts w:ascii="arial" w:eastAsia="arial" w:hAnsi="arial" w:cs="arial"/>
          <w:i/>
          <w:color w:val="000000"/>
          <w:sz w:val="20"/>
          <w:lang w:val="en-US" w:eastAsia="en-US" w:bidi="ar-SA"/>
        </w:rPr>
        <w:t>Pham-Fraser v. Smith</w:t>
      </w:r>
      <w:r>
        <w:rPr>
          <w:rFonts w:ascii="arial" w:eastAsia="arial" w:hAnsi="arial" w:cs="arial"/>
          <w:color w:val="000000"/>
          <w:sz w:val="20"/>
          <w:lang w:val="en-US" w:eastAsia="en-US" w:bidi="ar-SA"/>
        </w:rPr>
        <w:t xml:space="preserve">, </w:t>
      </w:r>
      <w:hyperlink r:id="rId132" w:history="1">
        <w:r>
          <w:rPr>
            <w:rFonts w:ascii="arial" w:eastAsia="arial" w:hAnsi="arial" w:cs="arial"/>
            <w:i/>
            <w:color w:val="0077CC"/>
            <w:sz w:val="20"/>
            <w:u w:val="single"/>
            <w:shd w:val="clear" w:color="auto" w:fill="FFFFFF"/>
            <w:lang w:val="en-US" w:eastAsia="en-US" w:bidi="ar-SA"/>
          </w:rPr>
          <w:t>2010 BCSC 322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xml:space="preserve">  The cases defence counsel relies upon involve soft tissue injuries, headaches and emotional complaints, but not traumatic brain injuries with permanent sequelae. As a result, I do not find them helpful given the factual findings that I have made. In contrast, while different in some respects, the </w:t>
      </w:r>
      <w:r>
        <w:rPr>
          <w:rFonts w:ascii="arial" w:eastAsia="arial" w:hAnsi="arial" w:cs="arial"/>
          <w:i/>
          <w:color w:val="000000"/>
          <w:sz w:val="20"/>
          <w:lang w:val="en-US" w:eastAsia="en-US" w:bidi="ar-SA"/>
        </w:rPr>
        <w:t>Adamson</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Hodgins</w:t>
      </w:r>
      <w:r>
        <w:rPr>
          <w:rFonts w:ascii="arial" w:eastAsia="arial" w:hAnsi="arial" w:cs="arial"/>
          <w:color w:val="000000"/>
          <w:sz w:val="20"/>
          <w:lang w:val="en-US" w:eastAsia="en-US" w:bidi="ar-SA"/>
        </w:rPr>
        <w:t xml:space="preserve"> cases are somewhat comparable to this case. I look to those authorities as a rough guide to the appropriate range of non-pecuniary damages awards.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I conclude that an award of $200,000 in non-pecuniary damages is appropriate in all of the circumstances. Ms. Gilbert's permanent loss of capacity to work and engage emotionally with others is a great loss given their central significance in her difficult life. In my view, Ms. Gilbert's consequent need for solace is also great. Nevertheless, she is entitled to compensation for only the change to her original position. The award should not extend to her pre-existing difficulties that would have persisted or deteriorated further regardless of her injuries. In other words, the award must be fair and reasonable to both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As noted, Ms. Gilbert was often anxious, depressed and self-defeating in her habits and lifestyle before the accident. Her most serious pre-existing problem was with substance abuse and its wide-spread impact upon her life. As also noted, however, Ms. Gilbert had the capacity to abstain from consuming substances had she chosen to do so. As discussed below, I am satisfied that she likely would have made that choice in time and her substance abuse problem would eventually have resolved.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The foregoing are all aspects of Ms. Gilbert's original position. The $200,000 awarded for non-pecuniary damages is intended to take them all into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Past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xml:space="preserve">  The plaintiff is entitled to compensation for loss of the value of work he or she would have performed but could not perform because of accident-related injuries. Depending on the circumstances, evidence of that value may take many forms. For example, in some cases actual earnings that the plaintiff would have received, but did not, may evidence the value of his or her lost earning capacity. In others, an assessment of reduced company profits or the replacement cost of unperformed tasks may be the best measure of the loss. The key point is that compensation for past loss of earning capacity is to be based on what the plaintiff would have, not could have, earned but for the injury that was sustained: </w:t>
      </w:r>
      <w:r>
        <w:rPr>
          <w:rFonts w:ascii="arial" w:eastAsia="arial" w:hAnsi="arial" w:cs="arial"/>
          <w:i/>
          <w:color w:val="000000"/>
          <w:sz w:val="20"/>
          <w:lang w:val="en-US" w:eastAsia="en-US" w:bidi="ar-SA"/>
        </w:rPr>
        <w:t>Rowe v. Bobell Express Ltd.</w:t>
      </w:r>
      <w:r>
        <w:rPr>
          <w:rFonts w:ascii="arial" w:eastAsia="arial" w:hAnsi="arial" w:cs="arial"/>
          <w:color w:val="000000"/>
          <w:sz w:val="20"/>
          <w:lang w:val="en-US" w:eastAsia="en-US" w:bidi="ar-SA"/>
        </w:rPr>
        <w:t xml:space="preserve">, </w:t>
      </w:r>
      <w:hyperlink r:id="rId29" w:history="1">
        <w:r>
          <w:rPr>
            <w:rFonts w:ascii="arial" w:eastAsia="arial" w:hAnsi="arial" w:cs="arial"/>
            <w:i/>
            <w:color w:val="0077CC"/>
            <w:sz w:val="20"/>
            <w:u w:val="single"/>
            <w:shd w:val="clear" w:color="auto" w:fill="FFFFFF"/>
            <w:lang w:val="en-US" w:eastAsia="en-US" w:bidi="ar-SA"/>
          </w:rPr>
          <w:t>2005 BCCA 141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M.B. v. British Columbia</w:t>
      </w:r>
      <w:r>
        <w:rPr>
          <w:rFonts w:ascii="arial" w:eastAsia="arial" w:hAnsi="arial" w:cs="arial"/>
          <w:color w:val="000000"/>
          <w:sz w:val="20"/>
          <w:lang w:val="en-US" w:eastAsia="en-US" w:bidi="ar-SA"/>
        </w:rPr>
        <w:t xml:space="preserve">, </w:t>
      </w:r>
      <w:hyperlink r:id="rId101" w:history="1">
        <w:r>
          <w:rPr>
            <w:rFonts w:ascii="arial" w:eastAsia="arial" w:hAnsi="arial" w:cs="arial"/>
            <w:i/>
            <w:color w:val="0077CC"/>
            <w:sz w:val="20"/>
            <w:u w:val="single"/>
            <w:shd w:val="clear" w:color="auto" w:fill="FFFFFF"/>
            <w:lang w:val="en-US" w:eastAsia="en-US" w:bidi="ar-SA"/>
          </w:rPr>
          <w:t>2003 SCC 53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xml:space="preserve">  The burden of proof of actual past events is a balance of probabilities. Where the plaintiff's claim for past loss of earning capacity depends on proof of past hypothetical events, however, a different standard will apply. Once liability and causation have been established on a balance of probabilities, past hypothetical events that were a real and substantial possibility must be considered and taken into account. Such events are to be given weight according to the relative likelihood that they would have occurred: </w:t>
      </w:r>
      <w:r>
        <w:rPr>
          <w:rFonts w:ascii="arial" w:eastAsia="arial" w:hAnsi="arial" w:cs="arial"/>
          <w:i/>
          <w:color w:val="000000"/>
          <w:sz w:val="20"/>
          <w:lang w:val="en-US" w:eastAsia="en-US" w:bidi="ar-SA"/>
        </w:rPr>
        <w:t>Smith v. Knudsen</w:t>
      </w:r>
      <w:r>
        <w:rPr>
          <w:rFonts w:ascii="arial" w:eastAsia="arial" w:hAnsi="arial" w:cs="arial"/>
          <w:color w:val="000000"/>
          <w:sz w:val="20"/>
          <w:lang w:val="en-US" w:eastAsia="en-US" w:bidi="ar-SA"/>
        </w:rPr>
        <w:t xml:space="preserve">, </w:t>
      </w:r>
      <w:hyperlink r:id="rId30" w:history="1">
        <w:r>
          <w:rPr>
            <w:rFonts w:ascii="arial" w:eastAsia="arial" w:hAnsi="arial" w:cs="arial"/>
            <w:i/>
            <w:color w:val="0077CC"/>
            <w:sz w:val="20"/>
            <w:u w:val="single"/>
            <w:shd w:val="clear" w:color="auto" w:fill="FFFFFF"/>
            <w:lang w:val="en-US" w:eastAsia="en-US" w:bidi="ar-SA"/>
          </w:rPr>
          <w:t>2004 BCCA 613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Danicek</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xml:space="preserve">  Pursuant to s. 98 of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 xml:space="preserve"> a plaintiff is entitled to recover damages for only his or her past net income loss. This means that in the ordinary course the court must deduct the amount of income tax payable from lost gross earnings: </w:t>
      </w:r>
      <w:r>
        <w:rPr>
          <w:rFonts w:ascii="arial" w:eastAsia="arial" w:hAnsi="arial" w:cs="arial"/>
          <w:i/>
          <w:color w:val="000000"/>
          <w:sz w:val="20"/>
          <w:lang w:val="en-US" w:eastAsia="en-US" w:bidi="ar-SA"/>
        </w:rPr>
        <w:t>Hudniuk v. Warkentin</w:t>
      </w:r>
      <w:r>
        <w:rPr>
          <w:rFonts w:ascii="arial" w:eastAsia="arial" w:hAnsi="arial" w:cs="arial"/>
          <w:color w:val="000000"/>
          <w:sz w:val="20"/>
          <w:lang w:val="en-US" w:eastAsia="en-US" w:bidi="ar-SA"/>
        </w:rPr>
        <w:t xml:space="preserve"> </w:t>
      </w:r>
      <w:hyperlink r:id="rId103" w:history="1">
        <w:r>
          <w:rPr>
            <w:rFonts w:ascii="arial" w:eastAsia="arial" w:hAnsi="arial" w:cs="arial"/>
            <w:i/>
            <w:color w:val="0077CC"/>
            <w:sz w:val="20"/>
            <w:u w:val="single"/>
            <w:shd w:val="clear" w:color="auto" w:fill="FFFFFF"/>
            <w:lang w:val="en-US" w:eastAsia="en-US" w:bidi="ar-SA"/>
          </w:rPr>
          <w:t>(2003), 9 B.C.L.R. (4th) 324</w:t>
        </w:r>
      </w:hyperlink>
      <w:r>
        <w:rPr>
          <w:rFonts w:ascii="arial" w:eastAsia="arial" w:hAnsi="arial" w:cs="arial"/>
          <w:color w:val="000000"/>
          <w:sz w:val="20"/>
          <w:lang w:val="en-US" w:eastAsia="en-US" w:bidi="ar-SA"/>
        </w:rPr>
        <w:t xml:space="preserve">. In a case involving a status Indian who earned income on a reserve, however, no income tax on earnings would have been payable. That being so, in such cases a deduction for income tax is not appropriate: </w:t>
      </w:r>
      <w:r>
        <w:rPr>
          <w:rFonts w:ascii="arial" w:eastAsia="arial" w:hAnsi="arial" w:cs="arial"/>
          <w:i/>
          <w:color w:val="000000"/>
          <w:sz w:val="20"/>
          <w:lang w:val="en-US" w:eastAsia="en-US" w:bidi="ar-SA"/>
        </w:rPr>
        <w:t>Moses v. Kim</w:t>
      </w:r>
      <w:r>
        <w:rPr>
          <w:rFonts w:ascii="arial" w:eastAsia="arial" w:hAnsi="arial" w:cs="arial"/>
          <w:color w:val="000000"/>
          <w:sz w:val="20"/>
          <w:lang w:val="en-US" w:eastAsia="en-US" w:bidi="ar-SA"/>
        </w:rPr>
        <w:t xml:space="preserve">, </w:t>
      </w:r>
      <w:hyperlink r:id="rId979" w:history="1">
        <w:r>
          <w:rPr>
            <w:rFonts w:ascii="arial" w:eastAsia="arial" w:hAnsi="arial" w:cs="arial"/>
            <w:i/>
            <w:color w:val="0077CC"/>
            <w:sz w:val="20"/>
            <w:u w:val="single"/>
            <w:shd w:val="clear" w:color="auto" w:fill="FFFFFF"/>
            <w:lang w:val="en-US" w:eastAsia="en-US" w:bidi="ar-SA"/>
          </w:rPr>
          <w:t>2007 BCSC 1388</w:t>
        </w:r>
      </w:hyperlink>
      <w:r>
        <w:rPr>
          <w:rFonts w:ascii="arial" w:eastAsia="arial" w:hAnsi="arial" w:cs="arial"/>
          <w:color w:val="000000"/>
          <w:sz w:val="20"/>
          <w:lang w:val="en-US" w:eastAsia="en-US" w:bidi="ar-SA"/>
        </w:rPr>
        <w:t xml:space="preserve">. Social assistance benefits received are deductible from a past income loss award: </w:t>
      </w:r>
      <w:r>
        <w:rPr>
          <w:rFonts w:ascii="arial" w:eastAsia="arial" w:hAnsi="arial" w:cs="arial"/>
          <w:i/>
          <w:color w:val="000000"/>
          <w:sz w:val="20"/>
          <w:lang w:val="en-US" w:eastAsia="en-US" w:bidi="ar-SA"/>
        </w:rPr>
        <w:t>M.B.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Counsel for Ms. Gilbert seeks an award of $65,000 for her past loss of earning capacity. In his submission, but for the accident Ms. Gilbert would have continued working with New Directions and eventually gone on to run a comparable program of her own. In addition, there is a real and substantial possibility that she would have earned supplementary income through work in the food or some other industry. As a rough measure, he submits that a past loss of $1,000 per month from the date of the accident to the first date of trial is appropriate. He also submits that most, if not all, of that income would have been earned on reserve and, therefore, there should be no deduction for income tax.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Defence counsel responds that, at most, the evidence establishes Ms. Gilbert lost the value of three missed New Directions workshops in 2005. In 2006, however, she was enrolled in the Culinary Arts Program and would not have earned New Directions income during that time. Thereafter, she participated in three further New Directions workshops. Since then, he says the evidence does not indicate there were many more New Directions workshops in which Ms. Gilbert could have participated, but did not. It does indicate, however, that she received an unspecified amount of periodic social assistance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I conclude that, but for the accident, Ms. Gilbert would likely have continued her pre-accident earning pattern throughout the pre-trial period. This does not mean, however, that her pre-accident earning pattern was necessarily permanent. On the contrary, I am satisfied that Ms. Gilbert probably would have overcome her substance abuse problem and her income earning capacity would have improved significantly. Taking into account her circumstances, however, I find that such a change was not a real and substantial possibility until Ms. Gilbert reached her mid to late 30s, particularly given the emotional traumas she experienced in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I do not accept the defence contention that there was limited work with New Directions available to Ms. Gilbert during the pre-trial period regardless of her condition. Although records were limited and testimony on the point vague, it was abundantly clear that the program is in high demand and I am satisfied many workshops probably were, or could have been, conducted between 2005 and 2010. While it is true that Margaret Gilbert is aging and has begun to withdraw from New Directions, the program can also be delivered by other qualified trainers. Ms. Gilbert was held in high regard by all concerned and, but for the accident, could have worked well with any of them in delivering New Directions or a comparable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I accept that Ms. Gilbert probably would have enrolled in the Culinary Arts program in 2006 regardless of the accident's occurrence. She has long enjoyed cooking and sometimes supplemented her New Directions work with other short-term forms of employment. That being so, there is a real and substantial possibility that she would have added modestly to her New Directions earnings with additional employment earnings, some of which would probably not have been taxable. I do not accept, however, that there is a realistic possibility she would have sought and maintained regular remunerative work in the food industry, or elsewhere, during the pre-trial period. This is so because her substance abuse and related borderline lifestyle would likely have continued as before.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Taking into account all of the foregoing, I assess Ms. Gilbert's past loss of earning capacity at $36,000. This figure is based on the view that, but for the accident, Ms. Gilbert would have probably have earned something in the range of $5,000 in 2005, $3,000 in 2006, $6,000 in 2007, 2008, and 2009, and $5,000 in 2010 from New Directions and approximately $5,000 in additional, non-taxable earnings.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xml:space="preserve">  A claim for loss of future earning capacity requires the court to gaze into a crystal ball with respect to the future, a notoriously difficult undertaking. It raises two key questions: 1) has the plaintiff's earning capacity been impaired by his or her injuries? and, if so 2) what compensation should be awarded for the resulting financial harm that will accrue over time? The loss is to be quantified by assessment based on the evidence, not application of a purely mathematical calculation. The appropriate means of assessment will vary from case to case: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41"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Pallos v. Insurance Corp. of British Columbia</w:t>
      </w:r>
      <w:r>
        <w:rPr>
          <w:rFonts w:ascii="arial" w:eastAsia="arial" w:hAnsi="arial" w:cs="arial"/>
          <w:color w:val="000000"/>
          <w:sz w:val="20"/>
          <w:lang w:val="en-US" w:eastAsia="en-US" w:bidi="ar-SA"/>
        </w:rPr>
        <w:t xml:space="preserve"> </w:t>
      </w:r>
      <w:hyperlink r:id="rId110" w:history="1">
        <w:r>
          <w:rPr>
            <w:rFonts w:ascii="arial" w:eastAsia="arial" w:hAnsi="arial" w:cs="arial"/>
            <w:i/>
            <w:color w:val="0077CC"/>
            <w:sz w:val="20"/>
            <w:u w:val="single"/>
            <w:shd w:val="clear" w:color="auto" w:fill="FFFFFF"/>
            <w:lang w:val="en-US" w:eastAsia="en-US" w:bidi="ar-SA"/>
          </w:rPr>
          <w:t>(1995), 100 B.C.L.R. (2d) 260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Pett v. Pett</w:t>
      </w:r>
      <w:r>
        <w:rPr>
          <w:rFonts w:ascii="arial" w:eastAsia="arial" w:hAnsi="arial" w:cs="arial"/>
          <w:color w:val="000000"/>
          <w:sz w:val="20"/>
          <w:lang w:val="en-US" w:eastAsia="en-US" w:bidi="ar-SA"/>
        </w:rPr>
        <w:t xml:space="preserve">, </w:t>
      </w:r>
      <w:hyperlink r:id="rId111" w:history="1">
        <w:r>
          <w:rPr>
            <w:rFonts w:ascii="arial" w:eastAsia="arial" w:hAnsi="arial" w:cs="arial"/>
            <w:i/>
            <w:color w:val="0077CC"/>
            <w:sz w:val="20"/>
            <w:u w:val="single"/>
            <w:shd w:val="clear" w:color="auto" w:fill="FFFFFF"/>
            <w:lang w:val="en-US" w:eastAsia="en-US" w:bidi="ar-SA"/>
          </w:rPr>
          <w:t>2009 BCCA 232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34"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Garson J.A. identified the two approaches to assessment of loss of future earning capacity commonly adopted by courts in British Columbia. One is the "earnings approach" described in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the other is the "capital asset approach" described in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The earnings approach involves a form of math-oriented methodology such as i) postulating a minimum annual income loss for the plaintiff's remaining years of work, multiplying the annual projected loss by the number of remaining years and calculating a present value or ii) awarding the plaintiff's entire annual income for a year or two. The capital asset approach involves considering factors such as i) whether the plaintiff has been rendered less capable overall of earning income from all types of employment; ii) is less marketable or attractive as a potential employee; iii) has lost the ability to take advantage of all job opportunities that might otherwise have been open; and iv) is less valuable to herself as a person capable of earning income in a competitive labour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xml:space="preserve">  Garson J.A. stated in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xml:space="preserve"> that both approaches are correct and will be more or less appropriate depending on whether the loss in question can be quantified in a measurable way. She went on to consider several related case authorities and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30 Having reviewed all of these cases, I conclude that none of them are inconsistent with the basic principles articulated in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3"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Andrews v. Grand &amp; Toy Alberta Ltd.</w:t>
      </w:r>
      <w:r>
        <w:rPr>
          <w:rFonts w:ascii="arial" w:eastAsia="arial" w:hAnsi="arial" w:cs="arial"/>
          <w:color w:val="000000"/>
          <w:sz w:val="20"/>
          <w:lang w:val="en-US" w:eastAsia="en-US" w:bidi="ar-SA"/>
        </w:rPr>
        <w:t xml:space="preserve">, </w:t>
      </w:r>
      <w:hyperlink r:id="rId181"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These principles are:</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future or hypothetical possibility will be taken into consideration as long as it is a real and substantial possibility and not mere speculation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27], and</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not loss of earnings but, rather, loss of earning capacity for which compensation must be made [</w:t>
      </w:r>
      <w:r>
        <w:rPr>
          <w:rFonts w:ascii="arial" w:eastAsia="arial" w:hAnsi="arial" w:cs="arial"/>
          <w:i/>
          <w:color w:val="000000"/>
          <w:sz w:val="20"/>
          <w:lang w:val="en-US" w:eastAsia="en-US" w:bidi="ar-SA"/>
        </w:rPr>
        <w:t>Andrews</w:t>
      </w:r>
      <w:r>
        <w:rPr>
          <w:rFonts w:ascii="arial" w:eastAsia="arial" w:hAnsi="arial" w:cs="arial"/>
          <w:color w:val="000000"/>
          <w:sz w:val="20"/>
          <w:lang w:val="en-US" w:eastAsia="en-US" w:bidi="ar-SA"/>
        </w:rPr>
        <w:t xml:space="preserve"> at 251].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31 Furthermore, I conclude that there is no conflict between </w:t>
      </w:r>
      <w:r>
        <w:rPr>
          <w:rFonts w:ascii="arial" w:eastAsia="arial" w:hAnsi="arial" w:cs="arial"/>
          <w:i/>
          <w:color w:val="000000"/>
          <w:sz w:val="20"/>
          <w:lang w:val="en-US" w:eastAsia="en-US" w:bidi="ar-SA"/>
        </w:rPr>
        <w:t>Steward</w:t>
      </w:r>
      <w:r>
        <w:rPr>
          <w:rFonts w:ascii="arial" w:eastAsia="arial" w:hAnsi="arial" w:cs="arial"/>
          <w:color w:val="000000"/>
          <w:sz w:val="20"/>
          <w:lang w:val="en-US" w:eastAsia="en-US" w:bidi="ar-SA"/>
        </w:rPr>
        <w:t xml:space="preserve">, </w:t>
      </w:r>
      <w:hyperlink r:id="rId138" w:history="1">
        <w:r>
          <w:rPr>
            <w:rFonts w:ascii="arial" w:eastAsia="arial" w:hAnsi="arial" w:cs="arial"/>
            <w:i/>
            <w:color w:val="0077CC"/>
            <w:sz w:val="20"/>
            <w:u w:val="single"/>
            <w:shd w:val="clear" w:color="auto" w:fill="FFFFFF"/>
            <w:lang w:val="en-US" w:eastAsia="en-US" w:bidi="ar-SA"/>
          </w:rPr>
          <w:t>[2007] B.C.J. No. 499</w:t>
        </w:r>
      </w:hyperlink>
      <w:r>
        <w:rPr>
          <w:rFonts w:ascii="arial" w:eastAsia="arial" w:hAnsi="arial" w:cs="arial"/>
          <w:color w:val="000000"/>
          <w:sz w:val="20"/>
          <w:lang w:val="en-US" w:eastAsia="en-US" w:bidi="ar-SA"/>
        </w:rPr>
        <w:t xml:space="preserve">, and the earlier judgment in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As mentioned earlier,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is not authority for the proposition that mere speculation of future loss of earning capacity is sufficient to justify an award for damages for loss of future earning capacity.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32 A plaintiff must </w:t>
      </w:r>
      <w:r>
        <w:rPr>
          <w:rFonts w:ascii="arial" w:eastAsia="arial" w:hAnsi="arial" w:cs="arial"/>
          <w:color w:val="000000"/>
          <w:sz w:val="20"/>
          <w:u w:val="single"/>
          <w:lang w:val="en-US" w:eastAsia="en-US" w:bidi="ar-SA"/>
        </w:rPr>
        <w:t>always</w:t>
      </w:r>
      <w:r>
        <w:rPr>
          <w:rFonts w:ascii="arial" w:eastAsia="arial" w:hAnsi="arial" w:cs="arial"/>
          <w:color w:val="000000"/>
          <w:sz w:val="20"/>
          <w:lang w:val="en-US" w:eastAsia="en-US" w:bidi="ar-SA"/>
        </w:rPr>
        <w:t xml:space="preserve"> prove, as was noted by Donald J.A. in </w:t>
      </w:r>
      <w:r>
        <w:rPr>
          <w:rFonts w:ascii="arial" w:eastAsia="arial" w:hAnsi="arial" w:cs="arial"/>
          <w:i/>
          <w:color w:val="000000"/>
          <w:sz w:val="20"/>
          <w:lang w:val="en-US" w:eastAsia="en-US" w:bidi="ar-SA"/>
        </w:rPr>
        <w:t>Steward</w:t>
      </w:r>
      <w:r>
        <w:rPr>
          <w:rFonts w:ascii="arial" w:eastAsia="arial" w:hAnsi="arial" w:cs="arial"/>
          <w:color w:val="000000"/>
          <w:sz w:val="20"/>
          <w:lang w:val="en-US" w:eastAsia="en-US" w:bidi="ar-SA"/>
        </w:rPr>
        <w:t xml:space="preserve">, by Bauman J. in </w:t>
      </w:r>
      <w:r>
        <w:rPr>
          <w:rFonts w:ascii="arial" w:eastAsia="arial" w:hAnsi="arial" w:cs="arial"/>
          <w:i/>
          <w:color w:val="000000"/>
          <w:sz w:val="20"/>
          <w:lang w:val="en-US" w:eastAsia="en-US" w:bidi="ar-SA"/>
        </w:rPr>
        <w:t>Chang</w:t>
      </w:r>
      <w:r>
        <w:rPr>
          <w:rFonts w:ascii="arial" w:eastAsia="arial" w:hAnsi="arial" w:cs="arial"/>
          <w:color w:val="000000"/>
          <w:sz w:val="20"/>
          <w:lang w:val="en-US" w:eastAsia="en-US" w:bidi="ar-SA"/>
        </w:rPr>
        <w:t xml:space="preserve">, </w:t>
      </w:r>
      <w:hyperlink r:id="rId139" w:history="1">
        <w:r>
          <w:rPr>
            <w:rFonts w:ascii="arial" w:eastAsia="arial" w:hAnsi="arial" w:cs="arial"/>
            <w:i/>
            <w:color w:val="0077CC"/>
            <w:sz w:val="20"/>
            <w:u w:val="single"/>
            <w:shd w:val="clear" w:color="auto" w:fill="FFFFFF"/>
            <w:lang w:val="en-US" w:eastAsia="en-US" w:bidi="ar-SA"/>
          </w:rPr>
          <w:t>[2008] B.C.J. No. 48</w:t>
        </w:r>
      </w:hyperlink>
      <w:r>
        <w:rPr>
          <w:rFonts w:ascii="arial" w:eastAsia="arial" w:hAnsi="arial" w:cs="arial"/>
          <w:color w:val="000000"/>
          <w:sz w:val="20"/>
          <w:lang w:val="en-US" w:eastAsia="en-US" w:bidi="ar-SA"/>
        </w:rPr>
        <w:t xml:space="preserve">, and by Tysoe J.A. in </w:t>
      </w:r>
      <w:r>
        <w:rPr>
          <w:rFonts w:ascii="arial" w:eastAsia="arial" w:hAnsi="arial" w:cs="arial"/>
          <w:i/>
          <w:color w:val="000000"/>
          <w:sz w:val="20"/>
          <w:lang w:val="en-US" w:eastAsia="en-US" w:bidi="ar-SA"/>
        </w:rPr>
        <w:t>Romanchych</w:t>
      </w:r>
      <w:r>
        <w:rPr>
          <w:rFonts w:ascii="arial" w:eastAsia="arial" w:hAnsi="arial" w:cs="arial"/>
          <w:color w:val="000000"/>
          <w:sz w:val="20"/>
          <w:lang w:val="en-US" w:eastAsia="en-US" w:bidi="ar-SA"/>
        </w:rPr>
        <w:t xml:space="preserve">, </w:t>
      </w:r>
      <w:hyperlink r:id="rId140" w:history="1">
        <w:r>
          <w:rPr>
            <w:rFonts w:ascii="arial" w:eastAsia="arial" w:hAnsi="arial" w:cs="arial"/>
            <w:i/>
            <w:color w:val="0077CC"/>
            <w:sz w:val="20"/>
            <w:u w:val="single"/>
            <w:shd w:val="clear" w:color="auto" w:fill="FFFFFF"/>
            <w:lang w:val="en-US" w:eastAsia="en-US" w:bidi="ar-SA"/>
          </w:rPr>
          <w:t>[2010] B.C.J. No. 168</w:t>
        </w:r>
      </w:hyperlink>
      <w:r>
        <w:rPr>
          <w:rFonts w:ascii="arial" w:eastAsia="arial" w:hAnsi="arial" w:cs="arial"/>
          <w:color w:val="000000"/>
          <w:sz w:val="20"/>
          <w:lang w:val="en-US" w:eastAsia="en-US" w:bidi="ar-SA"/>
        </w:rPr>
        <w:t xml:space="preserve">, that there is a real and substantial possibility of a future event leading to an income loss. If the plaintiff discharges that burden of proof, then depending upon the facts of the case, the plaintiff may prove the quantification of that loss of earning capacity, either on an earnings approach, as in </w:t>
      </w:r>
      <w:r>
        <w:rPr>
          <w:rFonts w:ascii="arial" w:eastAsia="arial" w:hAnsi="arial" w:cs="arial"/>
          <w:i/>
          <w:color w:val="000000"/>
          <w:sz w:val="20"/>
          <w:lang w:val="en-US" w:eastAsia="en-US" w:bidi="ar-SA"/>
        </w:rPr>
        <w:t>Steenblok</w:t>
      </w:r>
      <w:r>
        <w:rPr>
          <w:rFonts w:ascii="arial" w:eastAsia="arial" w:hAnsi="arial" w:cs="arial"/>
          <w:color w:val="000000"/>
          <w:sz w:val="20"/>
          <w:lang w:val="en-US" w:eastAsia="en-US" w:bidi="ar-SA"/>
        </w:rPr>
        <w:t xml:space="preserve">, or a capital asset approach, as in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The former approach will be more useful when the loss is more easily measurable, as it was in </w:t>
      </w:r>
      <w:r>
        <w:rPr>
          <w:rFonts w:ascii="arial" w:eastAsia="arial" w:hAnsi="arial" w:cs="arial"/>
          <w:i/>
          <w:color w:val="000000"/>
          <w:sz w:val="20"/>
          <w:lang w:val="en-US" w:eastAsia="en-US" w:bidi="ar-SA"/>
        </w:rPr>
        <w:t>Steenblok</w:t>
      </w:r>
      <w:r>
        <w:rPr>
          <w:rFonts w:ascii="arial" w:eastAsia="arial" w:hAnsi="arial" w:cs="arial"/>
          <w:color w:val="000000"/>
          <w:sz w:val="20"/>
          <w:lang w:val="en-US" w:eastAsia="en-US" w:bidi="ar-SA"/>
        </w:rPr>
        <w:t xml:space="preserve">. The latter approach will be more useful when the loss is not as easily measurable, as in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Romanchych</w:t>
      </w:r>
      <w:r>
        <w:rPr>
          <w:rFonts w:ascii="arial" w:eastAsia="arial" w:hAnsi="arial" w:cs="arial"/>
          <w:color w:val="000000"/>
          <w:sz w:val="20"/>
          <w:lang w:val="en-US" w:eastAsia="en-US" w:bidi="ar-SA"/>
        </w:rPr>
        <w:t xml:space="preserve">. A plaintiff may indeed be able to prove that there is a substantial possibility of a future loss of income despite having returned to his or her usual employment. That was the case in both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Parypa</w:t>
      </w:r>
      <w:r>
        <w:rPr>
          <w:rFonts w:ascii="arial" w:eastAsia="arial" w:hAnsi="arial" w:cs="arial"/>
          <w:color w:val="000000"/>
          <w:sz w:val="20"/>
          <w:lang w:val="en-US" w:eastAsia="en-US" w:bidi="ar-SA"/>
        </w:rPr>
        <w:t xml:space="preserve">. But, as Donald J.A. said in </w:t>
      </w:r>
      <w:r>
        <w:rPr>
          <w:rFonts w:ascii="arial" w:eastAsia="arial" w:hAnsi="arial" w:cs="arial"/>
          <w:i/>
          <w:color w:val="000000"/>
          <w:sz w:val="20"/>
          <w:lang w:val="en-US" w:eastAsia="en-US" w:bidi="ar-SA"/>
        </w:rPr>
        <w:t>Steward</w:t>
      </w:r>
      <w:r>
        <w:rPr>
          <w:rFonts w:ascii="arial" w:eastAsia="arial" w:hAnsi="arial" w:cs="arial"/>
          <w:color w:val="000000"/>
          <w:sz w:val="20"/>
          <w:lang w:val="en-US" w:eastAsia="en-US" w:bidi="ar-SA"/>
        </w:rPr>
        <w:t>, an inability to perform an occupation that is not a realistic alternative occupation is not proof of a future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Reilly v. Lynn</w:t>
      </w:r>
      <w:r>
        <w:rPr>
          <w:rFonts w:ascii="arial" w:eastAsia="arial" w:hAnsi="arial" w:cs="arial"/>
          <w:color w:val="000000"/>
          <w:sz w:val="20"/>
          <w:lang w:val="en-US" w:eastAsia="en-US" w:bidi="ar-SA"/>
        </w:rPr>
        <w:t xml:space="preserve">, </w:t>
      </w:r>
      <w:hyperlink r:id="rId305" w:history="1">
        <w:r>
          <w:rPr>
            <w:rFonts w:ascii="arial" w:eastAsia="arial" w:hAnsi="arial" w:cs="arial"/>
            <w:i/>
            <w:color w:val="0077CC"/>
            <w:sz w:val="20"/>
            <w:u w:val="single"/>
            <w:shd w:val="clear" w:color="auto" w:fill="FFFFFF"/>
            <w:lang w:val="en-US" w:eastAsia="en-US" w:bidi="ar-SA"/>
          </w:rPr>
          <w:t>2003 BCCA 49</w:t>
        </w:r>
      </w:hyperlink>
      <w:r>
        <w:rPr>
          <w:rFonts w:ascii="arial" w:eastAsia="arial" w:hAnsi="arial" w:cs="arial"/>
          <w:color w:val="000000"/>
          <w:sz w:val="20"/>
          <w:lang w:val="en-US" w:eastAsia="en-US" w:bidi="ar-SA"/>
        </w:rPr>
        <w:t>, the principles that apply to assessing loss of future earning capacity were comprehensively summarized. Low J.A. stated as follows in this regard: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[101] The relevant principles may be briefly summarized. The standard of proof in relation to future events is simple probability, not the balance of probabilities, and hypothetical events are to be given weight according to their relative likelihood: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3"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 27. A plaintiff is entitled to compensation for real and substantial possibilities of loss, which are to be quantified by estimating the chance of the loss occurring: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supra, at para. 27, </w:t>
      </w:r>
      <w:r>
        <w:rPr>
          <w:rFonts w:ascii="arial" w:eastAsia="arial" w:hAnsi="arial" w:cs="arial"/>
          <w:i/>
          <w:color w:val="000000"/>
          <w:sz w:val="20"/>
          <w:lang w:val="en-US" w:eastAsia="en-US" w:bidi="ar-SA"/>
        </w:rPr>
        <w:t>Steenblok v. Funk</w:t>
      </w:r>
      <w:r>
        <w:rPr>
          <w:rFonts w:ascii="arial" w:eastAsia="arial" w:hAnsi="arial" w:cs="arial"/>
          <w:color w:val="000000"/>
          <w:sz w:val="20"/>
          <w:lang w:val="en-US" w:eastAsia="en-US" w:bidi="ar-SA"/>
        </w:rPr>
        <w:t xml:space="preserve"> </w:t>
      </w:r>
      <w:hyperlink r:id="rId107" w:history="1">
        <w:r>
          <w:rPr>
            <w:rFonts w:ascii="arial" w:eastAsia="arial" w:hAnsi="arial" w:cs="arial"/>
            <w:i/>
            <w:color w:val="0077CC"/>
            <w:sz w:val="20"/>
            <w:u w:val="single"/>
            <w:shd w:val="clear" w:color="auto" w:fill="FFFFFF"/>
            <w:lang w:val="en-US" w:eastAsia="en-US" w:bidi="ar-SA"/>
          </w:rPr>
          <w:t>(1990), 46 B.C.L.R. (2d) 133</w:t>
        </w:r>
      </w:hyperlink>
      <w:r>
        <w:rPr>
          <w:rFonts w:ascii="arial" w:eastAsia="arial" w:hAnsi="arial" w:cs="arial"/>
          <w:color w:val="000000"/>
          <w:sz w:val="20"/>
          <w:lang w:val="en-US" w:eastAsia="en-US" w:bidi="ar-SA"/>
        </w:rPr>
        <w:t xml:space="preserve"> at 135 (C.A.). The valuation of the loss of earning capacity may involve a comparison of what the plaintiff would probably have earned but for the accident with what he will probably earn in his injured condition: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108"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at 93 (S.C.). However, that is not the end of the inquiry; the overall fairness and reasonableness of the award must be considered: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40" w:history="1">
        <w:r>
          <w:rPr>
            <w:rFonts w:ascii="arial" w:eastAsia="arial" w:hAnsi="arial" w:cs="arial"/>
            <w:i/>
            <w:color w:val="0077CC"/>
            <w:sz w:val="20"/>
            <w:u w:val="single"/>
            <w:shd w:val="clear" w:color="auto" w:fill="FFFFFF"/>
            <w:lang w:val="en-US" w:eastAsia="en-US" w:bidi="ar-SA"/>
          </w:rPr>
          <w:t>(2001), 84 B.C.L.R. (3d) 158</w:t>
        </w:r>
      </w:hyperlink>
      <w:r>
        <w:rPr>
          <w:rFonts w:ascii="arial" w:eastAsia="arial" w:hAnsi="arial" w:cs="arial"/>
          <w:color w:val="000000"/>
          <w:sz w:val="20"/>
          <w:lang w:val="en-US" w:eastAsia="en-US" w:bidi="ar-SA"/>
        </w:rPr>
        <w:t xml:space="preserve">, </w:t>
      </w:r>
      <w:hyperlink r:id="rId40"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at para. 11; </w:t>
      </w:r>
      <w:r>
        <w:rPr>
          <w:rFonts w:ascii="arial" w:eastAsia="arial" w:hAnsi="arial" w:cs="arial"/>
          <w:i/>
          <w:color w:val="000000"/>
          <w:sz w:val="20"/>
          <w:lang w:val="en-US" w:eastAsia="en-US" w:bidi="ar-SA"/>
        </w:rPr>
        <w:t>Ryder v. Paquette</w:t>
      </w:r>
      <w:r>
        <w:rPr>
          <w:rFonts w:ascii="arial" w:eastAsia="arial" w:hAnsi="arial" w:cs="arial"/>
          <w:color w:val="000000"/>
          <w:sz w:val="20"/>
          <w:lang w:val="en-US" w:eastAsia="en-US" w:bidi="ar-SA"/>
        </w:rPr>
        <w:t xml:space="preserve">, </w:t>
      </w:r>
      <w:hyperlink r:id="rId106" w:history="1">
        <w:r>
          <w:rPr>
            <w:rFonts w:ascii="arial" w:eastAsia="arial" w:hAnsi="arial" w:cs="arial"/>
            <w:i/>
            <w:color w:val="0077CC"/>
            <w:sz w:val="20"/>
            <w:u w:val="single"/>
            <w:shd w:val="clear" w:color="auto" w:fill="FFFFFF"/>
            <w:lang w:val="en-US" w:eastAsia="en-US" w:bidi="ar-SA"/>
          </w:rPr>
          <w:t>[1995] B.C.J. No. 644</w:t>
        </w:r>
      </w:hyperlink>
      <w:r>
        <w:rPr>
          <w:rFonts w:ascii="arial" w:eastAsia="arial" w:hAnsi="arial" w:cs="arial"/>
          <w:color w:val="000000"/>
          <w:sz w:val="20"/>
          <w:lang w:val="en-US" w:eastAsia="en-US" w:bidi="ar-SA"/>
        </w:rPr>
        <w:t xml:space="preserve"> (C.A.). Moreover, the task of the Court is to assess the losses, not to calculate them mathematically: </w:t>
      </w:r>
      <w:r>
        <w:rPr>
          <w:rFonts w:ascii="arial" w:eastAsia="arial" w:hAnsi="arial" w:cs="arial"/>
          <w:i/>
          <w:color w:val="000000"/>
          <w:sz w:val="20"/>
          <w:lang w:val="en-US" w:eastAsia="en-US" w:bidi="ar-SA"/>
        </w:rPr>
        <w:t>Mulholland (Guardian ad litem of) v. Riley Estate</w:t>
      </w:r>
      <w:r>
        <w:rPr>
          <w:rFonts w:ascii="arial" w:eastAsia="arial" w:hAnsi="arial" w:cs="arial"/>
          <w:color w:val="000000"/>
          <w:sz w:val="20"/>
          <w:lang w:val="en-US" w:eastAsia="en-US" w:bidi="ar-SA"/>
        </w:rPr>
        <w:t xml:space="preserve"> </w:t>
      </w:r>
      <w:hyperlink r:id="rId179" w:history="1">
        <w:r>
          <w:rPr>
            <w:rFonts w:ascii="arial" w:eastAsia="arial" w:hAnsi="arial" w:cs="arial"/>
            <w:i/>
            <w:color w:val="0077CC"/>
            <w:sz w:val="20"/>
            <w:u w:val="single"/>
            <w:shd w:val="clear" w:color="auto" w:fill="FFFFFF"/>
            <w:lang w:val="en-US" w:eastAsia="en-US" w:bidi="ar-SA"/>
          </w:rPr>
          <w:t>(1995), 12 B.C.L.R. (3d) 248</w:t>
        </w:r>
      </w:hyperlink>
      <w:r>
        <w:rPr>
          <w:rFonts w:ascii="arial" w:eastAsia="arial" w:hAnsi="arial" w:cs="arial"/>
          <w:color w:val="000000"/>
          <w:sz w:val="20"/>
          <w:lang w:val="en-US" w:eastAsia="en-US" w:bidi="ar-SA"/>
        </w:rPr>
        <w:t xml:space="preserve"> (C.A.). Finally, since the course of future events is unknown, allowance must be made for the contingency that the assumptions upon which the award is based may prove to be wrong: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supra at 79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xml:space="preserve">  Relevant contingencies for consideration may be general or specific in nature. Such contingencies include, for example, the potential for improvement in health, opportunities for advancement, loss of employment and the usual chances and hazards of life. The contingency allowance will typically be modest. It should be based upon the evidence and a healthy dose of common sense: </w:t>
      </w:r>
      <w:r>
        <w:rPr>
          <w:rFonts w:ascii="arial" w:eastAsia="arial" w:hAnsi="arial" w:cs="arial"/>
          <w:i/>
          <w:color w:val="000000"/>
          <w:sz w:val="20"/>
          <w:lang w:val="en-US" w:eastAsia="en-US" w:bidi="ar-SA"/>
        </w:rPr>
        <w:t>Trites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Danicek</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xml:space="preserve">  The plaintiff's pre-accident earning pattern may be a significant factor for consideration in assessing loss of future earning capacity. While not determinative, that pattern will often assist in illuminating the likelihood of hypothetical future events: </w:t>
      </w:r>
      <w:r>
        <w:rPr>
          <w:rFonts w:ascii="arial" w:eastAsia="arial" w:hAnsi="arial" w:cs="arial"/>
          <w:i/>
          <w:color w:val="000000"/>
          <w:sz w:val="20"/>
          <w:lang w:val="en-US" w:eastAsia="en-US" w:bidi="ar-SA"/>
        </w:rPr>
        <w:t>Parypa v. Wickware</w:t>
      </w:r>
      <w:r>
        <w:rPr>
          <w:rFonts w:ascii="arial" w:eastAsia="arial" w:hAnsi="arial" w:cs="arial"/>
          <w:color w:val="000000"/>
          <w:sz w:val="20"/>
          <w:lang w:val="en-US" w:eastAsia="en-US" w:bidi="ar-SA"/>
        </w:rPr>
        <w:t xml:space="preserve">, </w:t>
      </w:r>
      <w:hyperlink r:id="rId183" w:history="1">
        <w:r>
          <w:rPr>
            <w:rFonts w:ascii="arial" w:eastAsia="arial" w:hAnsi="arial" w:cs="arial"/>
            <w:i/>
            <w:color w:val="0077CC"/>
            <w:sz w:val="20"/>
            <w:u w:val="single"/>
            <w:shd w:val="clear" w:color="auto" w:fill="FFFFFF"/>
            <w:lang w:val="en-US" w:eastAsia="en-US" w:bidi="ar-SA"/>
          </w:rPr>
          <w:t>1999 BCCA 88</w:t>
        </w:r>
      </w:hyperlink>
      <w:r>
        <w:rPr>
          <w:rFonts w:ascii="arial" w:eastAsia="arial" w:hAnsi="arial" w:cs="arial"/>
          <w:color w:val="000000"/>
          <w:sz w:val="20"/>
          <w:lang w:val="en-US" w:eastAsia="en-US" w:bidi="ar-SA"/>
        </w:rPr>
        <w:t xml:space="preserve">. As is the case with past loss of earning capacity, social assistance benefits must also be taken into account: </w:t>
      </w:r>
      <w:r>
        <w:rPr>
          <w:rFonts w:ascii="arial" w:eastAsia="arial" w:hAnsi="arial" w:cs="arial"/>
          <w:i/>
          <w:color w:val="000000"/>
          <w:sz w:val="20"/>
          <w:lang w:val="en-US" w:eastAsia="en-US" w:bidi="ar-SA"/>
        </w:rPr>
        <w:t>Krangle (Guardian ad litem of) v. Brisco</w:t>
      </w:r>
      <w:r>
        <w:rPr>
          <w:rFonts w:ascii="arial" w:eastAsia="arial" w:hAnsi="arial" w:cs="arial"/>
          <w:color w:val="000000"/>
          <w:sz w:val="20"/>
          <w:lang w:val="en-US" w:eastAsia="en-US" w:bidi="ar-SA"/>
        </w:rPr>
        <w:t xml:space="preserve">, </w:t>
      </w:r>
      <w:hyperlink r:id="rId44" w:history="1">
        <w:r>
          <w:rPr>
            <w:rFonts w:ascii="arial" w:eastAsia="arial" w:hAnsi="arial" w:cs="arial"/>
            <w:i/>
            <w:color w:val="0077CC"/>
            <w:sz w:val="20"/>
            <w:u w:val="single"/>
            <w:shd w:val="clear" w:color="auto" w:fill="FFFFFF"/>
            <w:lang w:val="en-US" w:eastAsia="en-US" w:bidi="ar-SA"/>
          </w:rPr>
          <w:t>2002 SCC 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Counsel for Ms. Gilbert seeks an award of $400,000 for her loss of future earning capacity. In his submission, Ms. Gilbert's pre-accident plan to increase her New Directions work and move into other areas of assisting First Nations community members was entirely realistic. As a result of the accident, however, she has been rendered permanently unemployable. Given her age, aptitudes and the high demand for such services he says the value of her future loss of earning capacity is substantial.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In support of his submission, counsel notes the life trajectories of Ms. Gilbert's New Directions colleagues. He emphasizes that Margaret Gilbert, Phyllis Chelsea and Julie Antoine all experienced lives of extraordinary hardship and engaged in self-defeating behaviour in their early adulthoods. Nevertheless, all three developed personally and stopped drinking by the time they reached their 30s. Thereafter, all three dedicated themselves fully to remunerative community service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According to her counsel, Ms. Gilbert would probably have followed a path similar to that blazed by these three impressive women. While acknowledging the challenges of crystal-ball gazing and limits of mathematical calculation, he submits that an award of $400,000 would provide reasonable compensation for Ms. Gilbert's future earning capacity loss. The $400,000 figure he proposes is based on the current value of an estimated loss of $2,000 per month in earnings to age 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Defence counsel responds that Ms. Gilbert has established little, if any, real loss of future earning capacity. In his submission, continued opportunities with New Directions were scarce and Ms. Gilbert's vocational limitations were all part of her pre-existing condition. Accordingly, in his submission, even if Ms. Gilbert would have continued working with New Directions but for the accident the value of any future loss of earning capacity is modest. Taking into account her pre-accident earning pattern, he also says it is unlikely that Ms. Gilbert would have earned other income in other ways.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I have found that Ms. Gilbert is no longer able to work with New Directions, or elsewhere, due to the effects of her traumatic brain injury. I have also found that there was ample work available with New Directions or comparable programs in the period prior to trial. In my view, the high demand for such work will very likely continue indefinitely into the future. As Ms. Chelsea observed, it is a sad fact that poverty, substance abuse and other challenges continue to mar the lives of many First Nations citizens. Much remains to be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In all of the circumstances, I agree with Ms. Gilbert's counsel as to her probable career path but for the accident. I find that she would probably have overcome her substance abuse habit eventually and gone on to perform increased community service work. In reaching this conclusion I consider the fact that both of Ms. Gilbert's parents stopped drinking in midlife and devoted themselves to community service. The same is true of influential others in her orbit such as Ms. Chelsea and Ms. Antoine.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I also consider, and agree with, Mr. Carlin's view that Ms. Gilbert's work with New Directions was personally healing. Had she been able to continue, I find her work would likely have had a cumulatively positive and healing effect. I further consider the fact that Ms. Gilbert has demonstrated an ability to control her abuse of substances, albeit on a temporary and variable basis. With increased maturity, however, there is every reason to believe this ability would have strengthened and grown.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Taking into account Ms. Gilbert's inner resources, family support and positive influences I find it highly likely that she would have discontinued abusing substances entirely by her mid to late 30s. Thereafter, she would likely have increased her work with New Directions or a comparable program and experienced a corresponding increase in earnings. Taking into account her previous history of substance abuse, ongoing diabetes and harsh environment, however, I find that Ms. Gilbert had a lower than normal life expectancy. For similar reasons, I also find she likely would not have worked beyond age 60.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Mathematical precision in assessing the likelihood these possibilities would have materialised is impossible. That said, I estimate there is approximately an 85% chance they would have come to pass but for the accident. Had this happened, it is likely that Ms. Gilbert's annual earnings from community service work would quickly have at least quadrupled. There is also a real possibility that she would have supplemented her community service income with part-time work in the food industry. In the result, I find that her annual earnings would likely have reached something in the $25,000 - $30,000 range.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xml:space="preserve">  As is apparent from the foregoing, this is not a case in which the value of Ms. Gilbert's loss of future earning capacity is easily measurable. For this reason, I prefer the capital asset approach to assessment of her loss. Application of the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factors supports the conclusion that Ms. Gilbert has suffered a significant loss of her capital asset. She has been rendered incapable overall of earning income from employment as a result of the accident; is not marketable as a potential employee; has lost the ability to take advantage of any job opportunities that might have been open; and is not valuable to herself as a person capable of earning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Ms. Gilbert's counsel seeks an award of $400,000 for loss of future earning capacity based on the present value of an annual loss of $24,000 in earnings to age 65. I have found that her likely annual loss is slightly higher and loss period somewhat lower than what he suggests. Nevertheless, I am satisfied that, overall, a $400,000 award for loss of future earning capacity is fair and reasonable to both parties in all of the circumstances. In reaching this view, I have considered the risk that Ms. Gilbert might have continued her substance abuse habit and related low earning pattern beyond midlife. I have also allowed for the contingency that her health might improve somewhat with treatment and structured, untaxing work might become available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All things considered, I assess the value of Ms. Gilbert's loss of future earning capacity at $400,000.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xml:space="preserve">  The plaintiff is entitled to compensation for the cost of future care based on what is reasonably necessary to restore her to her pre-accident condition in so far as that is possible. In reality, however, in cases of serious and permanent injury such as this, true restoration can never be achieved. In these circumstances, the court's paramount concern is to assure full compensation through the provision of adequate care into the future. The award is to be based on what is reasonably necessary on the medical evidence to preserve and promote the plaintiff's mental and physical health: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108"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Williams (Guardian ad litem of) v. Low</w:t>
      </w:r>
      <w:r>
        <w:rPr>
          <w:rFonts w:ascii="arial" w:eastAsia="arial" w:hAnsi="arial" w:cs="arial"/>
          <w:color w:val="000000"/>
          <w:sz w:val="20"/>
          <w:lang w:val="en-US" w:eastAsia="en-US" w:bidi="ar-SA"/>
        </w:rPr>
        <w:t xml:space="preserve">, </w:t>
      </w:r>
      <w:hyperlink r:id="rId980" w:history="1">
        <w:r>
          <w:rPr>
            <w:rFonts w:ascii="arial" w:eastAsia="arial" w:hAnsi="arial" w:cs="arial"/>
            <w:i/>
            <w:color w:val="0077CC"/>
            <w:sz w:val="20"/>
            <w:u w:val="single"/>
            <w:shd w:val="clear" w:color="auto" w:fill="FFFFFF"/>
            <w:lang w:val="en-US" w:eastAsia="en-US" w:bidi="ar-SA"/>
          </w:rPr>
          <w:t>[2000] B.C.J. No. 408</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Spehar (Guardian ad litem of) v. Beazley</w:t>
      </w:r>
      <w:r>
        <w:rPr>
          <w:rFonts w:ascii="arial" w:eastAsia="arial" w:hAnsi="arial" w:cs="arial"/>
          <w:color w:val="000000"/>
          <w:sz w:val="20"/>
          <w:lang w:val="en-US" w:eastAsia="en-US" w:bidi="ar-SA"/>
        </w:rPr>
        <w:t xml:space="preserve">, </w:t>
      </w:r>
      <w:hyperlink r:id="rId114" w:history="1">
        <w:r>
          <w:rPr>
            <w:rFonts w:ascii="arial" w:eastAsia="arial" w:hAnsi="arial" w:cs="arial"/>
            <w:i/>
            <w:color w:val="0077CC"/>
            <w:sz w:val="20"/>
            <w:u w:val="single"/>
            <w:shd w:val="clear" w:color="auto" w:fill="FFFFFF"/>
            <w:lang w:val="en-US" w:eastAsia="en-US" w:bidi="ar-SA"/>
          </w:rPr>
          <w:t>[2002] B.C.J. No. 1718</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251</w:t>
      </w:r>
      <w:r>
        <w:rPr>
          <w:rFonts w:ascii="arial" w:eastAsia="arial" w:hAnsi="arial" w:cs="arial"/>
          <w:color w:val="000000"/>
          <w:sz w:val="20"/>
          <w:lang w:val="en-US" w:eastAsia="en-US" w:bidi="ar-SA"/>
        </w:rPr>
        <w:t xml:space="preserve">  To be awarded, future care costs must be justified both because they are medically necessary and they are likely to be incurred by the plaintiff. The award of damages is thus a matter of prediction as to what will happen in future. If a plaintiff has not used a particular item or service in the past it may be inappropriate to include its cost in a future care award: </w:t>
      </w:r>
      <w:r>
        <w:rPr>
          <w:rFonts w:ascii="arial" w:eastAsia="arial" w:hAnsi="arial" w:cs="arial"/>
          <w:i/>
          <w:color w:val="000000"/>
          <w:sz w:val="20"/>
          <w:lang w:val="en-US" w:eastAsia="en-US" w:bidi="ar-SA"/>
        </w:rPr>
        <w:t>Izony v. Weidlich</w:t>
      </w:r>
      <w:r>
        <w:rPr>
          <w:rFonts w:ascii="arial" w:eastAsia="arial" w:hAnsi="arial" w:cs="arial"/>
          <w:color w:val="000000"/>
          <w:sz w:val="20"/>
          <w:lang w:val="en-US" w:eastAsia="en-US" w:bidi="ar-SA"/>
        </w:rPr>
        <w:t xml:space="preserve">, </w:t>
      </w:r>
      <w:hyperlink r:id="rId118" w:history="1">
        <w:r>
          <w:rPr>
            <w:rFonts w:ascii="arial" w:eastAsia="arial" w:hAnsi="arial" w:cs="arial"/>
            <w:i/>
            <w:color w:val="0077CC"/>
            <w:sz w:val="20"/>
            <w:u w:val="single"/>
            <w:shd w:val="clear" w:color="auto" w:fill="FFFFFF"/>
            <w:lang w:val="en-US" w:eastAsia="en-US" w:bidi="ar-SA"/>
          </w:rPr>
          <w:t>2006 BCSC 1315</w:t>
        </w:r>
      </w:hyperlink>
      <w:r>
        <w:rPr>
          <w:rFonts w:ascii="arial" w:eastAsia="arial" w:hAnsi="arial" w:cs="arial"/>
          <w:color w:val="000000"/>
          <w:sz w:val="20"/>
          <w:lang w:val="en-US" w:eastAsia="en-US" w:bidi="ar-SA"/>
        </w:rPr>
        <w:t>, para. 74. In my view, however, while the plaintiff's past conduct may assist in predicting the future it is not necessarily determinative. Rather, the focus of inquiry when an item or service is reasonably necessary, but previously unused, is whether it is likely to be incurred on going forward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252</w:t>
      </w:r>
      <w:r>
        <w:rPr>
          <w:rFonts w:ascii="arial" w:eastAsia="arial" w:hAnsi="arial" w:cs="arial"/>
          <w:color w:val="000000"/>
          <w:sz w:val="20"/>
          <w:lang w:val="en-US" w:eastAsia="en-US" w:bidi="ar-SA"/>
        </w:rPr>
        <w:t xml:space="preserve">  Where future care costs will be fully met by a social security program they are not recoverable through an award of damages. This is so because they are not reasonably required to restore the plaintiff to his or her pre-accident state. The risk that access to public funds may be lost in future is, however, a proper consideration with respect to contingency adjustment. In this regard, the court must assess the possibility that anticipated future care costs may turn out to be more or less than presently contemplated and adjust the award accordingly: </w:t>
      </w:r>
      <w:r>
        <w:rPr>
          <w:rFonts w:ascii="arial" w:eastAsia="arial" w:hAnsi="arial" w:cs="arial"/>
          <w:i/>
          <w:color w:val="000000"/>
          <w:sz w:val="20"/>
          <w:lang w:val="en-US" w:eastAsia="en-US" w:bidi="ar-SA"/>
        </w:rPr>
        <w:t>Krangle (Guardian ad litem of)</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Boren v. Vancouver Resource Society for the Physically Disabled</w:t>
      </w:r>
      <w:r>
        <w:rPr>
          <w:rFonts w:ascii="arial" w:eastAsia="arial" w:hAnsi="arial" w:cs="arial"/>
          <w:color w:val="000000"/>
          <w:sz w:val="20"/>
          <w:lang w:val="en-US" w:eastAsia="en-US" w:bidi="ar-SA"/>
        </w:rPr>
        <w:t xml:space="preserve">, </w:t>
      </w:r>
      <w:hyperlink r:id="rId981" w:history="1">
        <w:r>
          <w:rPr>
            <w:rFonts w:ascii="arial" w:eastAsia="arial" w:hAnsi="arial" w:cs="arial"/>
            <w:i/>
            <w:color w:val="0077CC"/>
            <w:sz w:val="20"/>
            <w:u w:val="single"/>
            <w:shd w:val="clear" w:color="auto" w:fill="FFFFFF"/>
            <w:lang w:val="en-US" w:eastAsia="en-US" w:bidi="ar-SA"/>
          </w:rPr>
          <w:t>2003 BCCA 388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Morrison (Committee of) v. Cormier Vegetation Control Ltd.</w:t>
      </w:r>
      <w:r>
        <w:rPr>
          <w:rFonts w:ascii="arial" w:eastAsia="arial" w:hAnsi="arial" w:cs="arial"/>
          <w:color w:val="000000"/>
          <w:sz w:val="20"/>
          <w:lang w:val="en-US" w:eastAsia="en-US" w:bidi="ar-SA"/>
        </w:rPr>
        <w:t xml:space="preserve">, </w:t>
      </w:r>
      <w:hyperlink r:id="rId982" w:history="1">
        <w:r>
          <w:rPr>
            <w:rFonts w:ascii="arial" w:eastAsia="arial" w:hAnsi="arial" w:cs="arial"/>
            <w:i/>
            <w:color w:val="0077CC"/>
            <w:sz w:val="20"/>
            <w:u w:val="single"/>
            <w:shd w:val="clear" w:color="auto" w:fill="FFFFFF"/>
            <w:lang w:val="en-US" w:eastAsia="en-US" w:bidi="ar-SA"/>
          </w:rPr>
          <w:t>[1998] B.C.J. No. 3279</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253</w:t>
      </w:r>
      <w:r>
        <w:rPr>
          <w:rFonts w:ascii="arial" w:eastAsia="arial" w:hAnsi="arial" w:cs="arial"/>
          <w:color w:val="000000"/>
          <w:sz w:val="20"/>
          <w:lang w:val="en-US" w:eastAsia="en-US" w:bidi="ar-SA"/>
        </w:rPr>
        <w:t xml:space="preserve">  The extent, if any, to which a future care costs award should be adjusted for contingencies depends on the specific care needs of the plaintiff. In some cases negative contingencies are offset by positive contingencies and, therefore, a contingency adjustment is not required: see </w:t>
      </w:r>
      <w:r>
        <w:rPr>
          <w:rFonts w:ascii="arial" w:eastAsia="arial" w:hAnsi="arial" w:cs="arial"/>
          <w:i/>
          <w:color w:val="000000"/>
          <w:sz w:val="20"/>
          <w:lang w:val="en-US" w:eastAsia="en-US" w:bidi="ar-SA"/>
        </w:rPr>
        <w:t>Spehar (Guardian ad litem of)</w:t>
      </w:r>
      <w:r>
        <w:rPr>
          <w:rFonts w:ascii="arial" w:eastAsia="arial" w:hAnsi="arial" w:cs="arial"/>
          <w:color w:val="000000"/>
          <w:sz w:val="20"/>
          <w:lang w:val="en-US" w:eastAsia="en-US" w:bidi="ar-SA"/>
        </w:rPr>
        <w:t xml:space="preserve">. In other cases, however, the award is reduced based on the prospect of improvement in the plaintiff's condition or increased based on the prospect that additional care will be required: see </w:t>
      </w:r>
      <w:r>
        <w:rPr>
          <w:rFonts w:ascii="arial" w:eastAsia="arial" w:hAnsi="arial" w:cs="arial"/>
          <w:i/>
          <w:color w:val="000000"/>
          <w:sz w:val="20"/>
          <w:lang w:val="en-US" w:eastAsia="en-US" w:bidi="ar-SA"/>
        </w:rPr>
        <w:t>Morrison (Committee of)</w:t>
      </w:r>
      <w:r>
        <w:rPr>
          <w:rFonts w:ascii="arial" w:eastAsia="arial" w:hAnsi="arial" w:cs="arial"/>
          <w:color w:val="000000"/>
          <w:sz w:val="20"/>
          <w:lang w:val="en-US" w:eastAsia="en-US" w:bidi="ar-SA"/>
        </w:rPr>
        <w:t>. Each case falls to be determined on its particular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254</w:t>
      </w:r>
      <w:r>
        <w:rPr>
          <w:rFonts w:ascii="arial" w:eastAsia="arial" w:hAnsi="arial" w:cs="arial"/>
          <w:color w:val="000000"/>
          <w:sz w:val="20"/>
          <w:lang w:val="en-US" w:eastAsia="en-US" w:bidi="ar-SA"/>
        </w:rPr>
        <w:t xml:space="preserve">  In&lt; i&gt;Fenn v. Peterborough (City), </w:t>
      </w:r>
      <w:hyperlink r:id="rId983" w:history="1">
        <w:r>
          <w:rPr>
            <w:rFonts w:ascii="arial" w:eastAsia="arial" w:hAnsi="arial" w:cs="arial"/>
            <w:i/>
            <w:color w:val="0077CC"/>
            <w:sz w:val="20"/>
            <w:u w:val="single"/>
            <w:shd w:val="clear" w:color="auto" w:fill="FFFFFF"/>
            <w:lang w:val="en-US" w:eastAsia="en-US" w:bidi="ar-SA"/>
          </w:rPr>
          <w:t>[1979] O.J. No. 4312</w:t>
        </w:r>
      </w:hyperlink>
      <w:r>
        <w:rPr>
          <w:rFonts w:ascii="arial" w:eastAsia="arial" w:hAnsi="arial" w:cs="arial"/>
          <w:color w:val="000000"/>
          <w:sz w:val="20"/>
          <w:lang w:val="en-US" w:eastAsia="en-US" w:bidi="ar-SA"/>
        </w:rPr>
        <w:t xml:space="preserve"> (CA), the Ontario Court of Appeal considered the approach to contingency adjustment best suited to cases involving total disability. The Court stated as follows in this regard: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173 ... In Oliver et. al. v. Ashman et. al., [1961] 3 All E.R. 323 at p. 340, Pearson, L.J., said: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Where a plaintiff has been rendered helpless by his injuries, which have been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sum awarded as compensation should be sufficient to ensure that he will be properly looked after by others in any situation which can reasonably be foreseen, so that even rather improbable contingencies will be covered.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174 In cases such as this where a plaintiff has been totally disabled and Courts are faced with the task of providing sums to ensure proper care for a lifetime, one should not be quick to reduce those sums under a ritualistic theory of contingencies. In this case, it is not difficult to foresee that in countless ways Sandra Fenn will be put to extra expense to accomplish the ordinary small tasks and to partake of the small pleasures in life and this contingency should as well be weighed in the balance. In the result we are not persuaded that there should be any percentage reduction of the figures already arrived at under the theory of contingencies. Those possibilities which may tend to increase the financial burden on Sandra Fenn are at least the equal to those possibilities which may tend to diminish the sums awarded.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255</w:t>
      </w:r>
      <w:r>
        <w:rPr>
          <w:rFonts w:ascii="arial" w:eastAsia="arial" w:hAnsi="arial" w:cs="arial"/>
          <w:color w:val="000000"/>
          <w:sz w:val="20"/>
          <w:lang w:val="en-US" w:eastAsia="en-US" w:bidi="ar-SA"/>
        </w:rPr>
        <w:t>  Counsel for Ms. Gilbert seeks an award of $680,000 for the cost of future care in this case. In support of his submission, he relies on Ms. Berry's recommendations in connection with her June, 2010 occupational therapy assessment. He concedes that Ms. Gilbert does not have a normal life expectancy, which he says should be reduced by five years for assessment purposes. On Mr. Carson's evidence the present value of the cost of the services and items Ms. Berry recommends, assuming a five-year reduced life expectancy, ranges from $632,839 to $734,871. The $680,000 figure he proposes is in the middle of the range. He says further that Ms. Gilbert's positive and negative contingencies cancel one another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256</w:t>
      </w:r>
      <w:r>
        <w:rPr>
          <w:rFonts w:ascii="arial" w:eastAsia="arial" w:hAnsi="arial" w:cs="arial"/>
          <w:color w:val="000000"/>
          <w:sz w:val="20"/>
          <w:lang w:val="en-US" w:eastAsia="en-US" w:bidi="ar-SA"/>
        </w:rPr>
        <w:t>  Defence counsel responds that Ms. Gilbert is entitled to an award for only those costs in addition to costs she would have incurred regardless of the accident's occurrence. Amenities which serve the sole function of making her life more bearable or enjoyable should not be covered by the future care award and are properly compensated through an award for non-pecuniary damages. In his submission, given Ms. Gilbert's pre-existing state, most, if not all, of Ms. Berry's recommendations do not qualify as additional expenses. That being so, he says a modest award to cover the cost of physical activation may be appropriate, but the evidence does not support anything more.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257</w:t>
      </w:r>
      <w:r>
        <w:rPr>
          <w:rFonts w:ascii="arial" w:eastAsia="arial" w:hAnsi="arial" w:cs="arial"/>
          <w:color w:val="000000"/>
          <w:sz w:val="20"/>
          <w:lang w:val="en-US" w:eastAsia="en-US" w:bidi="ar-SA"/>
        </w:rPr>
        <w:t>  I have concluded that the accident caused Ms. Gilbert's pre-existing mental, physical and emotional condition to deteriorate significantly. Although she has not been rendered completely helpless, her traumatic brain injury sequelae are serious, debilitating and permanent. Her chronic pain may improve in time, but it is also debilitating. As a result of Ms. Gilbert's injuries a variety of treatments are now necessary to preserve and promote her mental and physical health. Restoration to her pre-accident condition is impossible but the provision of adequate care into the future is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258</w:t>
      </w:r>
      <w:r>
        <w:rPr>
          <w:rFonts w:ascii="arial" w:eastAsia="arial" w:hAnsi="arial" w:cs="arial"/>
          <w:color w:val="000000"/>
          <w:sz w:val="20"/>
          <w:lang w:val="en-US" w:eastAsia="en-US" w:bidi="ar-SA"/>
        </w:rPr>
        <w:t>  Ms. Gilbert would plainly have benefited from drug and alcohol treatment, psychological counselling and exercise therapy before the accident. Nevertheless, given her past conduct I find it unlikely that she would have accessed such treatment despite its desirability. Since the accident, however, she has begun slowly to develop insight into her condition and need for treatment. Although she did not follow Dr. Bannerman's recommendations, I am satisfied that, with appropriate support, she will likely participate in treatment in future. Her 2008 inquiry into the Cheshire Homes program supports this conclusion. Access to funds to pay for treatment will make it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259</w:t>
      </w:r>
      <w:r>
        <w:rPr>
          <w:rFonts w:ascii="arial" w:eastAsia="arial" w:hAnsi="arial" w:cs="arial"/>
          <w:color w:val="000000"/>
          <w:sz w:val="20"/>
          <w:lang w:val="en-US" w:eastAsia="en-US" w:bidi="ar-SA"/>
        </w:rPr>
        <w:t>  Ms. Berry recommends a staged approach to treatment, which, in some respects, I find reasonable and realistic. She summarises her recommended approach to Ms. Gilbert's future care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Stage 1: Medical follow-up to inform her family physician of her diagnosis and counselling initiated.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Stage 2: Drug and alcohol treatment, 5-6 weeks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Stage 3: Multidisciplinary Chronic pain program, 5-6 weeks.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Stage 4: Residential brain injury rehabilitation program to replace supported living assistance provided by family. This duration of this stage is unknown as it is dependent upon Ms. Gilbert's progress within the program. The stage could last a few months to several years. Based on her current level of functioning she requires supported living environment.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Stage 5: If Ms. Gilbert progresses with her programs it is possible that she is able to live semi-independently with external supports such as occupational therapy, rehabilitation assistant to supervise an exercise program, homemaking and financial assistance and vocational services to participate in meaningful activity.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260</w:t>
      </w:r>
      <w:r>
        <w:rPr>
          <w:rFonts w:ascii="arial" w:eastAsia="arial" w:hAnsi="arial" w:cs="arial"/>
          <w:color w:val="000000"/>
          <w:sz w:val="20"/>
          <w:lang w:val="en-US" w:eastAsia="en-US" w:bidi="ar-SA"/>
        </w:rPr>
        <w:t>  I have considered each item and service recommended by Ms. Berry and whether the evidence supports the claim for its provision. I have also considered that future care costs are to be assessed, not calculated. In making my assessment I accept that Ms. Gilbert has a reduced life expectancy, although the extent of the reduction is not discernable on the evidence. For assessment purposes I accept that her life expectancy is at least 5 years lower than normal.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261</w:t>
      </w:r>
      <w:r>
        <w:rPr>
          <w:rFonts w:ascii="arial" w:eastAsia="arial" w:hAnsi="arial" w:cs="arial"/>
          <w:color w:val="000000"/>
          <w:sz w:val="20"/>
          <w:lang w:val="en-US" w:eastAsia="en-US" w:bidi="ar-SA"/>
        </w:rPr>
        <w:t>  Taking into account the evidence of Drs. Bishop, Anderson and Nairn Stewart, I agree with Ms. Berry that Ms. Gilbert does not possess the cognitive skills to live independently. I also agree with Ms. Berry that she likely would not have required specialized intervention to learn independent living skills but for the accident. Considering her pre-accident pattern and personality, however, I am satisfied that Ms. Gilbert would likely have shared accommodation with family and friends for most of her life regardless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262</w:t>
      </w:r>
      <w:r>
        <w:rPr>
          <w:rFonts w:ascii="arial" w:eastAsia="arial" w:hAnsi="arial" w:cs="arial"/>
          <w:color w:val="000000"/>
          <w:sz w:val="20"/>
          <w:lang w:val="en-US" w:eastAsia="en-US" w:bidi="ar-SA"/>
        </w:rPr>
        <w:t>  Since the accident, Ms. Gilbert has continued to live with family and friends in shared accommodation. It is abundantly clear from the evidence of Margaret Gilbert, Ms. Coutlee and Ms. Basil that her family members are not inclined to abandon Ms. Gilbert despite her difficult personality and behavioural change. Given the strength of their bonds, I do not accept Ms. Berry's assumption that Ms. Gilbert's family will stop providing her with shelter and care in future. On the contrary, I think it highly likely that they will continue to help and support her for the rest of her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263</w:t>
      </w:r>
      <w:r>
        <w:rPr>
          <w:rFonts w:ascii="arial" w:eastAsia="arial" w:hAnsi="arial" w:cs="arial"/>
          <w:color w:val="000000"/>
          <w:sz w:val="20"/>
          <w:lang w:val="en-US" w:eastAsia="en-US" w:bidi="ar-SA"/>
        </w:rPr>
        <w:t>  I agree with Ms. Gilbert's counsel that her positive and negative contingencies offset one another. For example, the prospect that her mental and physical health will improve with treatment such that she requires less assistance than anticipated is offset by the risk that her substance abuse problems will increase, as will her related need for increased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264</w:t>
      </w:r>
      <w:r>
        <w:rPr>
          <w:rFonts w:ascii="arial" w:eastAsia="arial" w:hAnsi="arial" w:cs="arial"/>
          <w:color w:val="000000"/>
          <w:sz w:val="20"/>
          <w:lang w:val="en-US" w:eastAsia="en-US" w:bidi="ar-SA"/>
        </w:rPr>
        <w:t>  Doing the best I can to predict the future and noting that the goal is fair compensation, not money-saving, I reach the following conclusions with respect to the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Drug and alcohol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265</w:t>
      </w:r>
      <w:r>
        <w:rPr>
          <w:rFonts w:ascii="arial" w:eastAsia="arial" w:hAnsi="arial" w:cs="arial"/>
          <w:color w:val="000000"/>
          <w:sz w:val="20"/>
          <w:lang w:val="en-US" w:eastAsia="en-US" w:bidi="ar-SA"/>
        </w:rPr>
        <w:t>  Drug and alcohol treatment is necessary and recommended by virtually all of the experts. Amongst other benefits, its provision will optimize the value of subsequent rehabilitation services. Due to her growing insight, I am satisfied that Ms. Gilbert is now ready to accept this form of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266</w:t>
      </w:r>
      <w:r>
        <w:rPr>
          <w:rFonts w:ascii="arial" w:eastAsia="arial" w:hAnsi="arial" w:cs="arial"/>
          <w:color w:val="000000"/>
          <w:sz w:val="20"/>
          <w:lang w:val="en-US" w:eastAsia="en-US" w:bidi="ar-SA"/>
        </w:rPr>
        <w:t>  Ms. Berry recommends that Ms. Gilbert participate in the Roundlake program located in Vernon, B.C. The program is publicly funded and lasts 5-6 weeks. Admission requires referral from a mental health counsellor and six sessions of pre-admission counselling. The cost of counselling is approximately $650. There will also be modest travel costs. These are reasonable future care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Multidisciplinary pain clinic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267</w:t>
      </w:r>
      <w:r>
        <w:rPr>
          <w:rFonts w:ascii="arial" w:eastAsia="arial" w:hAnsi="arial" w:cs="arial"/>
          <w:color w:val="000000"/>
          <w:sz w:val="20"/>
          <w:lang w:val="en-US" w:eastAsia="en-US" w:bidi="ar-SA"/>
        </w:rPr>
        <w:t>  Dr. Anderson recommends a multidisciplinary pain clinic, as does Ms. Berry. Given her chronic pain disorder, I find that this treatment is medically necessary and likely to be incurred. The cost of assessment and treatment at a 5-6 week program in the Lower Mainland is approximately $12,000. In addition, Ms. Gilbert will need to incur travel, meal and accommodation costs of approximately $4,000. These are reasonable future care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Residential brain injury rehabilitation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268</w:t>
      </w:r>
      <w:r>
        <w:rPr>
          <w:rFonts w:ascii="arial" w:eastAsia="arial" w:hAnsi="arial" w:cs="arial"/>
          <w:color w:val="000000"/>
          <w:sz w:val="20"/>
          <w:lang w:val="en-US" w:eastAsia="en-US" w:bidi="ar-SA"/>
        </w:rPr>
        <w:t>  Drs. Bishop and Anderson recommend a residential brain injury rehabilitation program, as does Ms. Berry. As previously noted, in 2008 Mr. Millard concluded that Ms. Gilbert is an appropriate candidate for the Cheshire Homes program. I am satisfied that such treatment is medically necessary and likely to be incurred. The duration of treatment would likely be something between 3-6 months. The cost is approximately $46,000. This is a reasonable future care cost.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269</w:t>
      </w:r>
      <w:r>
        <w:rPr>
          <w:rFonts w:ascii="arial" w:eastAsia="arial" w:hAnsi="arial" w:cs="arial"/>
          <w:color w:val="000000"/>
          <w:sz w:val="20"/>
          <w:lang w:val="en-US" w:eastAsia="en-US" w:bidi="ar-SA"/>
        </w:rPr>
        <w:t>  Following completion of a residential brain injury rehabilitation program, Ms. Berry recommends that Ms. Gilbert transition to semi-independent living by residing in a supported living apartment for up to three years. Although such an arrangement may well be optimal, I think it unlikely that Ms. Gilbert will incur such a cost. Given her strong family ties and past pattern, in my view it is more likely that she will return quickly to some form of semi-independent living with family or friends after completing a residential brain injury program. At most, in my view a period of 4-6 months in a transitional supported apartment at a cost of approximately $30,000 would likely be incurred.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270</w:t>
      </w:r>
      <w:r>
        <w:rPr>
          <w:rFonts w:ascii="arial" w:eastAsia="arial" w:hAnsi="arial" w:cs="arial"/>
          <w:color w:val="000000"/>
          <w:sz w:val="20"/>
          <w:lang w:val="en-US" w:eastAsia="en-US" w:bidi="ar-SA"/>
        </w:rPr>
        <w:t>  Allowance for the prospect that Ms. Gilbert will transition to semi-independent living in a supported living apartment for 4-6 months is appropriate. Such an allowance is included in the award for the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Medications and supplies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271</w:t>
      </w:r>
      <w:r>
        <w:rPr>
          <w:rFonts w:ascii="arial" w:eastAsia="arial" w:hAnsi="arial" w:cs="arial"/>
          <w:color w:val="000000"/>
          <w:sz w:val="20"/>
          <w:lang w:val="en-US" w:eastAsia="en-US" w:bidi="ar-SA"/>
        </w:rPr>
        <w:t>  Ms. Gilbert has increased her intake of over-the-counter analgesics due to her chronic pain. The cost of her annual intake is approximately $36. The present value of such intake for a life expectancy reduced by 5 years is approximately $780. This cost is reasonable and justified. No evidence was presented regarding the cost of necessary prescription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272</w:t>
      </w:r>
      <w:r>
        <w:rPr>
          <w:rFonts w:ascii="arial" w:eastAsia="arial" w:hAnsi="arial" w:cs="arial"/>
          <w:color w:val="000000"/>
          <w:sz w:val="20"/>
          <w:lang w:val="en-US" w:eastAsia="en-US" w:bidi="ar-SA"/>
        </w:rPr>
        <w:t>  Ms. Berry also recommends the provision of grab bars every 5 years and a firm mattress every 10 years to improve the quality of Ms. Gilbert's sleep. Although I agree with defence counsel that she would have required a mattress in any event, but for the accident I am satisfied she would have limited herself to an inexpensive brand. The present value of such items over a five-year reduced life expectancy is approximately $4,700. Allowance for these costs, with an adjustment to confine the award to only additional cost, is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Ongoing provision of therapies and health maintenance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273</w:t>
      </w:r>
      <w:r>
        <w:rPr>
          <w:rFonts w:ascii="arial" w:eastAsia="arial" w:hAnsi="arial" w:cs="arial"/>
          <w:color w:val="000000"/>
          <w:sz w:val="20"/>
          <w:lang w:val="en-US" w:eastAsia="en-US" w:bidi="ar-SA"/>
        </w:rPr>
        <w:t>  Drs. Anderson and Nairn Stewart recommend that Ms. Gilbert undertake psychological counselling. The various residential programs referenced above will include a significant psychological services component. Nevertheless, Ms. Berry recommends a further allowance for additional psychological counselling following completion of the residential programs. Taking into account the effect of Ms. Gilbert's traumatic brain injury on her emotional state, I accept that this is a reasonable cost likely to be incurred. An allowance in the $1,000 range for this purpose is included in the award for the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274</w:t>
      </w:r>
      <w:r>
        <w:rPr>
          <w:rFonts w:ascii="arial" w:eastAsia="arial" w:hAnsi="arial" w:cs="arial"/>
          <w:color w:val="000000"/>
          <w:sz w:val="20"/>
          <w:lang w:val="en-US" w:eastAsia="en-US" w:bidi="ar-SA"/>
        </w:rPr>
        <w:t>  Ms. Berry also recommends occupational therapy services for Ms. Gilbert on an ongoing basis once she is living in the community. She says Ms. Gilbert will likely require a case manager to assist with functional problems, structured activity and rehabilitation support. She further recommends the services of a rehabilitation assistant to monitor an exercise program, together with an annual gym membership. Ms. Berry acknowledges the difficulty of predicting how many hours per month would likely be required and expended by such individuals, but suggests 4-6 hours per month for an occupational therapist and up to three times per week for a kinesiologist for the rest of Ms. Gilbert's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275</w:t>
      </w:r>
      <w:r>
        <w:rPr>
          <w:rFonts w:ascii="arial" w:eastAsia="arial" w:hAnsi="arial" w:cs="arial"/>
          <w:color w:val="000000"/>
          <w:sz w:val="20"/>
          <w:lang w:val="en-US" w:eastAsia="en-US" w:bidi="ar-SA"/>
        </w:rPr>
        <w:t>  Taking into account the evidence of Drs. Nairn Stewart and Travalos, I find that both forms of service are medically necessary given Ms. Gilbert's compromised physical and mental condition. I do not accept, however, that Ms. Gilbert needs or will likely use kinesiology services as frequently as Ms. Berry recommends. In particular, I think it distinctly unlikely that Ms. Gilbert will work with a kinesiologist up to three times per week for the rest of her life in a structured exercise program. I accept that she likely will work with an occupational therapist as recommended by her physician and other care-givers in connection with her traumatic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276</w:t>
      </w:r>
      <w:r>
        <w:rPr>
          <w:rFonts w:ascii="arial" w:eastAsia="arial" w:hAnsi="arial" w:cs="arial"/>
          <w:color w:val="000000"/>
          <w:sz w:val="20"/>
          <w:lang w:val="en-US" w:eastAsia="en-US" w:bidi="ar-SA"/>
        </w:rPr>
        <w:t>  All things considered, an allowance for occupational therapy support in the range recommended is, in my view, reasonable and realistic. The present value of its cost over Ms. Gilbert's reduced life expectancy is approximately $100,000. An additional allowance for an annual gym membership at a cost of approximately $6,000 and regular kinesiology services for a few years at a cost of up to $20,000 is also reasonable and realistic.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Support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277</w:t>
      </w:r>
      <w:r>
        <w:rPr>
          <w:rFonts w:ascii="arial" w:eastAsia="arial" w:hAnsi="arial" w:cs="arial"/>
          <w:color w:val="000000"/>
          <w:sz w:val="20"/>
          <w:lang w:val="en-US" w:eastAsia="en-US" w:bidi="ar-SA"/>
        </w:rPr>
        <w:t>  Ms. Berry acknowledges that Ms. Gilbert is able to complete basic homemaking tasks in her current condition. She recommends, however, that she receive additional homemaking support for heavier seasonal cleaning and maintenance such as window cleaning and cleaning under furniture. Ms. Berry suggests an allowance of 48 hours per year for such services, at a cost of approximately $45,000, for the balance of Ms. Gilbert's reduced life expectancy.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278</w:t>
      </w:r>
      <w:r>
        <w:rPr>
          <w:rFonts w:ascii="arial" w:eastAsia="arial" w:hAnsi="arial" w:cs="arial"/>
          <w:color w:val="000000"/>
          <w:sz w:val="20"/>
          <w:lang w:val="en-US" w:eastAsia="en-US" w:bidi="ar-SA"/>
        </w:rPr>
        <w:t>  Given my conclusion that Ms. Gilbert will likely continue to reside with family members I am not persuaded that she will incur costs in connection with homemaking support services. According, I decline to include an allowance for them in the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Financial management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279</w:t>
      </w:r>
      <w:r>
        <w:rPr>
          <w:rFonts w:ascii="arial" w:eastAsia="arial" w:hAnsi="arial" w:cs="arial"/>
          <w:color w:val="000000"/>
          <w:sz w:val="20"/>
          <w:lang w:val="en-US" w:eastAsia="en-US" w:bidi="ar-SA"/>
        </w:rPr>
        <w:t>  Ms. Berry recommends the provision of monthly financial services to assist Ms. Gilbert in paying monthly bills and completing her annual taxes. Again, I am not persuaded that she will incur such costs given the likelihood that she will live with, and be assisted by, family members in such straightforward activities. I decline to include an allowance for such costs in the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Rehabilitation Supplies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280</w:t>
      </w:r>
      <w:r>
        <w:rPr>
          <w:rFonts w:ascii="arial" w:eastAsia="arial" w:hAnsi="arial" w:cs="arial"/>
          <w:color w:val="000000"/>
          <w:sz w:val="20"/>
          <w:lang w:val="en-US" w:eastAsia="en-US" w:bidi="ar-SA"/>
        </w:rPr>
        <w:t>  Ms. Berry recommends that Ms. Gilbert use a day planner to compensate for memory, planning and pacing activities. This is a reasonable and realistic recommendation. The present value of its cost over the course of Ms. Gilbert's life expectancy is in the $600 range.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Overall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281</w:t>
      </w:r>
      <w:r>
        <w:rPr>
          <w:rFonts w:ascii="arial" w:eastAsia="arial" w:hAnsi="arial" w:cs="arial"/>
          <w:color w:val="000000"/>
          <w:sz w:val="20"/>
          <w:lang w:val="en-US" w:eastAsia="en-US" w:bidi="ar-SA"/>
        </w:rPr>
        <w:t>  Taking into account all of the foregoing, I assess the cost of Ms. Gilbert's future care at $200,000.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282</w:t>
      </w:r>
      <w:r>
        <w:rPr>
          <w:rFonts w:ascii="arial" w:eastAsia="arial" w:hAnsi="arial" w:cs="arial"/>
          <w:color w:val="000000"/>
          <w:sz w:val="20"/>
          <w:lang w:val="en-US" w:eastAsia="en-US" w:bidi="ar-SA"/>
        </w:rPr>
        <w:t>  In summary, Ms. Gilbert's damages are assessed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3659"/>
        <w:gridCol w:w="2091"/>
        <w:gridCol w:w="33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Non-pecuniary damages</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$ 200,000</w:t>
            </w:r>
          </w:p>
        </w:tc>
        <w:tc>
          <w:tcPr>
            <w:tcW w:w="3277"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4286"/>
        <w:gridCol w:w="1464"/>
        <w:gridCol w:w="33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19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Past Loss of Earning Capacity</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36,000</w:t>
            </w:r>
          </w:p>
        </w:tc>
        <w:tc>
          <w:tcPr>
            <w:tcW w:w="3277"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4391"/>
        <w:gridCol w:w="1359"/>
        <w:gridCol w:w="33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30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Loss of Future Earning Capacity</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400,000</w:t>
            </w:r>
          </w:p>
        </w:tc>
        <w:tc>
          <w:tcPr>
            <w:tcW w:w="3277"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3659"/>
        <w:gridCol w:w="2091"/>
        <w:gridCol w:w="33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Cost of Future Care</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200,000</w:t>
            </w:r>
          </w:p>
        </w:tc>
        <w:tc>
          <w:tcPr>
            <w:tcW w:w="3277"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2614"/>
        <w:gridCol w:w="3137"/>
        <w:gridCol w:w="33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307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$836,000</w:t>
            </w:r>
          </w:p>
        </w:tc>
        <w:tc>
          <w:tcPr>
            <w:tcW w:w="3277"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283</w:t>
      </w:r>
      <w:r>
        <w:rPr>
          <w:rFonts w:ascii="arial" w:eastAsia="arial" w:hAnsi="arial" w:cs="arial"/>
          <w:color w:val="000000"/>
          <w:sz w:val="20"/>
          <w:lang w:val="en-US" w:eastAsia="en-US" w:bidi="ar-SA"/>
        </w:rPr>
        <w:t>  The parties have leave to make submissions as to costs and apply for any further direction that may be required arising out of these reasons for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 DICKSON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20" style="position:absolute;z-index:25180160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84"/>
          <w:headerReference w:type="default" r:id="rId985"/>
          <w:footerReference w:type="even" r:id="rId986"/>
          <w:footerReference w:type="default" r:id="rId987"/>
          <w:headerReference w:type="first" r:id="rId988"/>
          <w:footerReference w:type="first" r:id="rId98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90" w:history="1">
        <w:r>
          <w:rPr>
            <w:rFonts w:ascii="arial" w:eastAsia="arial" w:hAnsi="arial" w:cs="arial"/>
            <w:b/>
            <w:bCs/>
            <w:i/>
            <w:color w:val="0077CC"/>
            <w:kern w:val="32"/>
            <w:sz w:val="28"/>
            <w:szCs w:val="32"/>
            <w:u w:val="single"/>
            <w:shd w:val="clear" w:color="auto" w:fill="FFFFFF"/>
            <w:lang w:val="en-US" w:eastAsia="en-US" w:bidi="ar-SA"/>
          </w:rPr>
          <w:t>Ward v. Klaus, [2010] B.C.J. No. 1695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E. Rice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7-11, 14-18, 21-23 and 25,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27,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M034910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[2010] B.C.J. No. 1695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991" w:history="1">
        <w:r>
          <w:rPr>
            <w:rFonts w:ascii="arial" w:eastAsia="arial" w:hAnsi="arial" w:cs="arial"/>
            <w:i/>
            <w:color w:val="0077CC"/>
            <w:sz w:val="20"/>
            <w:u w:val="single"/>
            <w:shd w:val="clear" w:color="auto" w:fill="FFFFFF"/>
            <w:lang w:val="en-US" w:eastAsia="en-US" w:bidi="ar-SA"/>
          </w:rPr>
          <w:t>2010 BCSC 1211</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991" w:history="1">
        <w:r>
          <w:rPr>
            <w:rFonts w:ascii="arial" w:eastAsia="arial" w:hAnsi="arial" w:cs="arial"/>
            <w:i/>
            <w:color w:val="0077CC"/>
            <w:sz w:val="20"/>
            <w:u w:val="single"/>
            <w:shd w:val="clear" w:color="auto" w:fill="FFFFFF"/>
            <w:lang w:val="en-US" w:eastAsia="en-US" w:bidi="ar-SA"/>
          </w:rPr>
          <w:t>2010 CarswellBC 2278</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991" w:history="1">
        <w:r>
          <w:rPr>
            <w:rFonts w:ascii="arial" w:eastAsia="arial" w:hAnsi="arial" w:cs="arial"/>
            <w:i/>
            <w:color w:val="0077CC"/>
            <w:sz w:val="20"/>
            <w:u w:val="single"/>
            <w:shd w:val="clear" w:color="auto" w:fill="FFFFFF"/>
            <w:lang w:val="en-US" w:eastAsia="en-US" w:bidi="ar-SA"/>
          </w:rPr>
          <w:t>192 A.C.W.S. (3d) 829</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Jodie Irene Ward, Plaintiff, and Adolf Klaus,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(91 paras.)</w:t>
      </w:r>
    </w:p>
    <w:p>
      <w:pPr>
        <w:spacing w:line="24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[Editor's note: Supplementary reasons for judgment were released January 25, 2012. See </w:t>
      </w:r>
      <w:hyperlink r:id="rId992" w:history="1">
        <w:r>
          <w:rPr>
            <w:rFonts w:ascii="arial" w:eastAsia="arial" w:hAnsi="arial" w:cs="arial"/>
            <w:i/>
            <w:color w:val="0077CC"/>
            <w:sz w:val="18"/>
            <w:u w:val="single"/>
            <w:shd w:val="clear" w:color="auto" w:fill="FFFFFF"/>
            <w:lang w:val="en-US" w:eastAsia="en-US" w:bidi="ar-SA"/>
          </w:rPr>
          <w:t>[2012] B.C.J. No. 134</w:t>
        </w:r>
      </w:hyperlink>
      <w:r>
        <w:rPr>
          <w:rFonts w:ascii="arial" w:eastAsia="arial" w:hAnsi="arial" w:cs="arial"/>
          <w:color w:val="000000"/>
          <w:sz w:val="18"/>
          <w:lang w:val="en-US" w:eastAsia="en-US" w:bidi="ar-SA"/>
        </w:rPr>
        <w:t>.]</w:t>
      </w:r>
      <w:r>
        <w:rPr>
          <w:rFonts w:ascii="arial" w:eastAsia="arial" w:hAnsi="arial" w:cs="arial"/>
          <w:sz w:val="20"/>
          <w:lang w:val="en-US" w:eastAsia="en-US" w:bidi="ar-SA"/>
        </w:rPr>
        <w:cr/>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21" style="position:absolute;z-index:2517002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78" w:name="Keywords_38"/>
      <w:bookmarkEnd w:id="278"/>
      <w:r>
        <w:rPr>
          <w:rFonts w:ascii="arial" w:eastAsia="arial" w:hAnsi="arial" w:cs="arial"/>
          <w:b/>
          <w:color w:val="000000"/>
          <w:sz w:val="20"/>
          <w:lang w:val="en-US" w:eastAsia="en-US" w:bidi="ar-SA"/>
        </w:rPr>
        <w:t>Damages — Physical and psychological injuries — Physical injuries — Body injuries — Neck — Soft tissue — Head injuries — Headaches — Psychological injuries — Depression — Considerations impacting on award — Degree of impairment — Action for damages against the defendant for injuries sustained in a motor vehicle, in which the defendant admitted liability, allowed — Plaintiff suffered a soft tissue injury to her neck — She continued to suffer neck and migraine headache pain and continued low-grade depression — Plaintiff was awarded $150,000 for non-pecuniary damages, $6,731 in special damages, $36,000 for past loss of income and $168,000 for loss of future earning capacity and future care costs for housekeeping, a robot cleaner, medication, a neurostimulator and a pool pass.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Considerations — Duration of loss — Employment status — Extent of incapacity — Cost of future care — Loss of earning capacity — Loss of housekeeping ability — Retroactive loss of income — Special damages — Expenses and expenditures — Medical — Medications — Therapy or rehabilitation — Non-pecuniary loss — Pain and suffering — Action for damages against the defendant for injuries sustained in a motor vehicle, in which the defendant admitted liability, allowed — Plaintiff suffered a soft tissue injury to her neck — She continued to suffer neck and migraine headache pain and continued low-grade depression — Plaintiff was awarded $150,000 for non-pecuniary damages, $6,731 in special damages, $36,000 for past loss of income and $168,000 for loss of future earning capacity and future care costs for housekeeping, a robot cleaner, medication, a neurostimulator and a pool pass.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79" w:name="Case Summary_38"/>
            <w:bookmarkEnd w:id="27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Ward against the defendant Klaus for injuries sustained in a motor vehicle accident that occurred on February 4, 2002 in a parking lot. Ward's vehicle was hit from behind by Klaus' vehicle. Klaus admitted liability and did not claim that Ward was contributorily negligent. Ward claimed that she suffered several injuries as a result of the collision, almost all of which had long since healed. She continued to suffer neck and headache pain, along with a continual low-grade depression. Worst of all she suffered from excruciating migraine-type headaches that occurred several times per week, that lasted for about four hours and that left her helpless. The consensus among her physicians was that her condition was unlikely to improve. At the time of the accident Ward was employed as a part-time cashier. She then worked as a waitress and then as a baker's assistant. Ward never worked on a full-time basis. In 2006 she began to collect a monthly disability pension and she did not work outside of the home since that time.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80" w:name="Holdings of Court_32"/>
            <w:bookmarkEnd w:id="280"/>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Counsel on both sides agreed that Ward suffered a soft tissue injury to her neck. Ward was awarded $150,000 for non-pecuniary loss. This was based on her pain and suffering and the effect of her diminished capacity in her homemaking role. Ward was awarded $6,731 in special damages. This included the costs of medical professional services, massage and prescription medication costs. The expenses were reasonably incurred. Ward was awarded $36,000 for past wage losses for the last six years at the rate of $6,000 per year. Loss of future earning capacity was determined to $168,000. This was based on the assumption that Ward would not work past age 65 and that she would work for another 28 years. Ward was entitled to an award for future care costs in the form of housekeeping, yard and home maintenance assistance. She would receive $1,200 to July 2010, $1,100 per year to age 55 and $2,200 per year from age 55 to 65. Ward was also awarded $600 for a robot cleaner, $2,200 per year to age 75 for medication, $45,000 for a neurostimulator and $300 for a pool pass for two years to allow her to improve her fitness.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81" w:name="Counsel_40"/>
      <w:bookmarkEnd w:id="28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22" style="position:absolute;z-index:2517514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Valmon J. LeBlanc.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W. Martin Finch.</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82" w:name="Judgment_40"/>
      <w:bookmarkEnd w:id="282"/>
      <w:r>
        <w:pict>
          <v:line id="_x0000_s1223" style="position:absolute;z-index:25180262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Introduction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plaintiff's pain and suffering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Education and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EXPERT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Gouws, specialist in occupational medicine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Crystal Mayfield, OT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Shawna Rutherford, OT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Smith, Psychiatrist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Bubber, OT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Joseph Hohmann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PAST LOSS OF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EVIDENCE</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6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83" w:name="E. RICE J."/>
            <w:bookmarkEnd w:id="283"/>
            <w:r>
              <w:rPr>
                <w:rFonts w:ascii="arial" w:eastAsia="arial" w:hAnsi="arial" w:cs="arial"/>
                <w:b/>
                <w:color w:val="000000"/>
                <w:sz w:val="30"/>
                <w:lang w:val="en-US" w:eastAsia="en-US" w:bidi="ar-SA"/>
              </w:rPr>
              <w:t>E. RICE J.</w:t>
            </w:r>
          </w:p>
        </w:tc>
      </w:tr>
    </w:tbl>
    <w:p>
      <w:pP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 was injured in a motor vehicle accident on February 4, 2002, at the parking lot of Evans Elementary School in Chilliwack, British Columbia. The plaintiff was driving a 1991 Pontiac Sunbird when it was hit from behind by a 1999 Buick Park Avenue driven by the defendant. The defendant admits liability and claims no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alleges several injuries to herself as a result of the collision, almost all of which have long since healed. She continues to suffer pain in her neck and headache pain, along with a continual low-grade depression. Worst of all she suffers excruciating migraine-type headaches coming on two or three times per week and lasting about four hours, during which the pain completely overcomes her physical capacity to do any kind of work or to enjoy her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has been examined by her family doctor, and by neurologists, Dr. Tanha and Dr. Robinson, along with a host of others. She has been treated, but not with positive results. The consensus amongst her physicians is that her condition is unlikely to improve much. Where there seems to be some disagreement, is with respect to mitigation. On one hand, it is not challenged that her periodic migraine-type headaches leave her practically helpless. That is not quite so with respect to the daily low-grade pain and depression that she feels, and she has proven in the past that she is able to work at certain jobs with lighter, physical demands.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The plaintiff's pain and suffering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She has taken to the use of a "neurostimulator", a device similar to a pace maker, which is surgically implanted with electrodes to stimulate the nerves. The device has reduced her pain by about 20%; not what her physicians were hoping for (over 30%) but enough for the plaintiff to say that it "takes the edge 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was employed at the time of the accident as a part-time cashier at Safeway. She then served as a waitress at the Pantry Restaurant in Chilliwack. Finally, she returned to Safeway to work as a baker's assistant. In 2005, she began to collect a disability pension of $950 per month. She has not worked outside of the home since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testified that fairly soon after the accident she began to feel headaches and neck pain. Consulting her family physician, Dr. Harder, she was referred for physiotherapy in Sardis, B.C. Not satisfied with the progress of the physiotherapy, she discontinued not long after, and in May 2002 she switched general practitioners, hiring Dr. Welsh. He has served as her general practitioner ever since, and has been thoroughly briefed by her on the progress and challenges of this lengthy scourge of pain. Dr. Welsh referred her to a neurologist, Dr. Tanha, in August 2002. She saw him about five times between then and in January 2004. In November 2003, she was referred to Dr. Burnell, an anaesthetist, who assessed her. He considered doing trigger point injections, but ultimately thought there was no need for them. In February 2004, he referred the plaintiff to Dr. Robinson, another neurologist, who advocated a multi-disciplinary treatment approach. The program ran for five days but discontinued because the plaintiff had trouble regularly making the 1-1/2 hour drive from where she lived in Chilliwack.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said that by mid-2004, she was in despair over the fact that so much had been tried without success. The physicians began to recommend the use of narcotics which she welcomed because in her words again, it "took the edge off". It was not long before she became addicted.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saw a massage therapist on three occasions in December 2004 and January 2005. She says she quit that treatment because of the pain of the massage. In April 2005, she saw a physiotherapist, Dr. Chu, on four occasions. Dr. Chu recommended a hysterectomy in 2005 due to abnormal cell growth observed in monitoring her condition. After the operation, the plaintiff began to feel very severe head pain and discomfort from the surgery. Her intake of morphine rose by three or four times.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2006, the plaintiff was assessed by a neurologist, chosen on behalf of the defendant. Dr. Edneads, attributed part of her pain to her medications, which to him seemed to be working counterproductively. He suggested attributed some of her pain to the medication, suggesting that if she were to come off some of them, her symptoms would improve.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March and April 2006, at Dr. Welsh's recommendation, she saw another massage therapist for deep muscle massage, but she did not find that effective either.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She fell back into narcotics again for a while, but managed again to quit.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 underwent occupational therapy again beginning in February 2007. Her attending therapist, Ms. Mayfield, who testified, offered a variety of suggestions to help Ms. Ward find a better quality of life and to orient herself to that pursuit. For example, she found that her work effort was made less difficult by keeping to a housekeeping schedule, by pacing her work around the house with childcare; and by being more consistent and regular in her exercise. She went to a kinesiologist for advice, and she learned relaxation and deep breathing techniques. Other helpful suggestions included setting aside times for leisure activities such as drawing, reading and crocheting; experimenting with alternative pain management techniques such as taking hot baths; hiring a housekeeper to do the heavy work; planning meal preparations; and practising energy conservation and work management techniques. Ms. Mayfield testified that her goals were to make Ms. Ward more independent in home management, able to do basic yard work activities, and to feel comfortable driving her children here and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about April 2007, Dr. Bannerman and Ms. Mayfield advised the plaintiff that a regime of exercise, medications and other measures were not working as well as they had hoped. Dr. Bannerman told her that she was "pain focused". Ms. Mayfield also provided recommendations for Ms. Ward to engage in walking, pool-based activities, and other activities to get her more developed and to build up a routine to distract herself from her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January 2008, Dr. Welsh referred the plaintiff to see Dr. Gogal, an ophthalmologist, to advise on pain in her eyes that had not resolved. The plaintiff saw another ophthalmologist, Dr. Nesbitt, in July 2008, because of trouble she claimed to have with double vision. There appears to be no report from him or anyone else on any eye problems that she complained about. The evidence does not clearly show these were the result of the accident, or the headaches after the accident, and their severity in any event seems hardly more than minor. I am not denying this claim, but the compensation due to the plaintiff, based on the evidence, cannot be more than a very small portion of the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early February 2008, Ms. Ward saw another psychologist, Dr. Bubber, who employed a cognitive behavioural approach to pain management. Ms. Ward's evidence is that she did not get a lot out of her subsequent visits to Dr. Bubber. Dr. Bubber, like Ms. Mayfield, seemed to sense a less than full effort at the exercises recommended, which had been expanded to include yoga and pilates DVD's for home use, as recommended by another kinesiologist, Dr. Carne.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May 2008, the plaintiff consulted Dr. Kumar, a neurosurgeon in Regina, for an assessment on the suitability for neurostimulator implants. She qualified and in September, at Regina Saskatchewan, a neurotransmitter was implanted in the back of her neck. It had two leads and an external remote that connected the wires under her skin. From September to mid-October 2008, she had two more operations in Regina and two more temporary implants were imbedded. In December 2008, two permanent implants were installed in the back of her head in the same area as before. To deal with the pain of the operation, she took more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January 2009, the plaintiff had permanent leads installed at the front of her 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implant battery has to be recharged, usually once a week. She keeps it on at all times other than when she is driving. She has a device that plugs into an electrical outlet. It tells her if the battery needs to be recharged. Sometimes it has to charge for up to four hours, but usually it takes an hour or an hour and a half. When pain flares, she can increase the strength of the current from the stimulator. Again, she does not see it as the answer. It simply "takes the edge 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Ms. Ward says that it is hard for her to do too much exercise. She is aware that exercise is always beneficial, and that it will help her keep her weight down, and distract her from her pain. She says that she takes her dog for walks, although not as often as she would like. She used to be an avid runner before the accident, and says she is open to any kind of exercise. Her favourite exercise now is water-running at a pool, although she has not done it since December 2009 because her head hurts so much afterwards.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Ms. Ward's weight currently is about 180 pounds. It has been much higher, but as she now stands (at about 5'7") she could use further weight reduction to enhance her health and self-confidence.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her husband's view, the plaintiff is a much different person since the accident. He testified that she is in bed much of the day and sometimes spends entire weekends in the house, not doing much of anything. When she takes drugs or the neurostimulator is up, she can do things such as make dinner or play cards. If they visit friends, she will leave early, insisting that he should stay. They do not play sports together like they used to or work in the garden like they used to, or go camping with their family. She is forgetful and easily distracted. Some of the things that she does, such as grocery shopping, take a much longer time to complete than before. She has taken to writing out lists to help her get things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Ward, the plaintiff's husband, was emotional in giving his testimony, obviously in despair after so many failed attempts to cure or alleviate his wife's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Ms. Ward testified that she was unable to do a number of tasks that ordinarily she would have done but for the pain. She hired her husband's sister certain times at $12.00 per hour to assist in caring for the children. She must take medication every day, setting her timer to ensure that she takes her dosage at the right times. They represent a combination of painkillers, sleeping pills, muscle relaxants and sedatives.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plaintiff is able to prepare breakfast for her husband and sons as well as pack lunches for them. She tends to the usual household chores of cleaning, tidying up the various rooms, running the dishwasher, walking the dog, etc. Dinner times and other matters tend to revolve around hockey when hockey is in season. She seems to enjoy helping the boys get ready for games and practices, and she attends their games as much as she can.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plaintiff and her husband bought their current house in November 2002. They have improved it substantially by landscaping in the back yard and building a playhouse for the boys. Mr. Ward did most of the work in the evenings and on weekends. He had friends work for him in return for his services to them. Ms. Ward has not been able to help him with any of this work. If she had not been injured, according to her husband, she would have been "right there with him", and for the landscaping particularly. In that regard, there are a number of jobs that Ms. Ward once did but cannot do any longer, she says, because of the pain that it causes to her head. Examples include scrubbing the tub and shower, changing bed sheets, mopping floors and vacuuming. Once she did much gardening and planting of flowers, but she does no longer. Mr. Ward assists her with her housework such as laundry, cooking and folding clothes. He also does much of the shopping.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 videotape was tendered by the defendants as evidence to show the plaintiff easily entering and exiting a car in early 2008. I am afraid I did not gather very much from that video beyond what was disclosed otherwise in testimony. The impression was that she appeared quite normal in her movements. There did not seem to be any of the characteristics that we sometimes associate with people suffering from headaches - stiffness and slowness of movement - but I give little weight to that evidence one way or the other.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Education and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Ms. Ward moved to Abbotsford in 1991 when she was in Grade 12. She dropped out of a number of her subjects there that year. While in high school she worked as an attendant at a gym and also part-time on weekends refuelling planes at Pitt Meadows Airport. She graduated finally in 1991 and for the next two years she worked as a service station attendant at Super Save Gas. She began training to become a pilot in 1992, but ceased that effort because of the cost, she says. She says that she looked into joining the military and was accepted for training. However, whether because of the cost or otherwise, it is clear that long before the accident, Ms. Ward gave up this ambition, neither pursuing it nor saying very much about it. There is no reliable evidence to substantiate any claim for loss of opportunity to become a pilot.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When she had her children, the plaintiff took maternity leave for six months and three months respectively, and after that worked part-time, perhaps 20 hours per week, she says.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August 2001 she left White Spot and in November 2001, she was hired as a part-time cashier at Safeway. She was working at Safeway at the time of the accident and continued to work there until January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September 2003, the plaintiff left Safeway and went to work at the Pantry Restaurant in Chilliwack as a part-time waitress. She says she was hoping to make more money there but did not want more shifts at the risk of aggravating her injury, from which she was recovering.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plaintiff recalled that she had to take time off because of her headaches during this period, and recalled that she was taking too much medication to properly attend to her work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As a result of some incident at work involving an alleged failure to wear a bow-tie, the plaintiff says she was dismissed from the Pantry. She says that she did not immediately look for work. She elected to stay off because she was in too much pain, particularly from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September 2004, she went back to work part-time at the Safeway bakery in Sardis, B.C. Work there was light duty, such as slicing bread, rolling buns and assisting bakers. She liked the job, but the pain was too much, and she left that job in December 2004. She has not worked outside of the home since then.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following is a review of the plaintiff's employment earnings from 1991 through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3241"/>
        <w:gridCol w:w="355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YEAR</w:t>
            </w:r>
          </w:p>
        </w:tc>
        <w:tc>
          <w:tcPr>
            <w:tcW w:w="317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EMPLOYMENT EARNINGS</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EI INCOME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9"/>
        <w:gridCol w:w="2405"/>
        <w:gridCol w:w="2301"/>
        <w:gridCol w:w="355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1991</w:t>
            </w:r>
          </w:p>
        </w:tc>
        <w:tc>
          <w:tcPr>
            <w:tcW w:w="235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$25,076</w:t>
            </w:r>
          </w:p>
        </w:tc>
        <w:tc>
          <w:tcPr>
            <w:tcW w:w="2253"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Nil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50"/>
        <w:gridCol w:w="2301"/>
        <w:gridCol w:w="2927"/>
        <w:gridCol w:w="407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1992</w:t>
            </w:r>
          </w:p>
        </w:tc>
        <w:tc>
          <w:tcPr>
            <w:tcW w:w="225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$7,164</w:t>
            </w:r>
          </w:p>
        </w:tc>
        <w:tc>
          <w:tcPr>
            <w:tcW w:w="2867"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$968</w:t>
            </w:r>
          </w:p>
        </w:tc>
        <w:tc>
          <w:tcPr>
            <w:tcW w:w="399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1993</w:t>
            </w:r>
          </w:p>
        </w:tc>
        <w:tc>
          <w:tcPr>
            <w:tcW w:w="225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$4,523</w:t>
            </w:r>
          </w:p>
        </w:tc>
        <w:tc>
          <w:tcPr>
            <w:tcW w:w="286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$197</w:t>
            </w:r>
          </w:p>
        </w:tc>
        <w:tc>
          <w:tcPr>
            <w:tcW w:w="399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9"/>
        <w:gridCol w:w="2301"/>
        <w:gridCol w:w="2405"/>
        <w:gridCol w:w="355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1994</w:t>
            </w:r>
          </w:p>
        </w:tc>
        <w:tc>
          <w:tcPr>
            <w:tcW w:w="225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$8,051</w:t>
            </w:r>
          </w:p>
        </w:tc>
        <w:tc>
          <w:tcPr>
            <w:tcW w:w="235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Nil</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1995</w:t>
            </w:r>
          </w:p>
        </w:tc>
        <w:tc>
          <w:tcPr>
            <w:tcW w:w="225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$7,454</w:t>
            </w:r>
          </w:p>
        </w:tc>
        <w:tc>
          <w:tcPr>
            <w:tcW w:w="235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Nil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50"/>
        <w:gridCol w:w="2301"/>
        <w:gridCol w:w="3241"/>
        <w:gridCol w:w="376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1996</w:t>
            </w:r>
          </w:p>
        </w:tc>
        <w:tc>
          <w:tcPr>
            <w:tcW w:w="225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$2,005</w:t>
            </w:r>
          </w:p>
        </w:tc>
        <w:tc>
          <w:tcPr>
            <w:tcW w:w="317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$1,957</w:t>
            </w:r>
          </w:p>
        </w:tc>
        <w:tc>
          <w:tcPr>
            <w:tcW w:w="368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9"/>
        <w:gridCol w:w="2301"/>
        <w:gridCol w:w="2405"/>
        <w:gridCol w:w="355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1997</w:t>
            </w:r>
          </w:p>
        </w:tc>
        <w:tc>
          <w:tcPr>
            <w:tcW w:w="225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$3,317</w:t>
            </w:r>
          </w:p>
        </w:tc>
        <w:tc>
          <w:tcPr>
            <w:tcW w:w="235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Nil</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1998</w:t>
            </w:r>
          </w:p>
        </w:tc>
        <w:tc>
          <w:tcPr>
            <w:tcW w:w="225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$2,111</w:t>
            </w:r>
          </w:p>
        </w:tc>
        <w:tc>
          <w:tcPr>
            <w:tcW w:w="235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Nil</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1999</w:t>
            </w:r>
          </w:p>
        </w:tc>
        <w:tc>
          <w:tcPr>
            <w:tcW w:w="225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$4,862</w:t>
            </w:r>
          </w:p>
        </w:tc>
        <w:tc>
          <w:tcPr>
            <w:tcW w:w="235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Nil</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2000</w:t>
            </w:r>
          </w:p>
        </w:tc>
        <w:tc>
          <w:tcPr>
            <w:tcW w:w="225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$6,084</w:t>
            </w:r>
          </w:p>
        </w:tc>
        <w:tc>
          <w:tcPr>
            <w:tcW w:w="235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Nil</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2001</w:t>
            </w:r>
          </w:p>
        </w:tc>
        <w:tc>
          <w:tcPr>
            <w:tcW w:w="225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$4,090</w:t>
            </w:r>
          </w:p>
        </w:tc>
        <w:tc>
          <w:tcPr>
            <w:tcW w:w="235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Nil</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2002</w:t>
            </w:r>
          </w:p>
        </w:tc>
        <w:tc>
          <w:tcPr>
            <w:tcW w:w="225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$5,807</w:t>
            </w:r>
          </w:p>
        </w:tc>
        <w:tc>
          <w:tcPr>
            <w:tcW w:w="235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Nil</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2003</w:t>
            </w:r>
          </w:p>
        </w:tc>
        <w:tc>
          <w:tcPr>
            <w:tcW w:w="225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$6,234</w:t>
            </w:r>
          </w:p>
        </w:tc>
        <w:tc>
          <w:tcPr>
            <w:tcW w:w="235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Nil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50"/>
        <w:gridCol w:w="2301"/>
        <w:gridCol w:w="3241"/>
        <w:gridCol w:w="376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2004</w:t>
            </w:r>
          </w:p>
        </w:tc>
        <w:tc>
          <w:tcPr>
            <w:tcW w:w="225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$2,113</w:t>
            </w:r>
          </w:p>
        </w:tc>
        <w:tc>
          <w:tcPr>
            <w:tcW w:w="317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$1,845</w:t>
            </w:r>
          </w:p>
        </w:tc>
        <w:tc>
          <w:tcPr>
            <w:tcW w:w="368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50"/>
        <w:gridCol w:w="1882"/>
        <w:gridCol w:w="742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2005</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$84</w:t>
            </w:r>
          </w:p>
        </w:tc>
        <w:tc>
          <w:tcPr>
            <w:tcW w:w="727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plaintiff has also been receiving Canada Pension Plan monthly disability payments since 2006. Currently the amount is around $950 per month. Her evidence is that those payments will continue indefinitely as long as she cannot work. The availability of this pension could pose as a disincentive.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EXPERT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None of the physicians disagree that consistent with the manner of the collision the plaintiff has been suffering continual headaches that cause her enormous pain. There are shades of difference in diagnosis as to the precise forms of headache that afflict her, but none challenging the fact that she has suffered this pain for so long.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Dr. Welsh aptly explained the plaintiff suffered strain to her cervical and thoracic spine, resulting in significant on-going neck pain and headaches, which have a migraneous component. It also exacerbated a pre-existing depression, according to one physician, a psychiatrist, Dr. Smith.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Out of all of this, Dr. Welsh decided that the plaintiff suffers from "chronic pain". He said that "it is therefore reasonable to conclude that her chronic daily pain will continue and she will continue to experience significant limitations in her day-to-day activities and quality of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Dr. Robinson stated clearly that after three years from the date of the accident, she will continue to have headaches and neck pain for many years to come. He doubted that she would become pain free and stated the possibility that her current disability would remain indefinitely.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The plaintiff's resort to use of narcotics was futile and a harmful measure, but not negligent. It was a reasonable decision on advice of her physicians given her terrible state when nothing else would work. I do not attribute to the plaintiff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these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Dr. Smith, a defence neurological expert, suggested that tension type headaches are without any known cause, and he suspected an underlying psychiatric disorder. Dr. Edneads, a neurologist, took the view that the plaintiff was suffering from medication induced headaches. Dr. Robinson did not agree with that. His evidence was that the headaches were post-traumatic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Dr. Robinson pointed out that there are no specific characteristics for post-traumatic headaches. In his opinion, the plaintiff does not have migraine headaches; however, she may develop migraines as her headaches worsen.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Dr. Robinson's opinion is that the neurostimulator has not been a success. He characterises the improvement at 20%. Usually one expects to reach a 30% improvement before saying that the use of the device is worthwhile.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Dr. Gouws, specialist in occupational medicine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Dr. Gouws tested the plaintiff and stated in his opinion that she made a reliable effort during the assessment. He found that she was capable of only light work demands and that she could not perform as a pilot; that she has lost the capacity for many recreational activities; that she has lost the capacity to do housekeeping functions at the level she was used to before the accident; that she is totally disabled as a part-time cashier or baker's helper at Safeway; that she is not capable of working competitively in any occupation for which she is suited by training and experience; and even if she follows her treatment recommendations, the level of recovery would be less than 50%.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Crystal Mayfield, 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Ms. Mayfield stated that originally the goal was to have the plaintiff return to work, although never to full-time work. Ms. Mayfield's initial impression was that the plaintiff was motivated to increase her activity and get over her difficulty, although, the plaintiff did tend to use her subjective pain as a guide to control or limit her activities. She described the plaintiff as being passive and not very energetic or bubbly when she was on the narcotic medications. She stated that as of April 2010, three hours per day seemed to be her daily tolerance for activity. She stated her opinion that Ms. Ward needed to be encouraged to use strategies to maximize her daily activities in the best way possible.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Shawna Rutherford, 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Ms. Rutherford's observations were similar to Ms. Mayfield's.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Ms. Rutherford made a number of recommendations with respect to future care, which are discussed below.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Dr. Smith, Psychiatrist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Dr. Smith, a psychiatrist for the defence, assessed the plaintiff in February 2010. He noted, "It is in my opinion tragic that she was encouraged to take time off work, as this appears to have a triggered a cycle of unemployment." In his view, the plaintiff should have been encouraged to "get on with things" in spite of the pain; not a pleasant alternative, but better than one that seemed to be turning her into an invalid. He recommended that she gradually reduce her anti-depressant medication under the supervision of a psychiatrist and he had no doubt that returning to active employment would be a benefit to the plaintiff.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Dr. Bubber, 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Dr. Bubber, an occupational therapist, is of the view that Ms. Ward seemed to be stuck on the focus of her own pain, and that she needed to move beyond that focus.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Joseph Hohmann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Ms. Ward was assessed by Mr. Hohmann, a vocational consultant in October 2007. Mr. Hohmann said that according to Appendix D of his manual, the plaintiff had been employed at skill levels in the range of C and D of his Manual of Canadian Salary Levels, with a potential salary level of about $30,000 to $35,000 and that she might have had potential to advance to skill level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The factors to be considered in assessing non-pecuniary damages are stated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14"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at para. 46: the plaintiff's age; the nature of the injury; the severity and duration of pain; the resulting disability; the emotional suffering; impairment of family, marital and social relationships; impairment of physical and mental abilities; loss of lifestyle; and, finally, the plaintiff's stoicism. The amount should not depend only on the seriousness of the injury, but on the ability to ameliorate the victim's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In this case, counsel on both sides agree that this was a soft-tissue injury to the neck resulting in continuing neck pain, and continuing generalized moderate headaches with severe migraine headaches, occurring two or three times per week. The pain during such migraine headaches is excruciating, and her pain and suffering as a whole have affected very negatively almost every aspect of her life. According to doctors' recommendations, she has taken medications that only partially help, and at one point led her to addiction to narcotics. She has undergone surgeries to implant a neurostimulator which has only been moderately successful at best as a means of alleviating the pain. The consensus of the medical experts has been that the plaintiff has reached the point of maximum medical improvement, and that the headaches and pain will continue indefinitely.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At the same time, observing her demeanour as she gave evidence, as well as seeing the videotape evidence shown in court, and considering her inability to answer many questions on the basis that she could not remember, I am afraid there is room for mild caution in accepting her testimony unreservedly. Her frequent inability to recall answers to questions leads me to doubt the reliability of her memory when giving testimony. By this, I do not mean to resile from the impression that she was generally honest and truthful in explaining the excruciating pain she had suffered. It is only in respect of a few details, particularly her work capacity and motivation, that her evidence was not completely satisfactory.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Plaintiff's counsel recommends an award for non-pecuniary loss at between $160,000 - $190,000, referring to the following cases in support: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Delli Santi v. Pacific National Exhibition</w:t>
      </w:r>
      <w:r>
        <w:rPr>
          <w:rFonts w:ascii="arial" w:eastAsia="arial" w:hAnsi="arial" w:cs="arial"/>
          <w:color w:val="000000"/>
          <w:sz w:val="20"/>
          <w:lang w:val="en-US" w:eastAsia="en-US" w:bidi="ar-SA"/>
        </w:rPr>
        <w:t xml:space="preserve">, </w:t>
      </w:r>
      <w:hyperlink r:id="rId993" w:history="1">
        <w:r>
          <w:rPr>
            <w:rFonts w:ascii="arial" w:eastAsia="arial" w:hAnsi="arial" w:cs="arial"/>
            <w:i/>
            <w:color w:val="0077CC"/>
            <w:sz w:val="20"/>
            <w:u w:val="single"/>
            <w:shd w:val="clear" w:color="auto" w:fill="FFFFFF"/>
            <w:lang w:val="en-US" w:eastAsia="en-US" w:bidi="ar-SA"/>
          </w:rPr>
          <w:t>2000 BCSC 716</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Adamson v. Charity</w:t>
      </w:r>
      <w:r>
        <w:rPr>
          <w:rFonts w:ascii="arial" w:eastAsia="arial" w:hAnsi="arial" w:cs="arial"/>
          <w:color w:val="000000"/>
          <w:sz w:val="20"/>
          <w:lang w:val="en-US" w:eastAsia="en-US" w:bidi="ar-SA"/>
        </w:rPr>
        <w:t xml:space="preserve">, </w:t>
      </w:r>
      <w:hyperlink r:id="rId975" w:history="1">
        <w:r>
          <w:rPr>
            <w:rFonts w:ascii="arial" w:eastAsia="arial" w:hAnsi="arial" w:cs="arial"/>
            <w:i/>
            <w:color w:val="0077CC"/>
            <w:sz w:val="20"/>
            <w:u w:val="single"/>
            <w:shd w:val="clear" w:color="auto" w:fill="FFFFFF"/>
            <w:lang w:val="en-US" w:eastAsia="en-US" w:bidi="ar-SA"/>
          </w:rPr>
          <w:t>2007 BCSC 671</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Marois v. Pelech</w:t>
      </w:r>
      <w:r>
        <w:rPr>
          <w:rFonts w:ascii="arial" w:eastAsia="arial" w:hAnsi="arial" w:cs="arial"/>
          <w:color w:val="000000"/>
          <w:sz w:val="20"/>
          <w:lang w:val="en-US" w:eastAsia="en-US" w:bidi="ar-SA"/>
        </w:rPr>
        <w:t xml:space="preserve">, </w:t>
      </w:r>
      <w:hyperlink r:id="rId994" w:history="1">
        <w:r>
          <w:rPr>
            <w:rFonts w:ascii="arial" w:eastAsia="arial" w:hAnsi="arial" w:cs="arial"/>
            <w:i/>
            <w:color w:val="0077CC"/>
            <w:sz w:val="20"/>
            <w:u w:val="single"/>
            <w:shd w:val="clear" w:color="auto" w:fill="FFFFFF"/>
            <w:lang w:val="en-US" w:eastAsia="en-US" w:bidi="ar-SA"/>
          </w:rPr>
          <w:t>2007 BCSC 1969</w:t>
        </w:r>
      </w:hyperlink>
      <w:r>
        <w:rPr>
          <w:rFonts w:ascii="arial" w:eastAsia="arial" w:hAnsi="arial" w:cs="arial"/>
          <w:color w:val="000000"/>
          <w:sz w:val="20"/>
          <w:lang w:val="en-US" w:eastAsia="en-US" w:bidi="ar-SA"/>
        </w:rPr>
        <w:t xml:space="preserve">, aff'd </w:t>
      </w:r>
      <w:hyperlink r:id="rId141" w:history="1">
        <w:r>
          <w:rPr>
            <w:rFonts w:ascii="arial" w:eastAsia="arial" w:hAnsi="arial" w:cs="arial"/>
            <w:i/>
            <w:color w:val="0077CC"/>
            <w:sz w:val="20"/>
            <w:u w:val="single"/>
            <w:shd w:val="clear" w:color="auto" w:fill="FFFFFF"/>
            <w:lang w:val="en-US" w:eastAsia="en-US" w:bidi="ar-SA"/>
          </w:rPr>
          <w:t>2009 BCCA 286</w:t>
        </w:r>
      </w:hyperlink>
      <w:r>
        <w:rPr>
          <w:rFonts w:ascii="arial" w:eastAsia="arial" w:hAnsi="arial" w:cs="arial"/>
          <w:color w:val="000000"/>
          <w:sz w:val="20"/>
          <w:lang w:val="en-US" w:eastAsia="en-US" w:bidi="ar-SA"/>
        </w:rPr>
        <w:t>; and</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Williamson v. Suna</w:t>
      </w:r>
      <w:r>
        <w:rPr>
          <w:rFonts w:ascii="arial" w:eastAsia="arial" w:hAnsi="arial" w:cs="arial"/>
          <w:color w:val="000000"/>
          <w:sz w:val="20"/>
          <w:lang w:val="en-US" w:eastAsia="en-US" w:bidi="ar-SA"/>
        </w:rPr>
        <w:t xml:space="preserve">, </w:t>
      </w:r>
      <w:hyperlink r:id="rId995" w:history="1">
        <w:r>
          <w:rPr>
            <w:rFonts w:ascii="arial" w:eastAsia="arial" w:hAnsi="arial" w:cs="arial"/>
            <w:i/>
            <w:color w:val="0077CC"/>
            <w:sz w:val="20"/>
            <w:u w:val="single"/>
            <w:shd w:val="clear" w:color="auto" w:fill="FFFFFF"/>
            <w:lang w:val="en-US" w:eastAsia="en-US" w:bidi="ar-SA"/>
          </w:rPr>
          <w:t>2009 BCSC 576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defendant recommends an award between $95,000 and $120,000, citing the following cases:</w:t>
      </w:r>
      <w:r>
        <w:rPr>
          <w:rFonts w:ascii="arial" w:eastAsia="arial" w:hAnsi="arial" w:cs="arial"/>
          <w:sz w:val="20"/>
          <w:lang w:val="en-US" w:eastAsia="en-US" w:bidi="ar-SA"/>
        </w:rPr>
        <w:cr/>
      </w:r>
    </w:p>
    <w:p>
      <w:pPr>
        <w:numPr>
          <w:numId w:val="133"/>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Pham-Fraser v. Smith,</w:t>
      </w:r>
      <w:r>
        <w:rPr>
          <w:rFonts w:ascii="arial" w:eastAsia="arial" w:hAnsi="arial" w:cs="arial"/>
          <w:color w:val="000000"/>
          <w:sz w:val="20"/>
          <w:lang w:val="en-US" w:eastAsia="en-US" w:bidi="ar-SA"/>
        </w:rPr>
        <w:t xml:space="preserve"> </w:t>
      </w:r>
      <w:hyperlink r:id="rId132" w:history="1">
        <w:r>
          <w:rPr>
            <w:rFonts w:ascii="arial" w:eastAsia="arial" w:hAnsi="arial" w:cs="arial"/>
            <w:i/>
            <w:color w:val="0077CC"/>
            <w:sz w:val="20"/>
            <w:u w:val="single"/>
            <w:shd w:val="clear" w:color="auto" w:fill="FFFFFF"/>
            <w:lang w:val="en-US" w:eastAsia="en-US" w:bidi="ar-SA"/>
          </w:rPr>
          <w:t>2010 BCSC 322</w:t>
        </w:r>
      </w:hyperlink>
      <w:r>
        <w:rPr>
          <w:rFonts w:ascii="arial" w:eastAsia="arial" w:hAnsi="arial" w:cs="arial"/>
          <w:color w:val="000000"/>
          <w:sz w:val="20"/>
          <w:lang w:val="en-US" w:eastAsia="en-US" w:bidi="ar-SA"/>
        </w:rPr>
        <w:t xml:space="preserve">, </w:t>
      </w:r>
      <w:hyperlink r:id="rId132" w:history="1">
        <w:r>
          <w:rPr>
            <w:rFonts w:ascii="arial" w:eastAsia="arial" w:hAnsi="arial" w:cs="arial"/>
            <w:i/>
            <w:color w:val="0077CC"/>
            <w:sz w:val="20"/>
            <w:u w:val="single"/>
            <w:shd w:val="clear" w:color="auto" w:fill="FFFFFF"/>
            <w:lang w:val="en-US" w:eastAsia="en-US" w:bidi="ar-SA"/>
          </w:rPr>
          <w:t>[2010] B.C.J. No. 438</w:t>
        </w:r>
      </w:hyperlink>
      <w:r>
        <w:rPr>
          <w:rFonts w:ascii="arial" w:eastAsia="arial" w:hAnsi="arial" w:cs="arial"/>
          <w:color w:val="000000"/>
          <w:sz w:val="20"/>
          <w:lang w:val="en-US" w:eastAsia="en-US" w:bidi="ar-SA"/>
        </w:rPr>
        <w:t>;</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Gosselin v. Neal,</w:t>
      </w:r>
      <w:r>
        <w:rPr>
          <w:rFonts w:ascii="arial" w:eastAsia="arial" w:hAnsi="arial" w:cs="arial"/>
          <w:color w:val="000000"/>
          <w:sz w:val="20"/>
          <w:lang w:val="en-US" w:eastAsia="en-US" w:bidi="ar-SA"/>
        </w:rPr>
        <w:t xml:space="preserve"> </w:t>
      </w:r>
      <w:hyperlink r:id="rId996" w:history="1">
        <w:r>
          <w:rPr>
            <w:rFonts w:ascii="arial" w:eastAsia="arial" w:hAnsi="arial" w:cs="arial"/>
            <w:i/>
            <w:color w:val="0077CC"/>
            <w:sz w:val="20"/>
            <w:u w:val="single"/>
            <w:shd w:val="clear" w:color="auto" w:fill="FFFFFF"/>
            <w:lang w:val="en-US" w:eastAsia="en-US" w:bidi="ar-SA"/>
          </w:rPr>
          <w:t>2010 BCSC 456</w:t>
        </w:r>
      </w:hyperlink>
      <w:r>
        <w:rPr>
          <w:rFonts w:ascii="arial" w:eastAsia="arial" w:hAnsi="arial" w:cs="arial"/>
          <w:color w:val="000000"/>
          <w:sz w:val="20"/>
          <w:lang w:val="en-US" w:eastAsia="en-US" w:bidi="ar-SA"/>
        </w:rPr>
        <w:t xml:space="preserve">, </w:t>
      </w:r>
      <w:hyperlink r:id="rId996" w:history="1">
        <w:r>
          <w:rPr>
            <w:rFonts w:ascii="arial" w:eastAsia="arial" w:hAnsi="arial" w:cs="arial"/>
            <w:i/>
            <w:color w:val="0077CC"/>
            <w:sz w:val="20"/>
            <w:u w:val="single"/>
            <w:shd w:val="clear" w:color="auto" w:fill="FFFFFF"/>
            <w:lang w:val="en-US" w:eastAsia="en-US" w:bidi="ar-SA"/>
          </w:rPr>
          <w:t>[2010] B.C.J. No. 610</w:t>
        </w:r>
      </w:hyperlink>
      <w:r>
        <w:rPr>
          <w:rFonts w:ascii="arial" w:eastAsia="arial" w:hAnsi="arial" w:cs="arial"/>
          <w:color w:val="000000"/>
          <w:sz w:val="20"/>
          <w:lang w:val="en-US" w:eastAsia="en-US" w:bidi="ar-SA"/>
        </w:rPr>
        <w: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Prince-Wright v. Copeman,</w:t>
      </w:r>
      <w:r>
        <w:rPr>
          <w:rFonts w:ascii="arial" w:eastAsia="arial" w:hAnsi="arial" w:cs="arial"/>
          <w:color w:val="000000"/>
          <w:sz w:val="20"/>
          <w:lang w:val="en-US" w:eastAsia="en-US" w:bidi="ar-SA"/>
        </w:rPr>
        <w:t xml:space="preserve"> </w:t>
      </w:r>
      <w:hyperlink r:id="rId997" w:history="1">
        <w:r>
          <w:rPr>
            <w:rFonts w:ascii="arial" w:eastAsia="arial" w:hAnsi="arial" w:cs="arial"/>
            <w:i/>
            <w:color w:val="0077CC"/>
            <w:sz w:val="20"/>
            <w:u w:val="single"/>
            <w:shd w:val="clear" w:color="auto" w:fill="FFFFFF"/>
            <w:lang w:val="en-US" w:eastAsia="en-US" w:bidi="ar-SA"/>
          </w:rPr>
          <w:t>2005 BCSC 1306</w:t>
        </w:r>
      </w:hyperlink>
      <w:r>
        <w:rPr>
          <w:rFonts w:ascii="arial" w:eastAsia="arial" w:hAnsi="arial" w:cs="arial"/>
          <w:color w:val="000000"/>
          <w:sz w:val="20"/>
          <w:lang w:val="en-US" w:eastAsia="en-US" w:bidi="ar-SA"/>
        </w:rPr>
        <w:t xml:space="preserve">, </w:t>
      </w:r>
      <w:hyperlink r:id="rId997" w:history="1">
        <w:r>
          <w:rPr>
            <w:rFonts w:ascii="arial" w:eastAsia="arial" w:hAnsi="arial" w:cs="arial"/>
            <w:i/>
            <w:color w:val="0077CC"/>
            <w:sz w:val="20"/>
            <w:u w:val="single"/>
            <w:shd w:val="clear" w:color="auto" w:fill="FFFFFF"/>
            <w:lang w:val="en-US" w:eastAsia="en-US" w:bidi="ar-SA"/>
          </w:rPr>
          <w:t>[2005] B.C.J. No. 1997</w:t>
        </w:r>
      </w:hyperlink>
      <w:r>
        <w:rPr>
          <w:rFonts w:ascii="arial" w:eastAsia="arial" w:hAnsi="arial" w:cs="arial"/>
          <w:color w:val="000000"/>
          <w:sz w:val="20"/>
          <w:lang w:val="en-US" w:eastAsia="en-US" w:bidi="ar-SA"/>
        </w:rPr>
        <w:t>;</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Edwards v. Marsden,</w:t>
      </w:r>
      <w:r>
        <w:rPr>
          <w:rFonts w:ascii="arial" w:eastAsia="arial" w:hAnsi="arial" w:cs="arial"/>
          <w:color w:val="000000"/>
          <w:sz w:val="20"/>
          <w:lang w:val="en-US" w:eastAsia="en-US" w:bidi="ar-SA"/>
        </w:rPr>
        <w:t xml:space="preserve"> </w:t>
      </w:r>
      <w:hyperlink r:id="rId998" w:history="1">
        <w:r>
          <w:rPr>
            <w:rFonts w:ascii="arial" w:eastAsia="arial" w:hAnsi="arial" w:cs="arial"/>
            <w:i/>
            <w:color w:val="0077CC"/>
            <w:sz w:val="20"/>
            <w:u w:val="single"/>
            <w:shd w:val="clear" w:color="auto" w:fill="FFFFFF"/>
            <w:lang w:val="en-US" w:eastAsia="en-US" w:bidi="ar-SA"/>
          </w:rPr>
          <w:t>2004 BCSC 590</w:t>
        </w:r>
      </w:hyperlink>
      <w:r>
        <w:rPr>
          <w:rFonts w:ascii="arial" w:eastAsia="arial" w:hAnsi="arial" w:cs="arial"/>
          <w:color w:val="000000"/>
          <w:sz w:val="20"/>
          <w:lang w:val="en-US" w:eastAsia="en-US" w:bidi="ar-SA"/>
        </w:rPr>
        <w:t xml:space="preserve">, </w:t>
      </w:r>
      <w:hyperlink r:id="rId998" w:history="1">
        <w:r>
          <w:rPr>
            <w:rFonts w:ascii="arial" w:eastAsia="arial" w:hAnsi="arial" w:cs="arial"/>
            <w:i/>
            <w:color w:val="0077CC"/>
            <w:sz w:val="20"/>
            <w:u w:val="single"/>
            <w:shd w:val="clear" w:color="auto" w:fill="FFFFFF"/>
            <w:lang w:val="en-US" w:eastAsia="en-US" w:bidi="ar-SA"/>
          </w:rPr>
          <w:t>[2004] B.C.J. No. 870</w:t>
        </w:r>
      </w:hyperlink>
      <w:r>
        <w:rPr>
          <w:rFonts w:ascii="arial" w:eastAsia="arial" w:hAnsi="arial" w:cs="arial"/>
          <w:color w:val="000000"/>
          <w:sz w:val="20"/>
          <w:lang w:val="en-US" w:eastAsia="en-US" w:bidi="ar-SA"/>
        </w:rPr>
        <w:t>;</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Knauf v. Chao,</w:t>
      </w:r>
      <w:r>
        <w:rPr>
          <w:rFonts w:ascii="arial" w:eastAsia="arial" w:hAnsi="arial" w:cs="arial"/>
          <w:color w:val="000000"/>
          <w:sz w:val="20"/>
          <w:lang w:val="en-US" w:eastAsia="en-US" w:bidi="ar-SA"/>
        </w:rPr>
        <w:t xml:space="preserve"> </w:t>
      </w:r>
      <w:hyperlink r:id="rId421" w:history="1">
        <w:r>
          <w:rPr>
            <w:rFonts w:ascii="arial" w:eastAsia="arial" w:hAnsi="arial" w:cs="arial"/>
            <w:i/>
            <w:color w:val="0077CC"/>
            <w:sz w:val="20"/>
            <w:u w:val="single"/>
            <w:shd w:val="clear" w:color="auto" w:fill="FFFFFF"/>
            <w:lang w:val="en-US" w:eastAsia="en-US" w:bidi="ar-SA"/>
          </w:rPr>
          <w:t>2009 BCCA 605</w:t>
        </w:r>
      </w:hyperlink>
      <w:r>
        <w:rPr>
          <w:rFonts w:ascii="arial" w:eastAsia="arial" w:hAnsi="arial" w:cs="arial"/>
          <w:color w:val="000000"/>
          <w:sz w:val="20"/>
          <w:lang w:val="en-US" w:eastAsia="en-US" w:bidi="ar-SA"/>
        </w:rPr>
        <w:t xml:space="preserve">, </w:t>
      </w:r>
      <w:hyperlink r:id="rId421" w:history="1">
        <w:r>
          <w:rPr>
            <w:rFonts w:ascii="arial" w:eastAsia="arial" w:hAnsi="arial" w:cs="arial"/>
            <w:i/>
            <w:color w:val="0077CC"/>
            <w:sz w:val="20"/>
            <w:u w:val="single"/>
            <w:shd w:val="clear" w:color="auto" w:fill="FFFFFF"/>
            <w:lang w:val="en-US" w:eastAsia="en-US" w:bidi="ar-SA"/>
          </w:rPr>
          <w:t>[2009] B.C.J. No. 2612</w:t>
        </w:r>
      </w:hyperlink>
      <w:r>
        <w:rPr>
          <w:rFonts w:ascii="arial" w:eastAsia="arial" w:hAnsi="arial" w:cs="arial"/>
          <w:color w:val="000000"/>
          <w:sz w:val="20"/>
          <w:lang w:val="en-US" w:eastAsia="en-US" w:bidi="ar-SA"/>
        </w:rPr>
        <w:t>;</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Adkens v. Hunter,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2003 BCSC 97</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[2003] B.C.J. No. 462</w:t>
      </w:r>
      <w:r>
        <w:rPr>
          <w:rFonts w:ascii="arial" w:eastAsia="arial" w:hAnsi="arial" w:cs="arial"/>
          <w:color w:val="000000"/>
          <w:sz w:val="20"/>
          <w:lang w:val="en-US" w:eastAsia="en-US" w:bidi="ar-SA"/>
        </w:rPr>
        <w:t>;</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Gowryluk v. Unicity Taxi Ltd.,</w:t>
      </w:r>
      <w:r>
        <w:rPr>
          <w:rFonts w:ascii="arial" w:eastAsia="arial" w:hAnsi="arial" w:cs="arial"/>
          <w:color w:val="000000"/>
          <w:sz w:val="20"/>
          <w:lang w:val="en-US" w:eastAsia="en-US" w:bidi="ar-SA"/>
        </w:rPr>
        <w:t xml:space="preserve"> </w:t>
      </w:r>
      <w:hyperlink r:id="rId999" w:history="1">
        <w:r>
          <w:rPr>
            <w:rFonts w:ascii="arial" w:eastAsia="arial" w:hAnsi="arial" w:cs="arial"/>
            <w:i/>
            <w:color w:val="0077CC"/>
            <w:sz w:val="20"/>
            <w:u w:val="single"/>
            <w:shd w:val="clear" w:color="auto" w:fill="FFFFFF"/>
            <w:lang w:val="en-US" w:eastAsia="en-US" w:bidi="ar-SA"/>
          </w:rPr>
          <w:t>2006 MBQB 211</w:t>
        </w:r>
      </w:hyperlink>
      <w:r>
        <w:rPr>
          <w:rFonts w:ascii="arial" w:eastAsia="arial" w:hAnsi="arial" w:cs="arial"/>
          <w:color w:val="000000"/>
          <w:sz w:val="20"/>
          <w:lang w:val="en-US" w:eastAsia="en-US" w:bidi="ar-SA"/>
        </w:rPr>
        <w:t xml:space="preserve">, </w:t>
      </w:r>
      <w:hyperlink r:id="rId999" w:history="1">
        <w:r>
          <w:rPr>
            <w:rFonts w:ascii="arial" w:eastAsia="arial" w:hAnsi="arial" w:cs="arial"/>
            <w:i/>
            <w:color w:val="0077CC"/>
            <w:sz w:val="20"/>
            <w:u w:val="single"/>
            <w:shd w:val="clear" w:color="auto" w:fill="FFFFFF"/>
            <w:lang w:val="en-US" w:eastAsia="en-US" w:bidi="ar-SA"/>
          </w:rPr>
          <w:t>[2006] M.J. No. 353</w:t>
        </w:r>
      </w:hyperlink>
      <w:r>
        <w:rPr>
          <w:rFonts w:ascii="arial" w:eastAsia="arial" w:hAnsi="arial" w:cs="arial"/>
          <w:color w:val="000000"/>
          <w:sz w:val="20"/>
          <w:lang w:val="en-US" w:eastAsia="en-US" w:bidi="ar-SA"/>
        </w:rPr>
        <w:t>;</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Prasad v. Sedivy,</w:t>
      </w:r>
      <w:r>
        <w:rPr>
          <w:rFonts w:ascii="arial" w:eastAsia="arial" w:hAnsi="arial" w:cs="arial"/>
          <w:color w:val="000000"/>
          <w:sz w:val="20"/>
          <w:lang w:val="en-US" w:eastAsia="en-US" w:bidi="ar-SA"/>
        </w:rPr>
        <w:t xml:space="preserve"> </w:t>
      </w:r>
      <w:hyperlink r:id="rId1000" w:history="1">
        <w:r>
          <w:rPr>
            <w:rFonts w:ascii="arial" w:eastAsia="arial" w:hAnsi="arial" w:cs="arial"/>
            <w:i/>
            <w:color w:val="0077CC"/>
            <w:sz w:val="20"/>
            <w:u w:val="single"/>
            <w:shd w:val="clear" w:color="auto" w:fill="FFFFFF"/>
            <w:lang w:val="en-US" w:eastAsia="en-US" w:bidi="ar-SA"/>
          </w:rPr>
          <w:t>2008 BCSC 443</w:t>
        </w:r>
      </w:hyperlink>
      <w:r>
        <w:rPr>
          <w:rFonts w:ascii="arial" w:eastAsia="arial" w:hAnsi="arial" w:cs="arial"/>
          <w:color w:val="000000"/>
          <w:sz w:val="20"/>
          <w:lang w:val="en-US" w:eastAsia="en-US" w:bidi="ar-SA"/>
        </w:rPr>
        <w:t xml:space="preserve">, </w:t>
      </w:r>
      <w:hyperlink r:id="rId1000" w:history="1">
        <w:r>
          <w:rPr>
            <w:rFonts w:ascii="arial" w:eastAsia="arial" w:hAnsi="arial" w:cs="arial"/>
            <w:i/>
            <w:color w:val="0077CC"/>
            <w:sz w:val="20"/>
            <w:u w:val="single"/>
            <w:shd w:val="clear" w:color="auto" w:fill="FFFFFF"/>
            <w:lang w:val="en-US" w:eastAsia="en-US" w:bidi="ar-SA"/>
          </w:rPr>
          <w:t>[2008] B.C.J. No. 636</w:t>
        </w:r>
      </w:hyperlink>
      <w:r>
        <w:rPr>
          <w:rFonts w:ascii="arial" w:eastAsia="arial" w:hAnsi="arial" w:cs="arial"/>
          <w:color w:val="000000"/>
          <w:sz w:val="20"/>
          <w:lang w:val="en-US" w:eastAsia="en-US" w:bidi="ar-SA"/>
        </w:rPr>
        <w:t>; and</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Holmes v. Hanna,</w:t>
      </w:r>
      <w:r>
        <w:rPr>
          <w:rFonts w:ascii="arial" w:eastAsia="arial" w:hAnsi="arial" w:cs="arial"/>
          <w:color w:val="000000"/>
          <w:sz w:val="20"/>
          <w:lang w:val="en-US" w:eastAsia="en-US" w:bidi="ar-SA"/>
        </w:rPr>
        <w:t xml:space="preserve"> </w:t>
      </w:r>
      <w:hyperlink r:id="rId1001" w:history="1">
        <w:r>
          <w:rPr>
            <w:rFonts w:ascii="arial" w:eastAsia="arial" w:hAnsi="arial" w:cs="arial"/>
            <w:i/>
            <w:color w:val="0077CC"/>
            <w:sz w:val="20"/>
            <w:u w:val="single"/>
            <w:shd w:val="clear" w:color="auto" w:fill="FFFFFF"/>
            <w:lang w:val="en-US" w:eastAsia="en-US" w:bidi="ar-SA"/>
          </w:rPr>
          <w:t>2001 BCSC 759</w:t>
        </w:r>
      </w:hyperlink>
      <w:r>
        <w:rPr>
          <w:rFonts w:ascii="arial" w:eastAsia="arial" w:hAnsi="arial" w:cs="arial"/>
          <w:color w:val="000000"/>
          <w:sz w:val="20"/>
          <w:lang w:val="en-US" w:eastAsia="en-US" w:bidi="ar-SA"/>
        </w:rPr>
        <w:t xml:space="preserve">, </w:t>
      </w:r>
      <w:hyperlink r:id="rId1001" w:history="1">
        <w:r>
          <w:rPr>
            <w:rFonts w:ascii="arial" w:eastAsia="arial" w:hAnsi="arial" w:cs="arial"/>
            <w:i/>
            <w:color w:val="0077CC"/>
            <w:sz w:val="20"/>
            <w:u w:val="single"/>
            <w:shd w:val="clear" w:color="auto" w:fill="FFFFFF"/>
            <w:lang w:val="en-US" w:eastAsia="en-US" w:bidi="ar-SA"/>
          </w:rPr>
          <w:t>[2001] B.C.J. No. 1256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The purpose of non-pecuniary damage awards is to compensate the plaintiff for "pain, suffering, loss of enjoyment of life and loss of amenities": </w:t>
      </w:r>
      <w:r>
        <w:rPr>
          <w:rFonts w:ascii="arial" w:eastAsia="arial" w:hAnsi="arial" w:cs="arial"/>
          <w:i/>
          <w:color w:val="000000"/>
          <w:sz w:val="20"/>
          <w:lang w:val="en-US" w:eastAsia="en-US" w:bidi="ar-SA"/>
        </w:rPr>
        <w:t>Jackson v. Lai</w:t>
      </w:r>
      <w:r>
        <w:rPr>
          <w:rFonts w:ascii="arial" w:eastAsia="arial" w:hAnsi="arial" w:cs="arial"/>
          <w:color w:val="000000"/>
          <w:sz w:val="20"/>
          <w:lang w:val="en-US" w:eastAsia="en-US" w:bidi="ar-SA"/>
        </w:rPr>
        <w:t xml:space="preserve">, </w:t>
      </w:r>
      <w:hyperlink r:id="rId164" w:history="1">
        <w:r>
          <w:rPr>
            <w:rFonts w:ascii="arial" w:eastAsia="arial" w:hAnsi="arial" w:cs="arial"/>
            <w:i/>
            <w:color w:val="0077CC"/>
            <w:sz w:val="20"/>
            <w:u w:val="single"/>
            <w:shd w:val="clear" w:color="auto" w:fill="FFFFFF"/>
            <w:lang w:val="en-US" w:eastAsia="en-US" w:bidi="ar-SA"/>
          </w:rPr>
          <w:t>2007 BCSC 1023</w:t>
        </w:r>
      </w:hyperlink>
      <w:r>
        <w:rPr>
          <w:rFonts w:ascii="arial" w:eastAsia="arial" w:hAnsi="arial" w:cs="arial"/>
          <w:color w:val="000000"/>
          <w:sz w:val="20"/>
          <w:lang w:val="en-US" w:eastAsia="en-US" w:bidi="ar-SA"/>
        </w:rPr>
        <w:t xml:space="preserve"> at para. 134. While each award must be made with reference to the particular circumstances and facts of the case, other cases may serve as a guide to assist the court in arriving at an award that is just and fair to both parties: </w:t>
      </w:r>
      <w:r>
        <w:rPr>
          <w:rFonts w:ascii="arial" w:eastAsia="arial" w:hAnsi="arial" w:cs="arial"/>
          <w:i/>
          <w:color w:val="000000"/>
          <w:sz w:val="20"/>
          <w:lang w:val="en-US" w:eastAsia="en-US" w:bidi="ar-SA"/>
        </w:rPr>
        <w:t>Kuskis v. Tin</w:t>
      </w:r>
      <w:r>
        <w:rPr>
          <w:rFonts w:ascii="arial" w:eastAsia="arial" w:hAnsi="arial" w:cs="arial"/>
          <w:color w:val="000000"/>
          <w:sz w:val="20"/>
          <w:lang w:val="en-US" w:eastAsia="en-US" w:bidi="ar-SA"/>
        </w:rPr>
        <w:t xml:space="preserve">, </w:t>
      </w:r>
      <w:hyperlink r:id="rId115" w:history="1">
        <w:r>
          <w:rPr>
            <w:rFonts w:ascii="arial" w:eastAsia="arial" w:hAnsi="arial" w:cs="arial"/>
            <w:i/>
            <w:color w:val="0077CC"/>
            <w:sz w:val="20"/>
            <w:u w:val="single"/>
            <w:shd w:val="clear" w:color="auto" w:fill="FFFFFF"/>
            <w:lang w:val="en-US" w:eastAsia="en-US" w:bidi="ar-SA"/>
          </w:rPr>
          <w:t>2008 BCSC 862</w:t>
        </w:r>
      </w:hyperlink>
      <w:r>
        <w:rPr>
          <w:rFonts w:ascii="arial" w:eastAsia="arial" w:hAnsi="arial" w:cs="arial"/>
          <w:color w:val="000000"/>
          <w:sz w:val="20"/>
          <w:lang w:val="en-US" w:eastAsia="en-US" w:bidi="ar-SA"/>
        </w:rPr>
        <w:t xml:space="preserve"> at para. 136.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Taking all of the foregoing into account, my view is that the appropriate award for non-pecuniary loss is $150,000. In this amount I take account of all aspects of general pain and suffering, including a reasonable portion attributable to the effect of diminished capacity in her homemaking role.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plaintiff claims $6,731.63 in special damages incurred as a result of the accident. This amount includes medical professional services such physiotherapist, psychologist, and massage, as well as prescription medication costs. I find that these expenses were reasonably incurred in the course of treating the plaintiff's injuries and I grant the claim accordingly.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PAST LOSS OF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plaintiff is described by all who know her as once an active, energetic wife and mother who worked part-time as a waitress and a cashier. I have little doubt of that, but I do not, in view of the evidence before me, accept that her motivation at any time was strongly aimed toward full-time employment out of the home. She had never worked full-time before the accident, or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 do not accept the supposition that the plaintiff would have taken nine months for retraining in any of the occupations suggested by Mr. Hohmann and then gone on to earn much more than before.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plaintiff had taken flying lessons years before the accident and at one time had an ambition to become an airline pilot. However, I do not accept that there were any active plans in existence at the time of the accident. She had long since given up that ambition. Whatever she may have said about it afterwards carried with it too little evidence of actual intention.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plaintiff worked after the accident for more than two years on a part-time basis without clear evidence that increasing pain afterwards made it impossible. In my view, her decision not to continue to work or do anything to increase her earning potential, was mainly the product of a lifestyle choice. In other words, I do not accept the supposition that the plaintiff would have become a full-time employee, or anything more than a part-time employee, but for the accident. I do not accept that she would have pursued the upgrading and skills that the expert economist, Mr. Carson, indicated to be available, and which might have increased her income to between $30,000 and $35,000 per year (a figure which her counsel argued to be valued at between $150,000 and $175,000 in today's currency). Based on all of that, he suggested a pre-trial loss of income at between $152,000 to $177,000. I cannot accept that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plaintiff is entitled to be compensated for her proven past wage loss as supported by the evidence. At the time of the accident she was working and historically had always worked in low-skilled part-time positions. Her preferred interest was her devotion as a wife and mother. Part-time work accommodated that value. At the time of the accident she was working at Safeway averaging 12 to 16 hours of work per week at $8.60 per hour. In 2003 she obtained work at the Pantry Restaurant in Chilliwack as a waitress and worked about three shifts per week for almost a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plaintiff made family life her priority. She even put her job on the line at certain times, such as when she was asked to work weekends and evenings at the Pantry. She testified that she was dismissed for resisting pressure to work at times when her husband would be home and she wanted to be there with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plaintiff's last day of work at the Pantry, November 29, 2003, was followed by a period of no outside work until September 23,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defendant points to the fact that the plaintiff's monthly income was augmented by $950 per month as a Federal disability payment, which is significantly greater than any wage she received while working, even if one counts the tips that she has not reported. The defendant recommends a nominal settlement at $5,000.00.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 agree with the defendant with respect to the plaintiff's record of employment, that she only ever worked part-time, and that particularly with the pension that she was receiving, there was no actual loss during that time. Disregarding the pension, to which counsel for the defendant does not object, I find that $6,000 per year for six years is the appropriate award for past wage loss in this case for a total of $36,000. That sum is to be adjusted to reflect new dollar value, and I leave that to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Brown and Golaiy</w:t>
      </w:r>
      <w:r>
        <w:rPr>
          <w:rFonts w:ascii="arial" w:eastAsia="arial" w:hAnsi="arial" w:cs="arial"/>
          <w:color w:val="000000"/>
          <w:sz w:val="20"/>
          <w:lang w:val="en-US" w:eastAsia="en-US" w:bidi="ar-SA"/>
        </w:rPr>
        <w:t xml:space="preserve"> </w:t>
      </w:r>
      <w:hyperlink r:id="rId41"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(S.C.) is a precedent considered in assessing future loss. The test is fourfold:</w:t>
      </w:r>
      <w:r>
        <w:rPr>
          <w:rFonts w:ascii="arial" w:eastAsia="arial" w:hAnsi="arial" w:cs="arial"/>
          <w:sz w:val="20"/>
          <w:lang w:val="en-US" w:eastAsia="en-US" w:bidi="ar-SA"/>
        </w:rPr>
        <w:cr/>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Has the plaintiff been rendered less capable overall from earning income from all types of employment?</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plaintiff less marketable or attractive as an employee or potential employer?</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Has the plaintiff lost ability to take advantage of all job opportunities which might otherwise have been open to him or her had he or she not been injured?</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plaintiff less valuable to herself or herself as a person capable of earning income in a competitive labour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same caution that applies to past wage loss applies to future loss of earning capacity. In my view, the capacity cannot simply be taken from statistics on earning power of people having generally the same abilities as the plaintiff without taking into account the peculiarities of the plaintiff. The plaintiff in this case may possibly have had the ability to become a pilot or some other worker much more highly paid than she was paid ever before in her life; but the plaintiff cannot claim recompense for money that she never earned or was not likely to earn. She never worked full-time out of the home in her life. In my opinion, this must be taken into account also.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34"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Garson J.A. held at para. 32: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plaintiff must </w:t>
      </w:r>
      <w:r>
        <w:rPr>
          <w:rFonts w:ascii="arial" w:eastAsia="arial" w:hAnsi="arial" w:cs="arial"/>
          <w:color w:val="000000"/>
          <w:sz w:val="20"/>
          <w:u w:val="single"/>
          <w:lang w:val="en-US" w:eastAsia="en-US" w:bidi="ar-SA"/>
        </w:rPr>
        <w:t>always</w:t>
      </w:r>
      <w:r>
        <w:rPr>
          <w:rFonts w:ascii="arial" w:eastAsia="arial" w:hAnsi="arial" w:cs="arial"/>
          <w:color w:val="000000"/>
          <w:sz w:val="20"/>
          <w:lang w:val="en-US" w:eastAsia="en-US" w:bidi="ar-SA"/>
        </w:rPr>
        <w:t xml:space="preserve"> prove ... that there is a real and substantial possibility of a future event leading to an income loss. If the plaintiff discharges the burden of proof, then depending upon the facts of the case, the plaintiff may prove the quantification of that loss of earning capacity, either on an earnings approach, as in </w:t>
      </w:r>
      <w:r>
        <w:rPr>
          <w:rFonts w:ascii="arial" w:eastAsia="arial" w:hAnsi="arial" w:cs="arial"/>
          <w:i/>
          <w:color w:val="000000"/>
          <w:sz w:val="20"/>
          <w:lang w:val="en-US" w:eastAsia="en-US" w:bidi="ar-SA"/>
        </w:rPr>
        <w:t>Steenblok</w:t>
      </w:r>
      <w:r>
        <w:rPr>
          <w:rFonts w:ascii="arial" w:eastAsia="arial" w:hAnsi="arial" w:cs="arial"/>
          <w:color w:val="000000"/>
          <w:sz w:val="20"/>
          <w:lang w:val="en-US" w:eastAsia="en-US" w:bidi="ar-SA"/>
        </w:rPr>
        <w:t xml:space="preserve">, </w:t>
      </w:r>
      <w:hyperlink r:id="rId107" w:history="1">
        <w:r>
          <w:rPr>
            <w:rFonts w:ascii="arial" w:eastAsia="arial" w:hAnsi="arial" w:cs="arial"/>
            <w:i/>
            <w:color w:val="0077CC"/>
            <w:sz w:val="20"/>
            <w:u w:val="single"/>
            <w:shd w:val="clear" w:color="auto" w:fill="FFFFFF"/>
            <w:lang w:val="en-US" w:eastAsia="en-US" w:bidi="ar-SA"/>
          </w:rPr>
          <w:t>[1990] B.C.J. No. 1158</w:t>
        </w:r>
      </w:hyperlink>
      <w:r>
        <w:rPr>
          <w:rFonts w:ascii="arial" w:eastAsia="arial" w:hAnsi="arial" w:cs="arial"/>
          <w:color w:val="000000"/>
          <w:sz w:val="20"/>
          <w:lang w:val="en-US" w:eastAsia="en-US" w:bidi="ar-SA"/>
        </w:rPr>
        <w:t xml:space="preserve">, or a capital asset approach as in </w:t>
      </w:r>
      <w:r>
        <w:rPr>
          <w:rFonts w:ascii="arial" w:eastAsia="arial" w:hAnsi="arial" w:cs="arial"/>
          <w:i/>
          <w:color w:val="000000"/>
          <w:sz w:val="20"/>
          <w:lang w:val="en-US" w:eastAsia="en-US" w:bidi="ar-SA"/>
        </w:rPr>
        <w:t>Brown.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Garson J. also held at para. 30: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Having reviewed all of these cases, I conclude that none of them are inconsistent with the basic principles articulated in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3"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Andrews v. Grand &amp; Toy Alberta Ltd.</w:t>
      </w:r>
      <w:r>
        <w:rPr>
          <w:rFonts w:ascii="arial" w:eastAsia="arial" w:hAnsi="arial" w:cs="arial"/>
          <w:color w:val="000000"/>
          <w:sz w:val="20"/>
          <w:lang w:val="en-US" w:eastAsia="en-US" w:bidi="ar-SA"/>
        </w:rPr>
        <w:t xml:space="preserve">, </w:t>
      </w:r>
      <w:hyperlink r:id="rId181"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These principles are:</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future or hypothetical possibility will be taken into consideration as long as it is a real and substantial possibility and not mere speculation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27], and</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not loss of earnings but, rather, loss of earning capacity for which compensation must be made [</w:t>
      </w:r>
      <w:r>
        <w:rPr>
          <w:rFonts w:ascii="arial" w:eastAsia="arial" w:hAnsi="arial" w:cs="arial"/>
          <w:i/>
          <w:color w:val="000000"/>
          <w:sz w:val="20"/>
          <w:lang w:val="en-US" w:eastAsia="en-US" w:bidi="ar-SA"/>
        </w:rPr>
        <w:t>Andrews</w:t>
      </w:r>
      <w:r>
        <w:rPr>
          <w:rFonts w:ascii="arial" w:eastAsia="arial" w:hAnsi="arial" w:cs="arial"/>
          <w:color w:val="000000"/>
          <w:sz w:val="20"/>
          <w:lang w:val="en-US" w:eastAsia="en-US" w:bidi="ar-SA"/>
        </w:rPr>
        <w:t xml:space="preserve"> at 251].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defendant further submits that the plaintiff has failed to prove as a substantial possibility that she intended to pursue any vocational career, other than at the level of waitressing or working as a cashier at the supermarket, and for more than half-time in any event. The defendant relies on the following cases in support:</w:t>
      </w:r>
      <w:r>
        <w:rPr>
          <w:rFonts w:ascii="arial" w:eastAsia="arial" w:hAnsi="arial" w:cs="arial"/>
          <w:sz w:val="20"/>
          <w:lang w:val="en-US" w:eastAsia="en-US" w:bidi="ar-SA"/>
        </w:rPr>
        <w:cr/>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Morrow v. Outerbridge,</w:t>
      </w:r>
      <w:r>
        <w:rPr>
          <w:rFonts w:ascii="arial" w:eastAsia="arial" w:hAnsi="arial" w:cs="arial"/>
          <w:color w:val="000000"/>
          <w:sz w:val="20"/>
          <w:lang w:val="en-US" w:eastAsia="en-US" w:bidi="ar-SA"/>
        </w:rPr>
        <w:t xml:space="preserve"> </w:t>
      </w:r>
      <w:hyperlink r:id="rId1002" w:history="1">
        <w:r>
          <w:rPr>
            <w:rFonts w:ascii="arial" w:eastAsia="arial" w:hAnsi="arial" w:cs="arial"/>
            <w:i/>
            <w:color w:val="0077CC"/>
            <w:sz w:val="20"/>
            <w:u w:val="single"/>
            <w:shd w:val="clear" w:color="auto" w:fill="FFFFFF"/>
            <w:lang w:val="en-US" w:eastAsia="en-US" w:bidi="ar-SA"/>
          </w:rPr>
          <w:t>2009 BCSC 433</w:t>
        </w:r>
      </w:hyperlink>
      <w:r>
        <w:rPr>
          <w:rFonts w:ascii="arial" w:eastAsia="arial" w:hAnsi="arial" w:cs="arial"/>
          <w:color w:val="000000"/>
          <w:sz w:val="20"/>
          <w:lang w:val="en-US" w:eastAsia="en-US" w:bidi="ar-SA"/>
        </w:rPr>
        <w:t xml:space="preserve">, </w:t>
      </w:r>
      <w:hyperlink r:id="rId1002" w:history="1">
        <w:r>
          <w:rPr>
            <w:rFonts w:ascii="arial" w:eastAsia="arial" w:hAnsi="arial" w:cs="arial"/>
            <w:i/>
            <w:color w:val="0077CC"/>
            <w:sz w:val="20"/>
            <w:u w:val="single"/>
            <w:shd w:val="clear" w:color="auto" w:fill="FFFFFF"/>
            <w:lang w:val="en-US" w:eastAsia="en-US" w:bidi="ar-SA"/>
          </w:rPr>
          <w:t>[2009] B.C.J. No. 640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(Morrow'");</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Mori v. Weeks,</w:t>
      </w:r>
      <w:r>
        <w:rPr>
          <w:rFonts w:ascii="arial" w:eastAsia="arial" w:hAnsi="arial" w:cs="arial"/>
          <w:color w:val="000000"/>
          <w:sz w:val="20"/>
          <w:lang w:val="en-US" w:eastAsia="en-US" w:bidi="ar-SA"/>
        </w:rPr>
        <w:t xml:space="preserve"> </w:t>
      </w:r>
      <w:hyperlink r:id="rId1003" w:history="1">
        <w:r>
          <w:rPr>
            <w:rFonts w:ascii="arial" w:eastAsia="arial" w:hAnsi="arial" w:cs="arial"/>
            <w:i/>
            <w:color w:val="0077CC"/>
            <w:sz w:val="20"/>
            <w:u w:val="single"/>
            <w:shd w:val="clear" w:color="auto" w:fill="FFFFFF"/>
            <w:lang w:val="en-US" w:eastAsia="en-US" w:bidi="ar-SA"/>
          </w:rPr>
          <w:t>2001 BCSC 1094</w:t>
        </w:r>
      </w:hyperlink>
      <w:r>
        <w:rPr>
          <w:rFonts w:ascii="arial" w:eastAsia="arial" w:hAnsi="arial" w:cs="arial"/>
          <w:color w:val="000000"/>
          <w:sz w:val="20"/>
          <w:lang w:val="en-US" w:eastAsia="en-US" w:bidi="ar-SA"/>
        </w:rPr>
        <w:t xml:space="preserve">, </w:t>
      </w:r>
      <w:hyperlink r:id="rId1003" w:history="1">
        <w:r>
          <w:rPr>
            <w:rFonts w:ascii="arial" w:eastAsia="arial" w:hAnsi="arial" w:cs="arial"/>
            <w:i/>
            <w:color w:val="0077CC"/>
            <w:sz w:val="20"/>
            <w:u w:val="single"/>
            <w:shd w:val="clear" w:color="auto" w:fill="FFFFFF"/>
            <w:lang w:val="en-US" w:eastAsia="en-US" w:bidi="ar-SA"/>
          </w:rPr>
          <w:t>[2001] B.C.J. No. 1688</w:t>
        </w:r>
      </w:hyperlink>
      <w:r>
        <w:rPr>
          <w:rFonts w:ascii="arial" w:eastAsia="arial" w:hAnsi="arial" w:cs="arial"/>
          <w:color w:val="000000"/>
          <w:sz w:val="20"/>
          <w:lang w:val="en-US" w:eastAsia="en-US" w:bidi="ar-SA"/>
        </w:rPr>
        <w:t>; and</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Henderson v. Lodge,</w:t>
      </w:r>
      <w:r>
        <w:rPr>
          <w:rFonts w:ascii="arial" w:eastAsia="arial" w:hAnsi="arial" w:cs="arial"/>
          <w:color w:val="000000"/>
          <w:sz w:val="20"/>
          <w:lang w:val="en-US" w:eastAsia="en-US" w:bidi="ar-SA"/>
        </w:rPr>
        <w:t xml:space="preserve"> </w:t>
      </w:r>
      <w:hyperlink r:id="rId1004" w:history="1">
        <w:r>
          <w:rPr>
            <w:rFonts w:ascii="arial" w:eastAsia="arial" w:hAnsi="arial" w:cs="arial"/>
            <w:i/>
            <w:color w:val="0077CC"/>
            <w:sz w:val="20"/>
            <w:u w:val="single"/>
            <w:shd w:val="clear" w:color="auto" w:fill="FFFFFF"/>
            <w:lang w:val="en-US" w:eastAsia="en-US" w:bidi="ar-SA"/>
          </w:rPr>
          <w:t>[1994] B.C.J. No. 126</w:t>
        </w:r>
      </w:hyperlink>
      <w:r>
        <w:rPr>
          <w:rFonts w:ascii="arial" w:eastAsia="arial" w:hAnsi="arial" w:cs="arial"/>
          <w:color w:val="000000"/>
          <w:sz w:val="20"/>
          <w:lang w:val="en-US" w:eastAsia="en-US" w:bidi="ar-SA"/>
        </w:rPr>
        <w:t xml:space="preserve"> (S.C.): aff'd </w:t>
      </w:r>
      <w:hyperlink r:id="rId1005" w:history="1">
        <w:r>
          <w:rPr>
            <w:rFonts w:ascii="arial" w:eastAsia="arial" w:hAnsi="arial" w:cs="arial"/>
            <w:i/>
            <w:color w:val="0077CC"/>
            <w:sz w:val="20"/>
            <w:u w:val="single"/>
            <w:shd w:val="clear" w:color="auto" w:fill="FFFFFF"/>
            <w:lang w:val="en-US" w:eastAsia="en-US" w:bidi="ar-SA"/>
          </w:rPr>
          <w:t>[1996] B.C.J. No. 573</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 agree that the plaintiff has failed to prove as a substantial possibility that she intended ever to pursue any career other than part-time waitressing or working as a cashier at Safeway. I find further that the plaintiff was unlikely to work past age 65 and unlikely to earn any remuneration more than the average part-time that she did before. That being so, the calculation is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28 years x $6,000 = $168,000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 leave it to counsel to calculate the appropriate adjustment for present dollar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plaintiff seeks an award for loss of homemaking capacity to reflect her reduced capacity to do her household tasks for past and future. In support of that claim she submits the following cases: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Fobel v. Dean</w:t>
      </w:r>
      <w:r>
        <w:rPr>
          <w:rFonts w:ascii="arial" w:eastAsia="arial" w:hAnsi="arial" w:cs="arial"/>
          <w:color w:val="000000"/>
          <w:sz w:val="20"/>
          <w:lang w:val="en-US" w:eastAsia="en-US" w:bidi="ar-SA"/>
        </w:rPr>
        <w:t xml:space="preserve"> </w:t>
      </w:r>
      <w:hyperlink r:id="rId186" w:history="1">
        <w:r>
          <w:rPr>
            <w:rFonts w:ascii="arial" w:eastAsia="arial" w:hAnsi="arial" w:cs="arial"/>
            <w:i/>
            <w:color w:val="0077CC"/>
            <w:sz w:val="20"/>
            <w:u w:val="single"/>
            <w:shd w:val="clear" w:color="auto" w:fill="FFFFFF"/>
            <w:lang w:val="en-US" w:eastAsia="en-US" w:bidi="ar-SA"/>
          </w:rPr>
          <w:t>(1991), 83 D.L.R. (4th) 385</w:t>
        </w:r>
      </w:hyperlink>
      <w:r>
        <w:rPr>
          <w:rFonts w:ascii="arial" w:eastAsia="arial" w:hAnsi="arial" w:cs="arial"/>
          <w:color w:val="000000"/>
          <w:sz w:val="20"/>
          <w:lang w:val="en-US" w:eastAsia="en-US" w:bidi="ar-SA"/>
        </w:rPr>
        <w:t xml:space="preserve"> (Sask. C.A.), </w:t>
      </w:r>
      <w:hyperlink r:id="rId186" w:history="1">
        <w:r>
          <w:rPr>
            <w:rFonts w:ascii="arial" w:eastAsia="arial" w:hAnsi="arial" w:cs="arial"/>
            <w:i/>
            <w:color w:val="0077CC"/>
            <w:sz w:val="20"/>
            <w:u w:val="single"/>
            <w:shd w:val="clear" w:color="auto" w:fill="FFFFFF"/>
            <w:lang w:val="en-US" w:eastAsia="en-US" w:bidi="ar-SA"/>
          </w:rPr>
          <w:t>[1991] S.J. No. 374</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McTavish v. MacGillvrary</w:t>
      </w:r>
      <w:r>
        <w:rPr>
          <w:rFonts w:ascii="arial" w:eastAsia="arial" w:hAnsi="arial" w:cs="arial"/>
          <w:color w:val="000000"/>
          <w:sz w:val="20"/>
          <w:lang w:val="en-US" w:eastAsia="en-US" w:bidi="ar-SA"/>
        </w:rPr>
        <w:t xml:space="preserve"> </w:t>
      </w:r>
      <w:hyperlink r:id="rId1006" w:history="1">
        <w:r>
          <w:rPr>
            <w:rFonts w:ascii="arial" w:eastAsia="arial" w:hAnsi="arial" w:cs="arial"/>
            <w:i/>
            <w:color w:val="0077CC"/>
            <w:sz w:val="20"/>
            <w:u w:val="single"/>
            <w:shd w:val="clear" w:color="auto" w:fill="FFFFFF"/>
            <w:lang w:val="en-US" w:eastAsia="en-US" w:bidi="ar-SA"/>
          </w:rPr>
          <w:t>(2000), 74 B.C.L.R. (3d) 281</w:t>
        </w:r>
      </w:hyperlink>
      <w:r>
        <w:rPr>
          <w:rFonts w:ascii="arial" w:eastAsia="arial" w:hAnsi="arial" w:cs="arial"/>
          <w:color w:val="000000"/>
          <w:sz w:val="20"/>
          <w:lang w:val="en-US" w:eastAsia="en-US" w:bidi="ar-SA"/>
        </w:rPr>
        <w:t xml:space="preserve"> (C.A.), </w:t>
      </w:r>
      <w:hyperlink r:id="rId1006" w:history="1">
        <w:r>
          <w:rPr>
            <w:rFonts w:ascii="arial" w:eastAsia="arial" w:hAnsi="arial" w:cs="arial"/>
            <w:i/>
            <w:color w:val="0077CC"/>
            <w:sz w:val="20"/>
            <w:u w:val="single"/>
            <w:shd w:val="clear" w:color="auto" w:fill="FFFFFF"/>
            <w:lang w:val="en-US" w:eastAsia="en-US" w:bidi="ar-SA"/>
          </w:rPr>
          <w:t>2000 BCCA 164</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Brisco v. Brisco</w:t>
      </w:r>
      <w:r>
        <w:rPr>
          <w:rFonts w:ascii="arial" w:eastAsia="arial" w:hAnsi="arial" w:cs="arial"/>
          <w:color w:val="000000"/>
          <w:sz w:val="20"/>
          <w:lang w:val="en-US" w:eastAsia="en-US" w:bidi="ar-SA"/>
        </w:rPr>
        <w:t xml:space="preserve"> (February 22, 2002), 38712 Kelowna Registry (B.C.S.C.), </w:t>
      </w:r>
      <w:hyperlink r:id="rId1007" w:history="1">
        <w:r>
          <w:rPr>
            <w:rFonts w:ascii="arial" w:eastAsia="arial" w:hAnsi="arial" w:cs="arial"/>
            <w:i/>
            <w:color w:val="0077CC"/>
            <w:sz w:val="20"/>
            <w:u w:val="single"/>
            <w:shd w:val="clear" w:color="auto" w:fill="FFFFFF"/>
            <w:lang w:val="en-US" w:eastAsia="en-US" w:bidi="ar-SA"/>
          </w:rPr>
          <w:t>2002 BCSC 293</w:t>
        </w:r>
      </w:hyperlink>
      <w:r>
        <w:rPr>
          <w:rFonts w:ascii="arial" w:eastAsia="arial" w:hAnsi="arial" w:cs="arial"/>
          <w:color w:val="000000"/>
          <w:sz w:val="20"/>
          <w:lang w:val="en-US" w:eastAsia="en-US" w:bidi="ar-SA"/>
        </w:rPr>
        <w:t>; and</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McIntyre v. Docherty</w:t>
      </w:r>
      <w:r>
        <w:rPr>
          <w:rFonts w:ascii="arial" w:eastAsia="arial" w:hAnsi="arial" w:cs="arial"/>
          <w:color w:val="000000"/>
          <w:sz w:val="20"/>
          <w:lang w:val="en-US" w:eastAsia="en-US" w:bidi="ar-SA"/>
        </w:rPr>
        <w:t xml:space="preserve"> </w:t>
      </w:r>
      <w:hyperlink r:id="rId1008" w:history="1">
        <w:r>
          <w:rPr>
            <w:rFonts w:ascii="arial" w:eastAsia="arial" w:hAnsi="arial" w:cs="arial"/>
            <w:i/>
            <w:color w:val="0077CC"/>
            <w:sz w:val="20"/>
            <w:u w:val="single"/>
            <w:shd w:val="clear" w:color="auto" w:fill="FFFFFF"/>
            <w:lang w:val="en-US" w:eastAsia="en-US" w:bidi="ar-SA"/>
          </w:rPr>
          <w:t>(2009), 308 D.L.R. (4th) 213</w:t>
        </w:r>
      </w:hyperlink>
      <w:r>
        <w:rPr>
          <w:rFonts w:ascii="arial" w:eastAsia="arial" w:hAnsi="arial" w:cs="arial"/>
          <w:color w:val="000000"/>
          <w:sz w:val="20"/>
          <w:lang w:val="en-US" w:eastAsia="en-US" w:bidi="ar-SA"/>
        </w:rPr>
        <w:t xml:space="preserve">, (Ont. C.A.), </w:t>
      </w:r>
      <w:hyperlink r:id="rId1008" w:history="1">
        <w:r>
          <w:rPr>
            <w:rFonts w:ascii="arial" w:eastAsia="arial" w:hAnsi="arial" w:cs="arial"/>
            <w:i/>
            <w:color w:val="0077CC"/>
            <w:sz w:val="20"/>
            <w:u w:val="single"/>
            <w:shd w:val="clear" w:color="auto" w:fill="FFFFFF"/>
            <w:lang w:val="en-US" w:eastAsia="en-US" w:bidi="ar-SA"/>
          </w:rPr>
          <w:t>2009 ONCA 448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plaintiff did not employ a replacement housekeeper before the accident when she was working out of the home. Before the accident, Ms. Ward did all the indoor household chores and some outdoor chores. Since February 2002 she has not been able to do the heavier chores and she is slower and less efficient than before. She currently receives 3 hours a week paid assistance for the heavier cleaning tasks. If Ms. Rutherford's recommendations are accepted this will be cut to 2 hours a week by July 2010. Ms. Rutherford also recommends assistance in the future with yard and home maintenance projects.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plaintiff seeks compensation for the cost of paid help in respect of certain tasks that she can no longer perform efficiently.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defendant has reviewed the plaintiff's list of future care costs and accepts the claim insofar as the following are concerned:</w:t>
      </w:r>
      <w:r>
        <w:rPr>
          <w:rFonts w:ascii="arial" w:eastAsia="arial" w:hAnsi="arial" w:cs="arial"/>
          <w:sz w:val="20"/>
          <w:lang w:val="en-US" w:eastAsia="en-US" w:bidi="ar-SA"/>
        </w:rPr>
        <w:cr/>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Risers for washer and dryer;</w:t>
      </w:r>
    </w:p>
    <w:p>
      <w:pPr>
        <w:numPr>
          <w:numId w:val="1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Personal trainer;</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Functional capacity evaluation;</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Psychiatric treatment; and</w:t>
      </w:r>
    </w:p>
    <w:p>
      <w:pPr>
        <w:numPr>
          <w:numId w:val="1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Nutritional consultation.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However, the defendant questions the plaintiff's claim for housekeeping and yard services. The defendant submits that many of the housekeeping services provided after the plaintiff's injuries were part of the usual "give and take" between family members and that to make a separate award for them would be excessive.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defendant submits that the plaintiff's injuries are not of a sufficient severity to warrant an award of future costs along the lines of the functional capacity reports of Shawna Rutherford. The authorities establish that there must be medical justification for cost of future care and the claims must be reasonable: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108"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aff'd </w:t>
      </w:r>
      <w:hyperlink r:id="rId109" w:history="1">
        <w:r>
          <w:rPr>
            <w:rFonts w:ascii="arial" w:eastAsia="arial" w:hAnsi="arial" w:cs="arial"/>
            <w:i/>
            <w:color w:val="0077CC"/>
            <w:sz w:val="20"/>
            <w:u w:val="single"/>
            <w:shd w:val="clear" w:color="auto" w:fill="FFFFFF"/>
            <w:lang w:val="en-US" w:eastAsia="en-US" w:bidi="ar-SA"/>
          </w:rPr>
          <w:t>(1987), 49 B.C.L.R. (2d) 99</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The defendant says also that it is important to distinguish the facts in this case from the quadriplegia cases. In those cases the plaintiff's claims were subject to the "ceiling" of non pecuniary damage awards from the 1978 Trilogy of Supreme Court of Canada cases: </w:t>
      </w:r>
      <w:r>
        <w:rPr>
          <w:rFonts w:ascii="arial" w:eastAsia="arial" w:hAnsi="arial" w:cs="arial"/>
          <w:i/>
          <w:color w:val="000000"/>
          <w:sz w:val="20"/>
          <w:lang w:val="en-US" w:eastAsia="en-US" w:bidi="ar-SA"/>
        </w:rPr>
        <w:t>Andrews v. Grand &amp; Toy Alberta Ltd.,</w:t>
      </w:r>
      <w:r>
        <w:rPr>
          <w:rFonts w:ascii="arial" w:eastAsia="arial" w:hAnsi="arial" w:cs="arial"/>
          <w:color w:val="000000"/>
          <w:sz w:val="20"/>
          <w:lang w:val="en-US" w:eastAsia="en-US" w:bidi="ar-SA"/>
        </w:rPr>
        <w:t xml:space="preserve"> </w:t>
      </w:r>
      <w:hyperlink r:id="rId181"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("Andrews")</w:t>
      </w:r>
      <w:r>
        <w:rPr>
          <w:rFonts w:ascii="arial" w:eastAsia="arial" w:hAnsi="arial" w:cs="arial"/>
          <w:color w:val="000000"/>
          <w:sz w:val="20"/>
          <w:lang w:val="en-US" w:eastAsia="en-US" w:bidi="ar-SA"/>
        </w:rPr>
        <w:t xml:space="preserve"> (also a quadriplegia case), </w:t>
      </w:r>
      <w:r>
        <w:rPr>
          <w:rFonts w:ascii="arial" w:eastAsia="arial" w:hAnsi="arial" w:cs="arial"/>
          <w:i/>
          <w:color w:val="000000"/>
          <w:sz w:val="20"/>
          <w:lang w:val="en-US" w:eastAsia="en-US" w:bidi="ar-SA"/>
        </w:rPr>
        <w:t>Arnold v. Teno,</w:t>
      </w:r>
      <w:r>
        <w:rPr>
          <w:rFonts w:ascii="arial" w:eastAsia="arial" w:hAnsi="arial" w:cs="arial"/>
          <w:color w:val="000000"/>
          <w:sz w:val="20"/>
          <w:lang w:val="en-US" w:eastAsia="en-US" w:bidi="ar-SA"/>
        </w:rPr>
        <w:t xml:space="preserve"> </w:t>
      </w:r>
      <w:hyperlink r:id="rId300" w:history="1">
        <w:r>
          <w:rPr>
            <w:rFonts w:ascii="arial" w:eastAsia="arial" w:hAnsi="arial" w:cs="arial"/>
            <w:i/>
            <w:color w:val="0077CC"/>
            <w:sz w:val="20"/>
            <w:u w:val="single"/>
            <w:shd w:val="clear" w:color="auto" w:fill="FFFFFF"/>
            <w:lang w:val="en-US" w:eastAsia="en-US" w:bidi="ar-SA"/>
          </w:rPr>
          <w:t>[1978] 2 S.C.R. 287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("Arnold")</w:t>
      </w:r>
      <w:r>
        <w:rPr>
          <w:rFonts w:ascii="arial" w:eastAsia="arial" w:hAnsi="arial" w:cs="arial"/>
          <w:color w:val="000000"/>
          <w:sz w:val="20"/>
          <w:lang w:val="en-US" w:eastAsia="en-US" w:bidi="ar-SA"/>
        </w:rPr>
        <w:t xml:space="preserve"> (also a quadriplegia case), and </w:t>
      </w:r>
      <w:r>
        <w:rPr>
          <w:rFonts w:ascii="arial" w:eastAsia="arial" w:hAnsi="arial" w:cs="arial"/>
          <w:i/>
          <w:color w:val="000000"/>
          <w:sz w:val="20"/>
          <w:lang w:val="en-US" w:eastAsia="en-US" w:bidi="ar-SA"/>
        </w:rPr>
        <w:t>Thornton v. Prince George School District No. 57,</w:t>
      </w:r>
      <w:r>
        <w:rPr>
          <w:rFonts w:ascii="arial" w:eastAsia="arial" w:hAnsi="arial" w:cs="arial"/>
          <w:color w:val="000000"/>
          <w:sz w:val="20"/>
          <w:lang w:val="en-US" w:eastAsia="en-US" w:bidi="ar-SA"/>
        </w:rPr>
        <w:t xml:space="preserve"> </w:t>
      </w:r>
      <w:hyperlink r:id="rId299" w:history="1">
        <w:r>
          <w:rPr>
            <w:rFonts w:ascii="arial" w:eastAsia="arial" w:hAnsi="arial" w:cs="arial"/>
            <w:i/>
            <w:color w:val="0077CC"/>
            <w:sz w:val="20"/>
            <w:u w:val="single"/>
            <w:shd w:val="clear" w:color="auto" w:fill="FFFFFF"/>
            <w:lang w:val="en-US" w:eastAsia="en-US" w:bidi="ar-SA"/>
          </w:rPr>
          <w:t>[1978] 2 S.C.R. 267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("Thornton")</w:t>
      </w:r>
      <w:r>
        <w:rPr>
          <w:rFonts w:ascii="arial" w:eastAsia="arial" w:hAnsi="arial" w:cs="arial"/>
          <w:color w:val="000000"/>
          <w:sz w:val="20"/>
          <w:lang w:val="en-US" w:eastAsia="en-US" w:bidi="ar-SA"/>
        </w:rPr>
        <w:t xml:space="preserve"> (collectively the "Trilogy"). </w:t>
      </w:r>
      <w:r>
        <w:rPr>
          <w:rFonts w:ascii="arial" w:eastAsia="arial" w:hAnsi="arial" w:cs="arial"/>
          <w:i/>
          <w:color w:val="000000"/>
          <w:sz w:val="20"/>
          <w:lang w:val="en-US" w:eastAsia="en-US" w:bidi="ar-SA"/>
        </w:rPr>
        <w:t>Milina</w:t>
      </w:r>
      <w:r>
        <w:rPr>
          <w:rFonts w:ascii="arial" w:eastAsia="arial" w:hAnsi="arial" w:cs="arial"/>
          <w:color w:val="000000"/>
          <w:sz w:val="20"/>
          <w:lang w:val="en-US" w:eastAsia="en-US" w:bidi="ar-SA"/>
        </w:rPr>
        <w:t xml:space="preserve"> also establishes that the facts of each case must be considered.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The law is now settled that loss of homemaking capacity is compensable. Huddart J.A. summarized it as follows in </w:t>
      </w:r>
      <w:r>
        <w:rPr>
          <w:rFonts w:ascii="arial" w:eastAsia="arial" w:hAnsi="arial" w:cs="arial"/>
          <w:i/>
          <w:color w:val="000000"/>
          <w:sz w:val="20"/>
          <w:lang w:val="en-US" w:eastAsia="en-US" w:bidi="ar-SA"/>
        </w:rPr>
        <w:t>McTavish v. MacGillivray</w:t>
      </w:r>
      <w:r>
        <w:rPr>
          <w:rFonts w:ascii="arial" w:eastAsia="arial" w:hAnsi="arial" w:cs="arial"/>
          <w:color w:val="000000"/>
          <w:sz w:val="20"/>
          <w:lang w:val="en-US" w:eastAsia="en-US" w:bidi="ar-SA"/>
        </w:rPr>
        <w:t xml:space="preserve">, </w:t>
      </w:r>
      <w:hyperlink r:id="rId1006" w:history="1">
        <w:r>
          <w:rPr>
            <w:rFonts w:ascii="arial" w:eastAsia="arial" w:hAnsi="arial" w:cs="arial"/>
            <w:i/>
            <w:color w:val="0077CC"/>
            <w:sz w:val="20"/>
            <w:u w:val="single"/>
            <w:shd w:val="clear" w:color="auto" w:fill="FFFFFF"/>
            <w:lang w:val="en-US" w:eastAsia="en-US" w:bidi="ar-SA"/>
          </w:rPr>
          <w:t>2000 BCCA 164</w:t>
        </w:r>
      </w:hyperlink>
      <w:r>
        <w:rPr>
          <w:rFonts w:ascii="arial" w:eastAsia="arial" w:hAnsi="arial" w:cs="arial"/>
          <w:color w:val="000000"/>
          <w:sz w:val="20"/>
          <w:lang w:val="en-US" w:eastAsia="en-US" w:bidi="ar-SA"/>
        </w:rPr>
        <w:t xml:space="preserve">, </w:t>
      </w:r>
      <w:hyperlink r:id="rId1006" w:history="1">
        <w:r>
          <w:rPr>
            <w:rFonts w:ascii="arial" w:eastAsia="arial" w:hAnsi="arial" w:cs="arial"/>
            <w:i/>
            <w:color w:val="0077CC"/>
            <w:sz w:val="20"/>
            <w:u w:val="single"/>
            <w:shd w:val="clear" w:color="auto" w:fill="FFFFFF"/>
            <w:lang w:val="en-US" w:eastAsia="en-US" w:bidi="ar-SA"/>
          </w:rPr>
          <w:t>74 B.C.L.R. (3d) 281</w:t>
        </w:r>
      </w:hyperlink>
      <w:r>
        <w:rPr>
          <w:rFonts w:ascii="arial" w:eastAsia="arial" w:hAnsi="arial" w:cs="arial"/>
          <w:color w:val="000000"/>
          <w:sz w:val="20"/>
          <w:lang w:val="en-US" w:eastAsia="en-US" w:bidi="ar-SA"/>
        </w:rPr>
        <w:t xml:space="preserve"> at para. 63: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we have seen, it is now well established that a plaintiff whose ability to perform housekeeping services is diminished in part or in whole ought to be compensated for that loss. It is equally well established that the loss of housekeeping capacity is the plaintiff's and not that of her family. When family members have gratuitously done the work the plaintiff can no longer do and the tasks they perform have a market value, that value provides a tangible indication of the loss the plaintiff has suffered and enables the court to assign a specific economic value in monetary terms to the loss. This does not mean the loss is that of the family members or that they are to be compensated. Their provision of services evidences the plaintiff's loss of capacity and provides a basis for valuing that loss. The loss remains the plaintiff's loss of economic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Kroeker v. Jansen</w:t>
      </w:r>
      <w:r>
        <w:rPr>
          <w:rFonts w:ascii="arial" w:eastAsia="arial" w:hAnsi="arial" w:cs="arial"/>
          <w:color w:val="000000"/>
          <w:sz w:val="20"/>
          <w:lang w:val="en-US" w:eastAsia="en-US" w:bidi="ar-SA"/>
        </w:rPr>
        <w:t xml:space="preserve"> </w:t>
      </w:r>
      <w:hyperlink r:id="rId187" w:history="1">
        <w:r>
          <w:rPr>
            <w:rFonts w:ascii="arial" w:eastAsia="arial" w:hAnsi="arial" w:cs="arial"/>
            <w:i/>
            <w:color w:val="0077CC"/>
            <w:sz w:val="20"/>
            <w:u w:val="single"/>
            <w:shd w:val="clear" w:color="auto" w:fill="FFFFFF"/>
            <w:lang w:val="en-US" w:eastAsia="en-US" w:bidi="ar-SA"/>
          </w:rPr>
          <w:t>(1995), 4 B.C.L.R. (3d) 178</w:t>
        </w:r>
      </w:hyperlink>
      <w:r>
        <w:rPr>
          <w:rFonts w:ascii="arial" w:eastAsia="arial" w:hAnsi="arial" w:cs="arial"/>
          <w:color w:val="000000"/>
          <w:sz w:val="20"/>
          <w:lang w:val="en-US" w:eastAsia="en-US" w:bidi="ar-SA"/>
        </w:rPr>
        <w:t xml:space="preserve">, </w:t>
      </w:r>
      <w:hyperlink r:id="rId187" w:history="1">
        <w:r>
          <w:rPr>
            <w:rFonts w:ascii="arial" w:eastAsia="arial" w:hAnsi="arial" w:cs="arial"/>
            <w:i/>
            <w:color w:val="0077CC"/>
            <w:sz w:val="20"/>
            <w:u w:val="single"/>
            <w:shd w:val="clear" w:color="auto" w:fill="FFFFFF"/>
            <w:lang w:val="en-US" w:eastAsia="en-US" w:bidi="ar-SA"/>
          </w:rPr>
          <w:t>123 D.L.R. (4th) 652</w:t>
        </w:r>
      </w:hyperlink>
      <w:r>
        <w:rPr>
          <w:rFonts w:ascii="arial" w:eastAsia="arial" w:hAnsi="arial" w:cs="arial"/>
          <w:color w:val="000000"/>
          <w:sz w:val="20"/>
          <w:lang w:val="en-US" w:eastAsia="en-US" w:bidi="ar-SA"/>
        </w:rPr>
        <w:t xml:space="preserve"> (C.A.), the majority held that loss of housekeeping capacity was compensable as damages distinct from non-pecuniary damages, and that where appropriate, such an award should be made regardless of whether help was acquired. As Gibbs J.A. put it at p. 183, "... housekeeping and other spousal services have economic value for which a claim by an injured party will lie even where those services are replaced gratuitously from within the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Housekeeping assistance has been calculated by Ms. Rutherford at $1,200 to July 2010 and $2,400 to $2,800 annually thereafter. Ms. Gibson suggested the following amounts for housekeeping assistance: $1,095 to $1,277.50 annually to age 55; $2,190 to $2,155 annually at age 56 to 65; and $1,095 to $1,277.50 annually from the age 66 to 75.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Taking into account the experts' evidence and the plaintiff's history, I would allow a large portion of the amounts claimed for housekeeping, yard and home maintenance assistance at $1,200 to July 10, 2010 ; $1,100 to age 55; and $2,200 from age 55 to 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 agree with the defendant that the cost of a vacuum robot is excessive, and a replacement vacuum is something that is a cost to people regardless of the person's state of health. I would allow a contribution of $600 towards the cost of a robot cleaner.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defendant relies on the following cases: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McTavish v. MacGillivrary,</w:t>
      </w:r>
      <w:r>
        <w:rPr>
          <w:rFonts w:ascii="arial" w:eastAsia="arial" w:hAnsi="arial" w:cs="arial"/>
          <w:color w:val="000000"/>
          <w:sz w:val="20"/>
          <w:lang w:val="en-US" w:eastAsia="en-US" w:bidi="ar-SA"/>
        </w:rPr>
        <w:t xml:space="preserve"> </w:t>
      </w:r>
      <w:hyperlink r:id="rId1006" w:history="1">
        <w:r>
          <w:rPr>
            <w:rFonts w:ascii="arial" w:eastAsia="arial" w:hAnsi="arial" w:cs="arial"/>
            <w:i/>
            <w:color w:val="0077CC"/>
            <w:sz w:val="20"/>
            <w:u w:val="single"/>
            <w:shd w:val="clear" w:color="auto" w:fill="FFFFFF"/>
            <w:lang w:val="en-US" w:eastAsia="en-US" w:bidi="ar-SA"/>
          </w:rPr>
          <w:t>2000 BCCA 164</w:t>
        </w:r>
      </w:hyperlink>
      <w:r>
        <w:rPr>
          <w:rFonts w:ascii="arial" w:eastAsia="arial" w:hAnsi="arial" w:cs="arial"/>
          <w:color w:val="000000"/>
          <w:sz w:val="20"/>
          <w:lang w:val="en-US" w:eastAsia="en-US" w:bidi="ar-SA"/>
        </w:rPr>
        <w:t xml:space="preserve">, </w:t>
      </w:r>
      <w:hyperlink r:id="rId1006" w:history="1">
        <w:r>
          <w:rPr>
            <w:rFonts w:ascii="arial" w:eastAsia="arial" w:hAnsi="arial" w:cs="arial"/>
            <w:i/>
            <w:color w:val="0077CC"/>
            <w:sz w:val="20"/>
            <w:u w:val="single"/>
            <w:shd w:val="clear" w:color="auto" w:fill="FFFFFF"/>
            <w:lang w:val="en-US" w:eastAsia="en-US" w:bidi="ar-SA"/>
          </w:rPr>
          <w:t>74 B.C.L.R. (3d) 281</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Poirier v. Aubrey,</w:t>
      </w:r>
      <w:r>
        <w:rPr>
          <w:rFonts w:ascii="arial" w:eastAsia="arial" w:hAnsi="arial" w:cs="arial"/>
          <w:color w:val="000000"/>
          <w:sz w:val="20"/>
          <w:lang w:val="en-US" w:eastAsia="en-US" w:bidi="ar-SA"/>
        </w:rPr>
        <w:t xml:space="preserve"> </w:t>
      </w:r>
      <w:hyperlink r:id="rId1009" w:history="1">
        <w:r>
          <w:rPr>
            <w:rFonts w:ascii="arial" w:eastAsia="arial" w:hAnsi="arial" w:cs="arial"/>
            <w:i/>
            <w:color w:val="0077CC"/>
            <w:sz w:val="20"/>
            <w:u w:val="single"/>
            <w:shd w:val="clear" w:color="auto" w:fill="FFFFFF"/>
            <w:lang w:val="en-US" w:eastAsia="en-US" w:bidi="ar-SA"/>
          </w:rPr>
          <w:t>2010 BCCA 266</w:t>
        </w:r>
      </w:hyperlink>
      <w:r>
        <w:rPr>
          <w:rFonts w:ascii="arial" w:eastAsia="arial" w:hAnsi="arial" w:cs="arial"/>
          <w:color w:val="000000"/>
          <w:sz w:val="20"/>
          <w:lang w:val="en-US" w:eastAsia="en-US" w:bidi="ar-SA"/>
        </w:rPr>
        <w:t xml:space="preserve">, </w:t>
      </w:r>
      <w:hyperlink r:id="rId1009" w:history="1">
        <w:r>
          <w:rPr>
            <w:rFonts w:ascii="arial" w:eastAsia="arial" w:hAnsi="arial" w:cs="arial"/>
            <w:i/>
            <w:color w:val="0077CC"/>
            <w:sz w:val="20"/>
            <w:u w:val="single"/>
            <w:shd w:val="clear" w:color="auto" w:fill="FFFFFF"/>
            <w:lang w:val="en-US" w:eastAsia="en-US" w:bidi="ar-SA"/>
          </w:rPr>
          <w:t>[2010] B.C.J. No. 990</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Smusz v. Wolfe Chevrolet Ltd.</w:t>
      </w:r>
      <w:r>
        <w:rPr>
          <w:rFonts w:ascii="arial" w:eastAsia="arial" w:hAnsi="arial" w:cs="arial"/>
          <w:color w:val="000000"/>
          <w:sz w:val="20"/>
          <w:lang w:val="en-US" w:eastAsia="en-US" w:bidi="ar-SA"/>
        </w:rPr>
        <w:t xml:space="preserve"> </w:t>
      </w:r>
      <w:hyperlink r:id="rId416" w:history="1">
        <w:r>
          <w:rPr>
            <w:rFonts w:ascii="arial" w:eastAsia="arial" w:hAnsi="arial" w:cs="arial"/>
            <w:i/>
            <w:color w:val="0077CC"/>
            <w:sz w:val="20"/>
            <w:u w:val="single"/>
            <w:shd w:val="clear" w:color="auto" w:fill="FFFFFF"/>
            <w:lang w:val="en-US" w:eastAsia="en-US" w:bidi="ar-SA"/>
          </w:rPr>
          <w:t>2010 BCSC 82</w:t>
        </w:r>
      </w:hyperlink>
      <w:r>
        <w:rPr>
          <w:rFonts w:ascii="arial" w:eastAsia="arial" w:hAnsi="arial" w:cs="arial"/>
          <w:color w:val="000000"/>
          <w:sz w:val="20"/>
          <w:lang w:val="en-US" w:eastAsia="en-US" w:bidi="ar-SA"/>
        </w:rPr>
        <w:t xml:space="preserve">, </w:t>
      </w:r>
      <w:hyperlink r:id="rId416" w:history="1">
        <w:r>
          <w:rPr>
            <w:rFonts w:ascii="arial" w:eastAsia="arial" w:hAnsi="arial" w:cs="arial"/>
            <w:i/>
            <w:color w:val="0077CC"/>
            <w:sz w:val="20"/>
            <w:u w:val="single"/>
            <w:shd w:val="clear" w:color="auto" w:fill="FFFFFF"/>
            <w:lang w:val="en-US" w:eastAsia="en-US" w:bidi="ar-SA"/>
          </w:rPr>
          <w:t>[2010] B.C.J. No. 114</w:t>
        </w:r>
      </w:hyperlink>
      <w:r>
        <w:rPr>
          <w:rFonts w:ascii="arial" w:eastAsia="arial" w:hAnsi="arial" w:cs="arial"/>
          <w:color w:val="000000"/>
          <w:sz w:val="20"/>
          <w:lang w:val="en-US" w:eastAsia="en-US" w:bidi="ar-SA"/>
        </w:rPr>
        <w:t>; and</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Dykeman v. Porohowski,</w:t>
      </w:r>
      <w:r>
        <w:rPr>
          <w:rFonts w:ascii="arial" w:eastAsia="arial" w:hAnsi="arial" w:cs="arial"/>
          <w:color w:val="000000"/>
          <w:sz w:val="20"/>
          <w:lang w:val="en-US" w:eastAsia="en-US" w:bidi="ar-SA"/>
        </w:rPr>
        <w:t xml:space="preserve"> </w:t>
      </w:r>
      <w:hyperlink r:id="rId1010" w:history="1">
        <w:r>
          <w:rPr>
            <w:rFonts w:ascii="arial" w:eastAsia="arial" w:hAnsi="arial" w:cs="arial"/>
            <w:i/>
            <w:color w:val="0077CC"/>
            <w:sz w:val="20"/>
            <w:u w:val="single"/>
            <w:shd w:val="clear" w:color="auto" w:fill="FFFFFF"/>
            <w:lang w:val="en-US" w:eastAsia="en-US" w:bidi="ar-SA"/>
          </w:rPr>
          <w:t>2010 BCCA 36</w:t>
        </w:r>
      </w:hyperlink>
      <w:r>
        <w:rPr>
          <w:rFonts w:ascii="arial" w:eastAsia="arial" w:hAnsi="arial" w:cs="arial"/>
          <w:color w:val="000000"/>
          <w:sz w:val="20"/>
          <w:lang w:val="en-US" w:eastAsia="en-US" w:bidi="ar-SA"/>
        </w:rPr>
        <w:t xml:space="preserve">, </w:t>
      </w:r>
      <w:hyperlink r:id="rId1010" w:history="1">
        <w:r>
          <w:rPr>
            <w:rFonts w:ascii="arial" w:eastAsia="arial" w:hAnsi="arial" w:cs="arial"/>
            <w:i/>
            <w:color w:val="0077CC"/>
            <w:sz w:val="20"/>
            <w:u w:val="single"/>
            <w:shd w:val="clear" w:color="auto" w:fill="FFFFFF"/>
            <w:lang w:val="en-US" w:eastAsia="en-US" w:bidi="ar-SA"/>
          </w:rPr>
          <w:t>[2010] B.C.J. No. 113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As for medication, Ms. Rutherford initially calculated medication cost of $9,554.37 including dispensing fees. Ms. Gibson was critical of the calculations and submits a revised calculation including gabapentin at $3,749.55 plus dispensing fees of $451.20 for a total of $4200.75.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 plaintiff submits that the annualized cost of medication is subject to negative contingencies including the expectation that the plaintiff may not require all of the medications currently listed. Besides that, the evidence indicates that the plaintiff may well require anti-depressants in the future. As well, the plaintiff agrees that she will be eligible for the PharmaCare government subsidy for prescription drugs, such that a reasonable estimation of annual medication costs would be $2,000.00. I accept that as a reasonable approximation of what is sufficient.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Ms. Rutherford recommends the neurostimulator hardware, but the defendant says this is based on limited information. It is based fundamentally, on an article written by Dr. Kumar, the surgeon who performed the plaintiff's neurostimulator implant surgery. The costs anticipated are based on her report which is, in turn, predicated on the plaintiff always having to attend at Regina, Saskatchewan for the surgical replacement or revision. The defendant submits that it is not evident that neurostimulators will be found to be effective generally. The one now used is only 20% effective, which is substantially less than the medical observers wished for. I accept the defendant's submission that an appropriate amount for the future neurostimulator costs is $45,000.00.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 request for a pool pass is an expense that the plaintiff likely would have incurred in part in any event, to keep up a healthy lifestyle; that or some other facility like a gymnasium ought to be considered and also the obligation of the plaintiff to do her best to get in shape ought to be considered. I favour the method adopted by the defendants in this regard, that there should be some contribution, but limited to two years. I would award, therefore, $150 for an annual pool pass for 2 years to allow the plaintiff to improve her fitness.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In summary, I make the following awards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660"/>
        <w:gridCol w:w="1987"/>
        <w:gridCol w:w="418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Non-Pecuniary Damages</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$150,000</w:t>
            </w:r>
          </w:p>
        </w:tc>
        <w:tc>
          <w:tcPr>
            <w:tcW w:w="409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346"/>
        <w:gridCol w:w="2405"/>
        <w:gridCol w:w="407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Damages</w:t>
            </w:r>
          </w:p>
        </w:tc>
        <w:tc>
          <w:tcPr>
            <w:tcW w:w="235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$6,731.63</w:t>
            </w:r>
          </w:p>
        </w:tc>
        <w:tc>
          <w:tcPr>
            <w:tcW w:w="399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555"/>
        <w:gridCol w:w="1987"/>
        <w:gridCol w:w="42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Past Loss of Income</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$36,000</w:t>
            </w:r>
          </w:p>
        </w:tc>
        <w:tc>
          <w:tcPr>
            <w:tcW w:w="419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392"/>
        <w:gridCol w:w="1255"/>
        <w:gridCol w:w="418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30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Loss of Future Earning Capacity</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$168,000</w:t>
            </w:r>
          </w:p>
        </w:tc>
        <w:tc>
          <w:tcPr>
            <w:tcW w:w="409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3869"/>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78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Housekeeping</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$1,200 to July 10,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2010</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7946"/>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778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$1,100/year to age 55</w:t>
            </w:r>
          </w:p>
        </w:tc>
        <w:tc>
          <w:tcPr>
            <w:tcW w:w="24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3240"/>
        <w:rPr>
          <w:rFonts w:ascii="arial" w:eastAsia="arial" w:hAnsi="arial" w:cs="arial"/>
          <w:sz w:val="20"/>
          <w:lang w:val="en-US" w:eastAsia="en-US" w:bidi="ar-SA"/>
        </w:rPr>
      </w:pPr>
      <w:r>
        <w:rPr>
          <w:rFonts w:ascii="arial" w:eastAsia="arial" w:hAnsi="arial" w:cs="arial"/>
          <w:color w:val="000000"/>
          <w:sz w:val="20"/>
          <w:lang w:val="en-US" w:eastAsia="en-US" w:bidi="ar-SA"/>
        </w:rPr>
        <w:t>$2,200/year age 56 to 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137"/>
        <w:gridCol w:w="1987"/>
        <w:gridCol w:w="470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Robot Cleaner</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$600</w:t>
            </w:r>
          </w:p>
        </w:tc>
        <w:tc>
          <w:tcPr>
            <w:tcW w:w="460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927"/>
        <w:gridCol w:w="4392"/>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86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Medication</w:t>
            </w:r>
          </w:p>
        </w:tc>
        <w:tc>
          <w:tcPr>
            <w:tcW w:w="430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$2,000/year to age 75</w:t>
            </w:r>
          </w:p>
        </w:tc>
        <w:tc>
          <w:tcPr>
            <w:tcW w:w="24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346"/>
        <w:gridCol w:w="2196"/>
        <w:gridCol w:w="42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Neurostimulator</w:t>
            </w:r>
          </w:p>
        </w:tc>
        <w:tc>
          <w:tcPr>
            <w:tcW w:w="215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$45,000</w:t>
            </w:r>
          </w:p>
        </w:tc>
        <w:tc>
          <w:tcPr>
            <w:tcW w:w="419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927"/>
        <w:gridCol w:w="2196"/>
        <w:gridCol w:w="470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86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Pool Pass</w:t>
            </w:r>
          </w:p>
        </w:tc>
        <w:tc>
          <w:tcPr>
            <w:tcW w:w="215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$300</w:t>
            </w:r>
          </w:p>
        </w:tc>
        <w:tc>
          <w:tcPr>
            <w:tcW w:w="460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 RICE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24" style="position:absolute;z-index:25185177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011"/>
          <w:headerReference w:type="default" r:id="rId1012"/>
          <w:footerReference w:type="even" r:id="rId1013"/>
          <w:footerReference w:type="default" r:id="rId1014"/>
          <w:headerReference w:type="first" r:id="rId1015"/>
          <w:footerReference w:type="first" r:id="rId101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17" w:history="1">
        <w:r>
          <w:rPr>
            <w:rFonts w:ascii="arial" w:eastAsia="arial" w:hAnsi="arial" w:cs="arial"/>
            <w:b/>
            <w:bCs/>
            <w:i/>
            <w:color w:val="0077CC"/>
            <w:kern w:val="32"/>
            <w:sz w:val="28"/>
            <w:szCs w:val="32"/>
            <w:u w:val="single"/>
            <w:shd w:val="clear" w:color="auto" w:fill="FFFFFF"/>
            <w:lang w:val="en-US" w:eastAsia="en-US" w:bidi="ar-SA"/>
          </w:rPr>
          <w:t>Tejani (Guardian ad litem of) v. Greenan, [2001] B.C.J. No. 1749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McEwan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30, 31 and June 1,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25,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B992071</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[2001] B.C.J. No. 1749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BCSC 803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108 A.C.W.S. (3d) 205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Navid Tejani, an infant by his Guardian ad litem, Nashir Tejani and the said Nashir Tejani, plaintiffs, and James Andrew Greenan, Nusrat Peerbhoy and Sherabu Tejani,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25" style="position:absolute;z-index:2517012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84" w:name="Keywords_39"/>
      <w:bookmarkEnd w:id="284"/>
      <w:r>
        <w:rPr>
          <w:rFonts w:ascii="arial" w:eastAsia="arial" w:hAnsi="arial" w:cs="arial"/>
          <w:b/>
          <w:color w:val="000000"/>
          <w:sz w:val="20"/>
          <w:lang w:val="en-US" w:eastAsia="en-US" w:bidi="ar-SA"/>
        </w:rPr>
        <w:t xml:space="preserve">Torts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 rules of the road — Intersections, turning left, right of way — Intersections, entering, traffic control signals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apportionment of liability.</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85" w:name="Case Summary_39"/>
            <w:bookmarkEnd w:id="28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infant, Tejani, for injuries sustained in a motor vehicle collision. The collision involved a car driven by his mother, Peerbhoy, and a truck driven by Greenan. Peerbhoy was travelling westbound and had slowed to turn left. As she turned in an intersection, her car was struck by Greenan's truck, which was travelling eastbound through the intersection. Peerbhoy had no memory of the circumstances leading to the collision. Greenan stated that his light was green when he was 20 feet from the intersection. He was not aware of Peerbhoy's vehicle until that time, when he tried to brake and steer out of its path. An independent witness stated that Greenan's light turned red at the moment of collision. Greenan admitted to travelling above the speed limit.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86" w:name="Holdings of Court_33"/>
            <w:bookmarkEnd w:id="286"/>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Greenan failed to meet his duty under the Motor Vehicle Act to stop his car. The evidence of the independent witness was accepted. Greenan had the benefit of the entire four seconds of the yellow light in which to stop his vehicle. However, the fact that his vehicle was not slowing down should have been apparent to Peerbhoy. She failed to take that hazard into account. Accordingly, liability for the collision was apportioned equally between Greenan and Peerbhoy.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87" w:name="Legislation Cited_26"/>
      <w:bookmarkEnd w:id="28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26" style="position:absolute;z-index:2517524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Motor Vehicle Act, ss. 128(1)(a), 146, 174.</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88" w:name="Counsel_41"/>
      <w:bookmarkEnd w:id="28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27" style="position:absolute;z-index:2518036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D.W. Gibbons, Q.C., and M.E. Sandford, for the plaintiffs. W.N. Fritz, for the defendants, Nusrat Peerbhoy and Sherbanu Tejani. A.D.C. Ross and D. Kozak, for the defendant, James Andrew Greenan.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89" w:name="Judgment_41"/>
      <w:bookmarkEnd w:id="289"/>
      <w:r>
        <w:pict>
          <v:line id="_x0000_s1228" style="position:absolute;z-index:25185280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90" w:name="McEWAN J."/>
            <w:bookmarkEnd w:id="290"/>
            <w:r>
              <w:rPr>
                <w:rFonts w:ascii="arial" w:eastAsia="arial" w:hAnsi="arial" w:cs="arial"/>
                <w:b/>
                <w:color w:val="000000"/>
                <w:sz w:val="30"/>
                <w:lang w:val="en-US" w:eastAsia="en-US" w:bidi="ar-SA"/>
              </w:rPr>
              <w:t>McEWAN J.</w:t>
            </w:r>
          </w:p>
        </w:tc>
      </w:tr>
    </w:tbl>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February 24, 1999 a motor vehicle operated by the defendant Nusrat Peerbhoy collided with a motor vehicle operated by the defendant James Andrew Greenan at the intersection of Cambie Road and Shell Road in Richmond, British Columbia. The infant plaintiff injured in the accident is the son of the defendant Peerbhoy. This trial is concerned only with the apportionment of liability between the operators of the two vehicles.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accident occurred shortly before 11:30 in the morning. The road surface was wet but none of the witnesses suggest that the conditions were unusually hazardous. Visibility was not a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evidence is that the vehicles collided when the defendant Peerbhoy's Toyota sedan crossed in front of a Ford pickup truck operated by the defendant Greenan. The Peerbhoy vehicle was making a left turn from a westbound left turn lane on Cambie Road going toward the southbound lane on Shell. The defendant Greenan was proceeding through, eastbound on Cambie. The speed limit was 50 kilometres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defendant Peerbhoy had a generally poor recollection of all of the significant events. She said she thought the light she was turning on was yellow. She said she did not see the defendant Greenan's pickup truck until it was upon her. There is medical evidence to the effect that she was seriously affected by the accident and suffers from a form of post-traumatic amnesia. I imply nothing adverse in saying that I find her evidence rather unhelpful.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Opinion evidence was introduced from a Mr. Nick Mihailoff, a professional engineer. It was his opinion, based on observations of the damage to the vehicles and their resting positions (taking account of an intervening collision with some roadside objects in the case of the Toyota) that the speeds of the vehicles at the time of collision were in the range of 25 to 27 kph for the Toyota, and between 66 and 74 kph for the pickup truck. Mr. Mihailoff's findings were not, in my view, effectively challenged.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There were three independent witnesses. One was a man named Kevin Goodhope. He is a professional driver for Purolator. He had just turned east onto Cambie Road from the north side of Shelbridge Road, which is the intersection west of the accident location. He had been stopped waiting for the traffic light on Shelbridge to turn green, so he could turn left. He completed his turn into the curb lane. This placed him behind the Greenan pickup truck, approaching the accident scene from the same direction. The Greenan vehicle was ahead, but in the inside lane. From this vantage Mr. Goodhope could see both the truck and the Toyota. Looking ahead to the next intersection he could see an amber traffic control light and immediately appreciated that there was going to be a collision. He said, "Get ready Barry this is going to be a good one!" to his passenger.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Goodhope was unable to estimate the speed of the Greenan vehicle. He said it made a quick jerking motion to the left just before impact. He thought the accident happened about where Mr. Mihailoff had assumed, in preparing a diagram of the accident scene, that is, as the Peerbhoy Toyota crossed into the lane in which the Greenan vehicle was proceeding through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He thought the Peerbhoy vehicle turned about 360 degrees in the air and that the Greenan vehicle turned about 180 degrees in the air after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the time he observed the scene, Mr. Goodhope was only aware of the Peerbhoy vehicle in motion. He could not say he had seen it stop at any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Goodhope said the light went red the instant the collision occurred. He agreed that on a previous occasion he had said the light had turned just after the impact. He said it was very close in time and agreed with counsel for the defendant Peerbhoy that it occurred within "the snap of a finger" relative to the collision. He acknowledged that in diagramming the scene he had earlier placed Mr. Greenan's vehicle in the wrong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Barry Kennedy was Mr. Goodhope's passenger. He was seated to his right. He recalled Mr. Greenan's "red truck" as the last vehicle through the Cambie intersection at Shelbridge Road while they waited for that light to turn green. It was in the "fast" or inside lane. He did not note anything out of the ordinary about it. Mr. Kennedy did not actually see the accident occur. He heard Mr. Goodhope say "Get ready Barry this is going to be a good one" and heard a sound. He saw the two vehicles only after they had collided, but while they were still in motion. He noticed that the traffic control light was red in the aftermath, although his observation could have been a matter of some seconds following the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 man named David Peel testified. He was travelling westbound on Cambie Street. He was in the far right lane approaching the intersection from the same direction as the Peerbhoy vehicle, two lanes over from the dedicated left turn lane. In that direction there is a warning set of lights east of the intersection in addition to the lights that control the intersection itself. Mr. Peel recalled seeing the light turn yellow and coming to a stop, then hearing skidding noises. He looked over in time to see that an accident had occurred. He had not noticed either vehicle before the impact. There was a vehicle ahead of him preparing to turn right. Mr. Peel recalled seeing the "railway" or first set of warning lights turn yellow.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defendant James Greenan testified that he was driving a 1969 Ford truck that was in good condition notwithstanding its age. His view straight ahead was not obstructed. He was travelling eastbound on Cambie road, having entered that road from Garden City Road some distance west. He was in the inside lane. He estimated his speed at up to 60 kilometres per hour. He said he was going with the flow and was not overtaking other vehicles. He said he looked up at the light at the intersection when he was 15 to 20 feet from it, and that it was green. He was not aware of the Peerbhoy vehicle until it was 15 to 20 feet in front of him. He says he braked quickly and tried to steer out of its path.</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duties on the two drivers in the circumstances are largely contained in two provisions of the Motor Vehicle Act. Section 174 governed the defendant Peerbhoy: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a vehicle is in an intersection and its driver intends to turn left, the driver must yield the right of way to traffic approaching from the opposite direction that is in the intersection or so close as to constitute an immediate hazard, but having yielded and given a signal as required by sections 171 and 172, the driver may turn the vehicle to the left, and traffic approaching the intersection from the opposite direction must yield the right of way to the vehicle making the left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Section 128(1)(a) governed the defendant Greenan: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a yellow light alone is exhibited at an intersection by a traffic control signal, following the exhibition of a green light,</w:t>
      </w:r>
    </w:p>
    <w:p>
      <w:pPr>
        <w:numPr>
          <w:numId w:val="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driver of a vehicle approaching the intersection and facing the yellow light must cause it to stop before entering the marked crosswalk on the near side of the intersection, or if there is no marked crosswalk, before entering the intersection, unless the stop cannot be made in safety.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In addition Mr. Greenan had the duty not to exceed 50 kilometres per hour found in Section 146, which he clearly admits having breached. Whether the breach constitutes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depends on the facts of the case. In Santos v. Raes, </w:t>
      </w:r>
      <w:hyperlink r:id="rId1018" w:history="1">
        <w:r>
          <w:rPr>
            <w:rFonts w:ascii="arial" w:eastAsia="arial" w:hAnsi="arial" w:cs="arial"/>
            <w:i/>
            <w:color w:val="0077CC"/>
            <w:sz w:val="20"/>
            <w:u w:val="single"/>
            <w:shd w:val="clear" w:color="auto" w:fill="FFFFFF"/>
            <w:lang w:val="en-US" w:eastAsia="en-US" w:bidi="ar-SA"/>
          </w:rPr>
          <w:t>[1998] B.C.J. No. 389</w:t>
        </w:r>
      </w:hyperlink>
      <w:r>
        <w:rPr>
          <w:rFonts w:ascii="arial" w:eastAsia="arial" w:hAnsi="arial" w:cs="arial"/>
          <w:color w:val="000000"/>
          <w:sz w:val="20"/>
          <w:lang w:val="en-US" w:eastAsia="en-US" w:bidi="ar-SA"/>
        </w:rPr>
        <w:t>, Mr. Justice Catliff made the following observation which is a helpful "starting point" in the assessment of speed as a factor in a motor vehicle collision: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While travelling with other traffic over the speed limit does not itself constitute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this case, it will constitute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if excessive speed probably prevented the defendant from taking reasonable measures to avoid the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hasten to say that this does not mean that the defendant is legally excused because he was simply keeping up with other traffic. All drivers who exceed the speed limit run the risk of being found liable if their speed has prevented them from taking reasonable evasive action to avoid an accident.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assessing the degree of responsibility of the defendant Peerbhoy for the collision, I am, as I have said, unassisted by reliable evidence from the defendant herself. She did not firmly recall the colour of the light when she commenced her turn, or whether she looked for oncoming traffic, or saw any, or whether she stopped before commencing her turn, or signalled. I think it evident, however, that in the absence of evidence suggesting some reason why the Greenan vehicle would not have been seen by a reasonable, prudent driver in the same position as the defendant Peerbhoy, there is a common sense inference in the circumstances that she failed to yield to an immediate hazard.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theory of the defendant Greenan is that that should be the end of the matter. He argues that speed is not relevant because it cannot be shown that it prevented him from taking evasive action. He argues that the need to take evasive action arose when the collision was imminent, because as the dominant driver Mr. Greenan was entitled to presume that the Peerbhoy vehicle would not enter his lane of travel.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This is only true, of course, if the defendant Greenan had a better right to be in the intersection than the defendant Peerbhoy.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This very much depends on whether the defendant Greenan had complied with his duty under Section 128.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There is a conflict on the evidence as to the colour of the light. If Mr. Greenan is correct, and the light was still green when he was only 15 to 20 feet away from the intersection, then he was properly in the intersection and the question as to any liability for the accident lying with him would turn solely on the question of whether he should, in the exercise of the prudence expected of a reasonable driver, have apprehended the possibility of a collision sooner, and taken some evasive action. In this regard the interpretation I put on his estimate that the Peerbhoy vehicle was fifteen to 20 feet away from him when he first noticed it, is that this in itself, suggests some want of care. This is reinforced by the fact that from a poorer vantage point further west of the intersection, Mr. Goodhope could see that a collision was about to occur and had time to utter his observation to Mr. Kennedy.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There is more, however. At Mr. Greenan's acknowledged speed of 60 kilometres per hour he was travelling 16.7 metres per second. This would have placed him some 67 metres away from the point of impact four seconds before the collision occurred. Four seconds was the duration of the yellow light.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Having weighed the evidence with respect to the colour of the light, I prefer that of Mr. Goodhope. None of the various ways he described the timing seriously undermines his observation that the light change and the collision occurred almost together. Of the other two witnesses, Mr. Kennedy could not be precise on this matter, but Mr. Peel, although he was coming from the opposite direction and had a turning vehicle in front of him, said he had slowed before the collision for the yellow light. I reject Mr. Greenan's evidence and accept as a fact that the controlling light turned red at about the same time as the collision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It follows from this that Mr. Greenan had time to fulfil the mandatory obligation imposed on him by Section 128(1)(a), and, at something like 60 to 67 metres, allowing that the light change may have been slightly after the impact, the room in which to bring his vehicle safely to a stop. This is established by the tables introduced in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Another way of characterizing what occurred is to say that Mr. Greenan had the benefit of virtually the whole four second warning period given by the yellow light. There was no evidence to suggest that the light was defective or its timing inappropriate. A finding of fact that the light changed as the collision occurred necessarily precludes the possibility that the light changed from green to yellow at a point where it would have been unsafe to react to it. There being no reliable suggestion that that is what happened, nor any suggestion the timing of the light was defective, the only reasonable inference is that Mr. Greenan, having the duration of the yellow warning light to react, failed to meet the clear duty imposed by Section 128.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Where such a breach is established, it is futile to talk of Mr. Greenan as the dominant driver. He had, under the circumstances, no right to be in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What part speed played in all of this is, I think, difficult to evaluate since the faster the Greenan vehicle was going, the further back it was from the intersection when the light turned yellow. Moreover the evidence supports an inference that the difference between Mr. Greenan's subjective sense of his own speed (up to 60 kilometres per hour) and the opinion derived from the engineering evidence (66 to 74 kilometres per hour) may be accounted for by acceleration in response to the yellow light, although it is not necessary to make that finding to decide this case.</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The law on this subject is particularly fact driven. On the facts I have found, the case of Kokkinis v. Hall, </w:t>
      </w:r>
      <w:hyperlink r:id="rId1019" w:history="1">
        <w:r>
          <w:rPr>
            <w:rFonts w:ascii="arial" w:eastAsia="arial" w:hAnsi="arial" w:cs="arial"/>
            <w:i/>
            <w:color w:val="0077CC"/>
            <w:sz w:val="20"/>
            <w:u w:val="single"/>
            <w:shd w:val="clear" w:color="auto" w:fill="FFFFFF"/>
            <w:lang w:val="en-US" w:eastAsia="en-US" w:bidi="ar-SA"/>
          </w:rPr>
          <w:t>[1996] B.C.J. No. 1560</w:t>
        </w:r>
      </w:hyperlink>
      <w:r>
        <w:rPr>
          <w:rFonts w:ascii="arial" w:eastAsia="arial" w:hAnsi="arial" w:cs="arial"/>
          <w:color w:val="000000"/>
          <w:sz w:val="20"/>
          <w:lang w:val="en-US" w:eastAsia="en-US" w:bidi="ar-SA"/>
        </w:rPr>
        <w:t xml:space="preserve"> (B.C.C.A.), is pertinent. There, liability for similar accident was apportioned 100% against a driver in the position to Mr. Greenan. This overturned a trial decision that had apportioned liability equally. There was evidence that the left turning driver had relied on the oncoming driver to stop. Madam Justice Newbury made the following observations at paragraph 10: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 . To say that the plaintiff can be found at fault because she relied on the assumption that Mr. Hall would stop, and because she checked cross-traffic, would in my view subvert the duty on Mr. Hall to bring his vehicle to a safe stop at the amber light as the other traffic did. An amber light is not, as the current witticism suggests, a signal to accelerate or to pass traffic that is slowing to a stop. Indeed, as Mr. Justice Esson noted in Uyeyama, </w:t>
      </w:r>
      <w:hyperlink r:id="rId1020" w:history="1">
        <w:r>
          <w:rPr>
            <w:rFonts w:ascii="arial" w:eastAsia="arial" w:hAnsi="arial" w:cs="arial"/>
            <w:i/>
            <w:color w:val="0077CC"/>
            <w:sz w:val="20"/>
            <w:u w:val="single"/>
            <w:shd w:val="clear" w:color="auto" w:fill="FFFFFF"/>
            <w:lang w:val="en-US" w:eastAsia="en-US" w:bidi="ar-SA"/>
          </w:rPr>
          <w:t>[1985] B.C.J. No. 1883</w:t>
        </w:r>
      </w:hyperlink>
      <w:r>
        <w:rPr>
          <w:rFonts w:ascii="arial" w:eastAsia="arial" w:hAnsi="arial" w:cs="arial"/>
          <w:color w:val="000000"/>
          <w:sz w:val="20"/>
          <w:lang w:val="en-US" w:eastAsia="en-US" w:bidi="ar-SA"/>
        </w:rPr>
        <w:t>, in a busy city like Vancouver and at a busy intersection like 25th and Granville, an amber is likely the only time one can complete a left turn. Drivers approaching intersections must expect that this will be occurring. Putting a burden on a left-turning driver to wait until he or she sees that all approaching drivers have stopped would, in my view, bring traffic to a standstill. We should not endorse such a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 have considered this case carefully as it applies to the matters I must decide. Here I have really no evidence as to the defendant Peerbhoy's specific exercise of care. This is not a case where, for instance, there were several lines of traffic to cross, and the exigencies of traffic must be weighed. I am of the view that the Greenan vehicle must have been visible, and the fact that it was not slowing down should have been apparent to a person in Ms. Peerbhoy's position. While a left turning driver does not have an obligation to ensure all traffic has stopped before proceeding on a yellow light, he or she must take account of manifest hazards. I do not think the right to assume other drivers will obey the law negates the duty to react to what is there to be seen. Accordingly, I am of the view that in the circumstances of this case liability ought to be divided.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 apportion responsibility for the collision equally between the defendants, 50% to Nusrat Peerbhoy and 50% to James Greenan.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Costs may be spoken to if counsel deem it necessary, but shall otherwise be dealt with as costs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McEWAN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29" style="position:absolute;z-index:25188966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021"/>
          <w:headerReference w:type="default" r:id="rId1022"/>
          <w:footerReference w:type="even" r:id="rId1023"/>
          <w:footerReference w:type="default" r:id="rId1024"/>
          <w:headerReference w:type="first" r:id="rId1025"/>
          <w:footerReference w:type="first" r:id="rId102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27" w:history="1">
        <w:r>
          <w:rPr>
            <w:rFonts w:ascii="arial" w:eastAsia="arial" w:hAnsi="arial" w:cs="arial"/>
            <w:b/>
            <w:bCs/>
            <w:i/>
            <w:color w:val="0077CC"/>
            <w:kern w:val="32"/>
            <w:sz w:val="28"/>
            <w:szCs w:val="32"/>
            <w:u w:val="single"/>
            <w:shd w:val="clear" w:color="auto" w:fill="FFFFFF"/>
            <w:lang w:val="en-US" w:eastAsia="en-US" w:bidi="ar-SA"/>
          </w:rPr>
          <w:t>Birkich (Litigation guardian of) v. Cantafio, [2016] B.C.J. No. 44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Kelowna,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D.A. Betton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27-30, November 2-6,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13,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49928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Vernon</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[2016] B.C.J. No. 44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028" w:history="1">
        <w:r>
          <w:rPr>
            <w:rFonts w:ascii="arial" w:eastAsia="arial" w:hAnsi="arial" w:cs="arial"/>
            <w:i/>
            <w:color w:val="0077CC"/>
            <w:sz w:val="20"/>
            <w:u w:val="single"/>
            <w:shd w:val="clear" w:color="auto" w:fill="FFFFFF"/>
            <w:lang w:val="en-US" w:eastAsia="en-US" w:bidi="ar-SA"/>
          </w:rPr>
          <w:t>2016 BCSC 40</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Wednesday Birkich, an Infant by her Litigation Guardian Dodi Sutton, Plaintiff, and Ralph Cantafio,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(143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30" style="position:absolute;z-index:2517022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91" w:name="Keywords_40"/>
      <w:bookmarkEnd w:id="291"/>
      <w:r>
        <w:rPr>
          <w:rFonts w:ascii="arial" w:eastAsia="arial" w:hAnsi="arial" w:cs="arial"/>
          <w:b/>
          <w:color w:val="000000"/>
          <w:sz w:val="20"/>
          <w:lang w:val="en-US" w:eastAsia="en-US" w:bidi="ar-SA"/>
        </w:rPr>
        <w:t>Damages — Types of damages — For personal injuries — Cost of future care — Loss of earning capacity — Non-pecuniary loss — Pain and suffering — Plaintiff awarded damages of $347,581 for injuries suffered in motor vehicle accident — Plaintiff, 17, sustained mild traumatic brain injury — Unrelated to accident, she encountered several significant personal challenges and psychosocial stressors after accident — $47,581 awarded for future care costs for medication, treatments and assistance — She had troubled childhood and left home at 13 — She left her job at Starbucks after accident — Plaintiff was awarded non-pecuniary damages of $125,000, $175,000 for loss of future earning capacity and $47,581 for future care costs for medication, treatments and assistance.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92" w:name="Case Summary_40"/>
            <w:bookmarkEnd w:id="29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Assessment of damages suffered in a motor vehicle accident. The 17-year-old plaintiff suffered a concussion in the accident. She had a difficult childhood and left home at age 13. After the incident, and unrelated to it, she encountered several significant personal challenges and psychosocial stressors. The principal lasting complaints were of headaches and dizziness, together with cognitive deficits, anxiety and depression. The plaintiff also claimed that she suffered from fibromyalgia and myofascial pain syndrome. At the time of the accident, the plaintiff worked at Starbucks. She had a grade eight education. She found herself unable to cope with the demands of the job after the accident and had not returned to work since. The plaintiff was now a single mother.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93" w:name="Holdings of Court_34"/>
            <w:bookmarkEnd w:id="293"/>
            <w:r>
              <w:rPr>
                <w:rFonts w:ascii="arial" w:eastAsia="arial" w:hAnsi="arial" w:cs="arial"/>
                <w:color w:val="000000"/>
                <w:sz w:val="20"/>
                <w:lang w:val="en-US" w:eastAsia="en-US" w:bidi="ar-SA"/>
              </w:rPr>
              <w:t>HELD: The plaintiff was awarded damages of $347,581.</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constellation of psychological and cognitive injuries and sequelae were indivisible. The injuries suffered in the motor vehicle incident were a necessary contributing cause for their development. The plaintiff did reasonably well prior to the accident. The motor vehicle incident initiated the constellation of symptoms that had plagued the plaintiff since. The plaintiff had not proved the existence of fibromyalgia and myofascial pain syndrome. The plaintiff aggravated her pre-existing left knee injury. Any aggravation of her knee condition caused by the motor vehicle incident was modest and had limited functional impact. She did suffer a concussion with a constellation of symptoms thereafter consistent with that injury, including headaches, nausea and dizziness. In addition, the plaintiff experienced typical behavioural or emotional symptoms of a mild traumatic brain injury, including depression, anxiety and cognitive deficiencies. The plaintiff generally minimized the significance and effect of the problems she faced or decisions she made prior to and after the incident and the impact her psychosocial stressors had on her emotional health. The court accepted the evidence that the plaintiff would improve when provided with appropriate future care, including an individual who could oversee the provision of services. The plaintiff was awarded non-pecuniary damages of $125,000 and $175,000 for loss of future earning capacity. The proper approach in this case was to award damages on a loss of capital asset approach. While there was clear evidence to support a finding of an ability to return to work, the plaintiff had proved a substantial possibility that her earning capacity was impaired. The degree of that was very difficult to identify due to her young age, her vulnerabilities that existed independent of the motor vehicle incident, the uncertain prospects for recovery and any resulting improvement in her employability. Given her resilience, the removal of some of the most significant psychosocial stressors very recently, the opinions regarding prospects for recovery and the allowances for care, the plaintiff would be able to return to work. The plaintiff was awarded $47,581 for future care costs for medication, treatments and assistance.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94" w:name="Legislation Cited_27"/>
      <w:bookmarkEnd w:id="29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31" style="position:absolute;z-index:2517534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Motor Vehicle Act, </w:t>
      </w:r>
      <w:hyperlink r:id="rId1029" w:history="1">
        <w:r>
          <w:rPr>
            <w:rFonts w:ascii="arial" w:eastAsia="arial" w:hAnsi="arial" w:cs="arial"/>
            <w:i/>
            <w:color w:val="0077CC"/>
            <w:sz w:val="20"/>
            <w:u w:val="single"/>
            <w:shd w:val="clear" w:color="auto" w:fill="FFFFFF"/>
            <w:lang w:val="en-US" w:eastAsia="en-US" w:bidi="ar-SA"/>
          </w:rPr>
          <w:t>R.S.B.C. 1996, c. 318, s. 179</w:t>
        </w:r>
      </w:hyperlink>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95" w:name="Counsel_42"/>
      <w:bookmarkEnd w:id="29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32" style="position:absolute;z-index:2518046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W. Dick; K.T. Grenier.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E.C. Hughes.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96" w:name="Judgment_42"/>
      <w:bookmarkEnd w:id="296"/>
      <w:r>
        <w:pict>
          <v:line id="_x0000_s1233" style="position:absolute;z-index:25185382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97" w:name="D.A. BETTON J._0"/>
            <w:bookmarkEnd w:id="297"/>
            <w:r>
              <w:rPr>
                <w:rFonts w:ascii="arial" w:eastAsia="arial" w:hAnsi="arial" w:cs="arial"/>
                <w:b/>
                <w:color w:val="000000"/>
                <w:sz w:val="30"/>
                <w:lang w:val="en-US" w:eastAsia="en-US" w:bidi="ar-SA"/>
              </w:rPr>
              <w:t>D.A. BETTON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seeks damages for injuries she received as a pedestrian when she was struck in a crosswalk by a pickup truck driven by the defendant. The defendant admits liability for the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principal injuries claimed are a mild traumatic brain injury ("MTBI") or concussion and psychological injury and/or conditions. There is no dispute that the plaintiff received a concussion.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was 17 years old at the time of the incident. She had a difficult childhood and left home at age 13. After the incident, and unrelated to it, she encountered several significant personal challenges and psychosocial stressors.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pre and post-incident events, together with the incident itself, have combined to create a difficult situation for the plaintiff. So too they give rise to challenges in understanding and identifying the compensable results of the motor vehicle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incident occurred on August 29, 2011, at approximately 2:00 p.m., as the plaintiff was walking to her work at Starbucks in Vernon, British Columbia. She was proceeding across a marked crosswalk on 27th Street when she was struck by a full-sized, Dodge pickup truck operated by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Based on photographic evidence, the plaintiff was thrown some distance from the crosswalk. Those photos show first responders and/or emergency health services at the scene attending to the plaintiff approximately 15-20 feet from the crosswalk. She was transported to Vernon Jubilee Hospital and released later that evening.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Observable injuries included abrasions to her left knee, right shoulder and a contusion to her right forehead. Her Glasgow Coma Scale score was 14 and there was no witnessed loss of consciousness. She was noted to be amnestic to the event. A CT scan of her head was negative. At discharge, the diagnosis was concussion and multiple contusions/abrasions.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did not have a family physician at the time of the incident and initial treatment after her discharge from hospital was through walk-in clinics. She first saw Dr. Poulin when he took her as a patient in his family practice on November 25, 2011. He has remained her family physician since.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addition to being followed by Dr. Poulin, the plaintiff has been assessed by numerous medical experts since the incident. Almost all of them have been retained as experts by either the plaintiff or the defendant in these proceedings. Those include Dr. Apel and Dr. Travlos, physiatrists; Dr. Rasmusen, psychiatrist; Dr. Kaushansky, neuropsychologist; Dr. Wallace, a rehabilitation psychologist in vocational rehabilitation; and Lydia Phillips and Mary-jo Mulgrew, occupational therapists. The plaintiff also received treatment from a psychologist, Dr. Patricia Neilson, and a kinesiologist, Tim Cooper, but no reports from them were entered into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Generally, the plaintiff recovered uneventfully from the abrasions and contusions.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She complains of some ongoing left knee symptoms and soft tissue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principal lasting complaints are of headaches and dizziness, together with cognitive deficits, anxiety and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 was born on February 17, 1994. Her childhood was marked by significant psychosocial events and stressors. Her parents separated when she was four years old and her father was not a part of her life thereafter. Her mother was not involved in positive and supportive relationships. Perhaps most dramatically, for two to three years between the ages of 11 and 13, the plaintiff was a victim of sexual abuse by her mother's former boyfriend. When the plaintiff disclosed the sexual abuse to her mother, her mother did not end the relationship with that boyfriend, prompting the plaintiff to leave her mother's home at the age of 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From that point to the date of the motor vehicle incident, the plaintiff had found refuse periodically in the home of a friend, Tamara Jensen. Tamara's mother, Jeannette Jensen, was a foster parent. The plaintiff did not, however, live consistently in the Jensen household. She left at points in time to live with other friends. At other points in time, she left to reside with her mother, but was always able to return to the Jensen home for some stability for varying lengths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 made an effort to connect with her father in December 2009, but that too was a negative experience.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 obtained Grade 8 education. While in school, issues of truancy arose. In addition, the plaintiff associated with some peers who were not positive influences. The extent to which the plaintiff consumed marihuana or other drugs or alcohol was the subject of some dispute. I will address the extent and relevance of this later in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At times prior to the motor vehicle incident, the plaintiff's struggle with her personal situation was more apparent than at others. She engaged in some self-harm which she referred to as "cutting". That led to an attendance at hospital on one occasion on August 24, 2009, apparently at the instigation of Ms. Jensen. The records indicate the presenting complaint was "suicidal thoughts". No clear evidence of any subsequent treatment or assessment is in evidence. The plaintiff thought that she attended some counselling but there are no records in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plaintiff was injured in a school skiing incident in 2006, where she suffered a concussion and a left knee injury. That included a fracture of the growth plate in her left knee, leaving her with some ongoing symptoms. The extent and severity of those symptoms was again the subject of some dispute, which I will also address later in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or about the fall of 2009, the plaintiff stayed for a period of time in Vernon, B.C. During that time, she lived with an aunt and then in a residence of her father's. Her efforts to reconnect with her father failed after it became apparent to her that he was a drug dealer living a very unhealthy lifestyle and unwilling or unable to provide a suitable home for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precise timing of her moves, the specific events that precipitated her moves and the sequence of those events is somewhat difficult to discern from the evidence. It is apparent, however, that the plaintiff spent time in 100 Mile House, where the Jensens lived, in Vernon, where her father lived, in Clinton, where her mother stayed for at least some time, and in Red Deer and Brooks, Alberta, with friends.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plaintiff did have employment prior to the motor vehicle incident. That included A&amp;W, Tim Horton's, Subway, Bargain Shop and Starbucks. All except Starbucks were very short in duration. Her employment at Starbucks was the employment she held at the time of the motor vehicle incident. She began there as a barista in Red Deer, Alberta, in the fall of 2010. She transferred to the Vernon Starbucks in the spring of 2011. She continued that employment to the time of the incident and was walking to work at the time that she was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plaintiff formed a relationship with Tyrell Lariviere after she moved to Vernon, but before the motor vehicle incident. They started dating in July 2011. At that time, he was not employed and had a son who was not living with him. The relationship with Mr. Lariviere was not a positive one, although that was not a well-established fact in the plaintiff's mind prior to the motor vehicle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Following her release from hospital after the incident, the plaintiff struggled to deal with her situation. She had limited finances, limited supports and the symptoms of headaches, dizziness and impaired cognition created challenges. As will be discussed in some detail below, these issues together with subsequent events led to psychological conditions including serious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She made an effort to return to work at Starbucks. That was over a period of approximately two months in October and November 2011. The plaintiff terminated that effort as she found herself unable to cope with the demands of the job. She has not returned to work since.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addition to the injuries, symptoms and issues attributed to the motor vehicle incident, the plaintiff has also experienced a number of psychosocial stressors since the motor vehicle incident. In or about December 2011, she learned that she was pregnant by Mr. Lariviere. Her son, Ty, was born on August 10,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plaintiff and Mr. Lariviere made a decision that they would also assume a parenting role for Mr. Lariviere's two-year old son, Kayden. Kayden began residing with them about 3 weeks after Ty was born. Kayden was a very challenging child to deal with, exhibiting a number of behavioural issues. The cause of those issues is not material, but to provide perspective, it is theorized that Kayden's mother may have been a methamphetamine user during pregnancy.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addition, the plaintiff's relationship with Mr. Lariviere deteriorated as it became apparent that Mr. Lariviere was not a supportive father. In fact, he was verbally abusive toward the plaintiff, provided little or no financial or parenting assistance and was not emotionally supportive.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plaintiff terminated her relationship with Mr. Lariviere in July 2014. Kayden remained in her care until April 2015. Initially the plaintiff moved into a transition house before finding a more permanent residence.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dates of the assessments by the various experts are as follows:</w:t>
      </w:r>
      <w:r>
        <w:rPr>
          <w:rFonts w:ascii="arial" w:eastAsia="arial" w:hAnsi="arial" w:cs="arial"/>
          <w:sz w:val="20"/>
          <w:lang w:val="en-US" w:eastAsia="en-US" w:bidi="ar-SA"/>
        </w:rPr>
        <w:cr/>
      </w:r>
    </w:p>
    <w:p>
      <w:pPr>
        <w:numPr>
          <w:numId w:val="1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Maryana Apel, Medical Legal Report dated February 12, 2013</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Ms. Lydia Phillips, Functional Capacity Evaluation and Cost of Future Care Report dated May 14, 2014</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Lee Rasmusen, Medical Legal Report dated May 20, 2014</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Andrew Travlos, Medical Legal Report dated May 23, 2014 and Addendum dated May 28, 2014</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Mel Kaushansky, Medical Legal Report dated March 31, 2015</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Gordon Wallace, Vocational Assessment dated June 24, 2015</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Brett Poulin, Medical Legal Report dated July 29, 2015</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Mary Jo Mulgrew, Cost of Future Care Rebuttal Report dated August 6, 2015</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Curtis Peever, Associated Economic Consulting, Future Loss of Earnings and Non-Wage Benefits Report dated September 15,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 and Positions of the Parties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Contributory </w:t>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As noted in the introduction, the defendant admits liability for the motor vehicle incident. He does, however, argue that the plaintiff is contributorily negligent on the basis that she did not fulfill her duty to act with due care for her own safety.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To support this argument the defence relies entirely upon a diagram of the accident scene drawn by the plaintiff in April 2012. The defendant says that that diagram suggests that the plaintiff was aware of the defendant's approaching vehicle when she entered the crosswalk and thereby failed to take reasonable care for her own safety and should be held to be between 10 and 20 percent responsible for her own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plaintiff argues that the diagram was drawn only on the strength of information from others and does not represent her own recollection of the incident. She says that she has no recollection of the incident or the events leading up to it and, as a result, there is no evidence to support the assertion that she was in fact aware of the defendant's approach to the intersection when she entered into the crosswalk.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Damages</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plaintiff says she received a MTBI. In addition, the plaintiff says that she has suffered a psychological/psychiatric injury which, in concert with her MTBI, has led to significant and ongoing headaches and dizziness, cognitive dysfunction and debilitating depression and anxiety. There are additional injuries claimed including chronic pain, myofascial pain syndrome and fibromyalgia, although the plaintiff did not vigorously pursue the existence or effect of these in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plaintiff says that applying the causation analysis established by the Supreme Court of Canada must result in a conclusion that the defendant is liable for all of the physical and emotional problems that the plaintiff has faced since the incident and will face into the future. Accordingly, she advances claims for non-pecuniary damages, loss of earnings capacity and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She says that she is and will remain competitively unemployable.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She is not advancing any claim for past loss of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parties have settled the claim for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defendant agrees that causation must be determined by applying the "but for" test, as articulated by the Supreme Court of Canada, but says that the plaintiff has not proved that the defendant caused the depression, anxiety or cognitive dysfunction. The defendant argues that those issues are a product of her pre and post-incident psychosocial stressors.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question raised by the parties is, in essence, whether:</w:t>
      </w:r>
      <w:r>
        <w:rPr>
          <w:rFonts w:ascii="arial" w:eastAsia="arial" w:hAnsi="arial" w:cs="arial"/>
          <w:sz w:val="20"/>
          <w:lang w:val="en-US" w:eastAsia="en-US" w:bidi="ar-SA"/>
        </w:rPr>
        <w:cr/>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was a resilient young women who, despite the challenges she faced, had managed to persevere and establish a productive and healthy trajectory that was derailed by the motor vehicle incident; or</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was struggling before the incident and had been unable to establish any stability and was destined to marginal success or even crumble under the weight of her life's circumstances even without the motor vehicle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In relation to the alleged conditions of fibromyalgia and myofascial pain syndrome, the defence says the plaintiff simply has not proved that she suffers from those conditions. Further or alternatively, the defendant says to the extent these conditions exist and were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they have resolved.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plaintiff says that she has been left with serious and debilitating symptoms that have seriously affected her life and are permanent. She says that she has become socially isolated with no real desire or ability to engage in meaningful relationships, including with her own son. She says that she cannot be a fully engaged parent or set the example for her son that she wishes to. She is unable to pursue employment or recreation in any meaningful way. She argues that, in those circumstances, non-pecuniary damages should be assessed in the range of $175,000 to $200,000.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defendant says that the plaintiff has recovered from the injuries that were caused by the motor vehicle incident, including her concussion and post-concussion syndrome, headaches associated with her injuries from the incident and the exacerbation of her pre-existing, left knee injury and any soft tissue injuries. He argues that a non-pecuniary damage award in the range of $85,000 to $95,000 is appropriate.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plaintiff says that the combined effect of her symptoms has been and continues to be to render her incapable of competitive employment. Based on her pre-incident employment and specifically and particularly with Starbucks, and her personality, she says she would have had a productive work life to age 70. She says she would have returned to the workforce when her son entered school. Relying on present value calculators as a frame of reference, the plaintiff says that an appropriate award for loss of earning capacity is $700,000.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defendant says that the plaintiff is physically capable of working. He also argues that the plaintiff's instability prior to the incident, her psychosocial situation and the developments after the incident that are not related to the incident indicate the plaintiff would not have been successful in pursuing employment, even if the incident had not occurred. He says the plaintiff's earnings capacity independent of the collision was modest.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defendant submits that the result is that if there is any established loss of earnings capacity, it is in the range of $50,000 to $75,000.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plaintiff relies on the opinions of the occupational therapist, Lydia Phillips, and the comments on her recommendations by Dr. Travlos. Dr. Travlos generally supported those recommendations but felt the level of assistance from a mother's helper in the long term was excessive. The plaintiff's actuarial report provides various calculations of present value based on the costs ranges provided by Ms. Phillips. The range of values depending on the scenarios provided by Ms. Phillips is from $28,596 to $199,236. All of these reports were completed prior to the plaintiff's separation from Mr. Lariviere and his 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plaintiff acknowledges that some adjustments to Ms. Phillips' recommendations are appropriate since she now has only her son in her care. The net present value of the costs claimed is $125,601.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defendant says that Ms. Phillips' opinions were formulated at the time when the plaintiff was still caring for Kayden and when her psychiatric and psychological condition was at its worst. Based on the defendant's position regarding causation, together with the evidence that suggests improvement in the plaintiff's psychosocial situation and supported by the opinions of Ms. Mulgrew, the defendant says that the future care plan is excessive. In addition, the defence argues that the plaintiff has clearly expressed a lack of interest in pursuing a number of the recommendations made by Ms. Phillips and, accordingly, a much more modest award is appropriate. The defendant says an appropriate award is $6,836.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defendant also argues that there should be a reduction in the plaintiff's award of 10 to 20 percent on the basis that she has failed to mitigate her losses by failing to follow the recommendations of her family physician and the experts retained on her behalf. This was acknowledged to be a difficult position to support on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Contributory </w:t>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Section 179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179 (1) Subject to section 180, the driver of a vehicle must yield the right of way to a pedestrian where traffic control signals are not in place or not in operation when the pedestrian is crossing the highway in a crosswalk and the pedestrian is on the half of the highway on which the vehicle is travelling, or is approaching so closely from the other half of the highway that he or she is in danger.</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pedestrian must not leave a curb or other place of safety and walk or run into the path of a vehicle that is so close it is impracticable for the driver to yield the right of way.</w:t>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a vehicle is slowing down or stopped at a crosswalk or at an intersection to permit a pedestrian to cross the highway, the driver of a vehicle approaching from the rear must not overtake and pass the vehicle that is slowing down or stopped.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A pedestrian who proceeds into a crosswalk must exercise due care. Section 179 places obligations on both the driver and the pedestrian to make assessments of their particular circumstances in deciding whether to proceed or yield.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Through excerpts of the defendant's examination for discovery which were read into evidence, the defendant confirmed that he did not apply his brakes until the impact with the plaintiff. He could not say whether the vehicle next to him proceeding in the same direction on the four-lane road was stopped or not. The plaintiff was wearing bright clothing, the visibility was good and she was in the crosswalk.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The defendant acknowledges that the only evidence upon which a finding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could be based is the diagram drawn by the plaintiff. The plaintiff was clear in her testimony that she could not say that the diagram represented the actual circumstances, as she does not remember what happened. It is my conclusion that it was a reconstruction based on the understanding of the incident that she formulated after the fact. The most compelling evidence of the plaintiff's amnesia is the hospital record on her admission. She has generally been consistent thereafter in reporting no memory of the actual incident but there are exceptions that she explains on the same basis as the diagram.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addition, the diagram suggests that there was a vehicle stopped in the curb lane with the defendant's vehicle approaching in the center lane creating an obligation on the defendant to yield.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Further, and even if I were to conclude the plaintiff did have a recollection of the incident, there is no basis to conclude that the defendant's vehicle was so close that it was impractical for the defendant to yield the right of way or, more generally, that the plaintiff proceeded incautiously.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The onus is upon the defendant to prove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evidence in support of the argument is simply not sufficient to discharge that burden.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3"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w:t>
      </w:r>
      <w:hyperlink r:id="rId13" w:history="1">
        <w:r>
          <w:rPr>
            <w:rFonts w:ascii="arial" w:eastAsia="arial" w:hAnsi="arial" w:cs="arial"/>
            <w:i/>
            <w:color w:val="0077CC"/>
            <w:sz w:val="20"/>
            <w:u w:val="single"/>
            <w:shd w:val="clear" w:color="auto" w:fill="FFFFFF"/>
            <w:lang w:val="en-US" w:eastAsia="en-US" w:bidi="ar-SA"/>
          </w:rPr>
          <w:t>140 D.L.R. (4th) 235</w:t>
        </w:r>
      </w:hyperlink>
      <w:r>
        <w:rPr>
          <w:rFonts w:ascii="arial" w:eastAsia="arial" w:hAnsi="arial" w:cs="arial"/>
          <w:color w:val="000000"/>
          <w:sz w:val="20"/>
          <w:lang w:val="en-US" w:eastAsia="en-US" w:bidi="ar-SA"/>
        </w:rPr>
        <w:t xml:space="preserve">, the Supreme Court of Canada confirmed that the objective of a damage award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to return the plaintiff to the position that she would have been in, absent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That is to say, to return her to her original position (at para. 32).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In this portion of the decision I will set out my conclusions as to which of the claimed injuries or conditions have been proved to exist and of those which have been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The most recent significant comment from the Supreme Court of Canada on causation is found in </w:t>
      </w:r>
      <w:r>
        <w:rPr>
          <w:rFonts w:ascii="arial" w:eastAsia="arial" w:hAnsi="arial" w:cs="arial"/>
          <w:i/>
          <w:color w:val="000000"/>
          <w:sz w:val="20"/>
          <w:lang w:val="en-US" w:eastAsia="en-US" w:bidi="ar-SA"/>
        </w:rPr>
        <w:t>Clements v. Clements</w:t>
      </w:r>
      <w:r>
        <w:rPr>
          <w:rFonts w:ascii="arial" w:eastAsia="arial" w:hAnsi="arial" w:cs="arial"/>
          <w:color w:val="000000"/>
          <w:sz w:val="20"/>
          <w:lang w:val="en-US" w:eastAsia="en-US" w:bidi="ar-SA"/>
        </w:rPr>
        <w:t xml:space="preserve">, </w:t>
      </w:r>
      <w:hyperlink r:id="rId11" w:history="1">
        <w:r>
          <w:rPr>
            <w:rFonts w:ascii="arial" w:eastAsia="arial" w:hAnsi="arial" w:cs="arial"/>
            <w:i/>
            <w:color w:val="0077CC"/>
            <w:sz w:val="20"/>
            <w:u w:val="single"/>
            <w:shd w:val="clear" w:color="auto" w:fill="FFFFFF"/>
            <w:lang w:val="en-US" w:eastAsia="en-US" w:bidi="ar-SA"/>
          </w:rPr>
          <w:t>2012 SCC 32</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 The test for showing causation is the "but for" test. The plaintiff must show on a balance of probabilities that "but for" the defendant's negligent act, the injury would not have occurred. Inherent in the phrase "but for" is the requirement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w:t>
      </w:r>
      <w:r>
        <w:rPr>
          <w:rFonts w:ascii="arial" w:eastAsia="arial" w:hAnsi="arial" w:cs="arial"/>
          <w:i/>
          <w:color w:val="000000"/>
          <w:sz w:val="20"/>
          <w:lang w:val="en-US" w:eastAsia="en-US" w:bidi="ar-SA"/>
        </w:rPr>
        <w:t>necessary</w:t>
      </w:r>
      <w:r>
        <w:rPr>
          <w:rFonts w:ascii="arial" w:eastAsia="arial" w:hAnsi="arial" w:cs="arial"/>
          <w:color w:val="000000"/>
          <w:sz w:val="20"/>
          <w:lang w:val="en-US" w:eastAsia="en-US" w:bidi="ar-SA"/>
        </w:rPr>
        <w:t xml:space="preserve"> to bring about the injury -- in other words that the injury would not have occurred without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This is a factual inquiry. If the plaintiff does not establish this on a balance of probabilities, having regard to all the evidence, her action against the defendant fails.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 The "but for" causation test must be applied in a robust common sense fashion. There is no need for scientific evidence of the precise contribution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made to the inquiry. See </w:t>
      </w:r>
      <w:r>
        <w:rPr>
          <w:rFonts w:ascii="arial" w:eastAsia="arial" w:hAnsi="arial" w:cs="arial"/>
          <w:i/>
          <w:color w:val="000000"/>
          <w:sz w:val="20"/>
          <w:lang w:val="en-US" w:eastAsia="en-US" w:bidi="ar-SA"/>
        </w:rPr>
        <w:t>Wilsher v. Essex Area Health Authority</w:t>
      </w:r>
      <w:r>
        <w:rPr>
          <w:rFonts w:ascii="arial" w:eastAsia="arial" w:hAnsi="arial" w:cs="arial"/>
          <w:color w:val="000000"/>
          <w:sz w:val="20"/>
          <w:lang w:val="en-US" w:eastAsia="en-US" w:bidi="ar-SA"/>
        </w:rPr>
        <w:t xml:space="preserve">, [1988] A.C. 1074 (H.L.), at p. 1090,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Lord Bridge; </w:t>
      </w:r>
      <w:r>
        <w:rPr>
          <w:rFonts w:ascii="arial" w:eastAsia="arial" w:hAnsi="arial" w:cs="arial"/>
          <w:i/>
          <w:color w:val="000000"/>
          <w:sz w:val="20"/>
          <w:lang w:val="en-US" w:eastAsia="en-US" w:bidi="ar-SA"/>
        </w:rPr>
        <w:t>Snell v. Farrell</w:t>
      </w:r>
      <w:r>
        <w:rPr>
          <w:rFonts w:ascii="arial" w:eastAsia="arial" w:hAnsi="arial" w:cs="arial"/>
          <w:color w:val="000000"/>
          <w:sz w:val="20"/>
          <w:lang w:val="en-US" w:eastAsia="en-US" w:bidi="ar-SA"/>
        </w:rPr>
        <w:t xml:space="preserve">, </w:t>
      </w:r>
      <w:hyperlink r:id="rId12" w:history="1">
        <w:r>
          <w:rPr>
            <w:rFonts w:ascii="arial" w:eastAsia="arial" w:hAnsi="arial" w:cs="arial"/>
            <w:i/>
            <w:color w:val="0077CC"/>
            <w:sz w:val="20"/>
            <w:u w:val="single"/>
            <w:shd w:val="clear" w:color="auto" w:fill="FFFFFF"/>
            <w:lang w:val="en-US" w:eastAsia="en-US" w:bidi="ar-SA"/>
          </w:rPr>
          <w:t>[1990] 2 S.C.R. 311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Applying this test to specific circumstances can be challenging. This case requires the analysis of the effect of events subsequent to the negligent act that have aggravated or contributed to the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An injury is said to be indivisible if it cannot be divided into distinct parts. Where there are multiple tortfeasors causing or contributing to a single indivisible injury, they are jointly liable to the plaintiff (</w:t>
      </w:r>
      <w:r>
        <w:rPr>
          <w:rFonts w:ascii="arial" w:eastAsia="arial" w:hAnsi="arial" w:cs="arial"/>
          <w:i/>
          <w:color w:val="000000"/>
          <w:sz w:val="20"/>
          <w:lang w:val="en-US" w:eastAsia="en-US" w:bidi="ar-SA"/>
        </w:rPr>
        <w:t>Bradley v. Groves</w:t>
      </w:r>
      <w:r>
        <w:rPr>
          <w:rFonts w:ascii="arial" w:eastAsia="arial" w:hAnsi="arial" w:cs="arial"/>
          <w:color w:val="000000"/>
          <w:sz w:val="20"/>
          <w:lang w:val="en-US" w:eastAsia="en-US" w:bidi="ar-SA"/>
        </w:rPr>
        <w:t xml:space="preserve">, </w:t>
      </w:r>
      <w:hyperlink r:id="rId1030" w:history="1">
        <w:r>
          <w:rPr>
            <w:rFonts w:ascii="arial" w:eastAsia="arial" w:hAnsi="arial" w:cs="arial"/>
            <w:i/>
            <w:color w:val="0077CC"/>
            <w:sz w:val="20"/>
            <w:u w:val="single"/>
            <w:shd w:val="clear" w:color="auto" w:fill="FFFFFF"/>
            <w:lang w:val="en-US" w:eastAsia="en-US" w:bidi="ar-SA"/>
          </w:rPr>
          <w:t>2010 BCCA 361</w:t>
        </w:r>
      </w:hyperlink>
      <w:r>
        <w:rPr>
          <w:rFonts w:ascii="arial" w:eastAsia="arial" w:hAnsi="arial" w:cs="arial"/>
          <w:color w:val="000000"/>
          <w:sz w:val="20"/>
          <w:lang w:val="en-US" w:eastAsia="en-US" w:bidi="ar-SA"/>
        </w:rPr>
        <w:t xml:space="preserve"> at paras. 34, 37, leave to appeal ref'd </w:t>
      </w:r>
      <w:hyperlink r:id="rId1031" w:history="1">
        <w:r>
          <w:rPr>
            <w:rFonts w:ascii="arial" w:eastAsia="arial" w:hAnsi="arial" w:cs="arial"/>
            <w:i/>
            <w:color w:val="0077CC"/>
            <w:sz w:val="20"/>
            <w:u w:val="single"/>
            <w:shd w:val="clear" w:color="auto" w:fill="FFFFFF"/>
            <w:lang w:val="en-US" w:eastAsia="en-US" w:bidi="ar-SA"/>
          </w:rPr>
          <w:t>[2010] SCCA No. 337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This case involves the interaction of the injuries caused by the defendant and non-tortious events. A case which bears some similarity on its facts and addresses the causation analysis in such a context is </w:t>
      </w:r>
      <w:r>
        <w:rPr>
          <w:rFonts w:ascii="arial" w:eastAsia="arial" w:hAnsi="arial" w:cs="arial"/>
          <w:i/>
          <w:color w:val="000000"/>
          <w:sz w:val="20"/>
          <w:lang w:val="en-US" w:eastAsia="en-US" w:bidi="ar-SA"/>
        </w:rPr>
        <w:t>Zhang v. Law</w:t>
      </w:r>
      <w:r>
        <w:rPr>
          <w:rFonts w:ascii="arial" w:eastAsia="arial" w:hAnsi="arial" w:cs="arial"/>
          <w:color w:val="000000"/>
          <w:sz w:val="20"/>
          <w:lang w:val="en-US" w:eastAsia="en-US" w:bidi="ar-SA"/>
        </w:rPr>
        <w:t xml:space="preserve">, </w:t>
      </w:r>
      <w:hyperlink r:id="rId1032" w:history="1">
        <w:r>
          <w:rPr>
            <w:rFonts w:ascii="arial" w:eastAsia="arial" w:hAnsi="arial" w:cs="arial"/>
            <w:i/>
            <w:color w:val="0077CC"/>
            <w:sz w:val="20"/>
            <w:u w:val="single"/>
            <w:shd w:val="clear" w:color="auto" w:fill="FFFFFF"/>
            <w:lang w:val="en-US" w:eastAsia="en-US" w:bidi="ar-SA"/>
          </w:rPr>
          <w:t>2009 BCSC 991</w:t>
        </w:r>
      </w:hyperlink>
      <w:r>
        <w:rPr>
          <w:rFonts w:ascii="arial" w:eastAsia="arial" w:hAnsi="arial" w:cs="arial"/>
          <w:color w:val="000000"/>
          <w:sz w:val="20"/>
          <w:lang w:val="en-US" w:eastAsia="en-US" w:bidi="ar-SA"/>
        </w:rPr>
        <w:t>. There, the plaintiff suffered a MTBI in a motor vehicle collision and after that experienced some significant psychosocial stressors. The court noted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[67] In the period between March 4, 2001 and December 2002, Ms. Zhang had been injured in the motor vehicle accident which caused her virtually constant pain and which she believed caused her cognitive difficulties, had learned that her husband had a life threatening heart condition, had lost a child after being pregnant for 8 months, and had terminated a subsequent pregnancy for medical reasons. In my view the depression which either developed or became acute in late 2002 was caused by a combination of the above factors. All of the doctors who testified agreed that chronic pain and MTBI are significant risk factors for depression. I conclude that the depression was an indivisible injury and that the injuries suffered in the motor vehicle accident were a necessary contributing cause of the depression.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[73] Before turning to a discussion of damages I will briefly address the legal arguments made before me. Mr. Murray's primary submission was that the depression suffered by Ms. Zhang was not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defendants. In my view this case is governed by the principles enunciated in the Supreme Court of Canada in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3"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On the issue of causation I have already found that the injuries suffered in the motor vehicle accident were a necessary cause of the depression. To paraphrase paragraph 41 of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I have found that it was necessary to have both the injuries from the accident and the non-tortious causes for the depression to occur. As in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I have concluded that it was the combination of the accident, the effect of Mr. Chen's illness, the loss of the foetus and the termination of the second pregnancy which caused the major and continuing depression. The depression and continuing depressive symptoms are, in my opinion, an indivisible injury. The other sources of Ms. Zhang's difficulties, soft tissue injury and MTBI, are of course entirely attributable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Another case that shares similar issues but led to a very different result is </w:t>
      </w:r>
      <w:r>
        <w:rPr>
          <w:rFonts w:ascii="arial" w:eastAsia="arial" w:hAnsi="arial" w:cs="arial"/>
          <w:i/>
          <w:color w:val="000000"/>
          <w:sz w:val="20"/>
          <w:lang w:val="en-US" w:eastAsia="en-US" w:bidi="ar-SA"/>
        </w:rPr>
        <w:t>Thiessen v. Kover</w:t>
      </w:r>
      <w:r>
        <w:rPr>
          <w:rFonts w:ascii="arial" w:eastAsia="arial" w:hAnsi="arial" w:cs="arial"/>
          <w:color w:val="000000"/>
          <w:sz w:val="20"/>
          <w:lang w:val="en-US" w:eastAsia="en-US" w:bidi="ar-SA"/>
        </w:rPr>
        <w:t xml:space="preserve">, </w:t>
      </w:r>
      <w:hyperlink r:id="rId1033" w:history="1">
        <w:r>
          <w:rPr>
            <w:rFonts w:ascii="arial" w:eastAsia="arial" w:hAnsi="arial" w:cs="arial"/>
            <w:i/>
            <w:color w:val="0077CC"/>
            <w:sz w:val="20"/>
            <w:u w:val="single"/>
            <w:shd w:val="clear" w:color="auto" w:fill="FFFFFF"/>
            <w:lang w:val="en-US" w:eastAsia="en-US" w:bidi="ar-SA"/>
          </w:rPr>
          <w:t>2008 BCSC 1445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Thiessen</w:t>
      </w:r>
      <w:r>
        <w:rPr>
          <w:rFonts w:ascii="arial" w:eastAsia="arial" w:hAnsi="arial" w:cs="arial"/>
          <w:color w:val="000000"/>
          <w:sz w:val="20"/>
          <w:lang w:val="en-US" w:eastAsia="en-US" w:bidi="ar-SA"/>
        </w:rPr>
        <w:t>). It provides a useful summary of law: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[136] As I have already stated at the beginning of these reasons, the basic test for determining causation remains the "but for" test. This applies to multi-cause injuries (</w:t>
      </w:r>
      <w:r>
        <w:rPr>
          <w:rFonts w:ascii="arial" w:eastAsia="arial" w:hAnsi="arial" w:cs="arial"/>
          <w:b/>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3"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paras. 13-14). Throughout, the plaintiff bears the burden of showing that "but for" the negligent act or omission of a defendant, the injury would not have occurred.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[137] In the recent decision of </w:t>
      </w:r>
      <w:r>
        <w:rPr>
          <w:rFonts w:ascii="arial" w:eastAsia="arial" w:hAnsi="arial" w:cs="arial"/>
          <w:b/>
          <w:i/>
          <w:color w:val="000000"/>
          <w:sz w:val="20"/>
          <w:lang w:val="en-US" w:eastAsia="en-US" w:bidi="ar-SA"/>
        </w:rPr>
        <w:t>Hanke v. Resurfice Corp</w:t>
      </w:r>
      <w:r>
        <w:rPr>
          <w:rFonts w:ascii="arial" w:eastAsia="arial" w:hAnsi="arial" w:cs="arial"/>
          <w:b/>
          <w:color w:val="000000"/>
          <w:sz w:val="20"/>
          <w:lang w:val="en-US" w:eastAsia="en-US" w:bidi="ar-SA"/>
        </w:rPr>
        <w:t>.</w:t>
      </w:r>
      <w:r>
        <w:rPr>
          <w:rFonts w:ascii="arial" w:eastAsia="arial" w:hAnsi="arial" w:cs="arial"/>
          <w:color w:val="000000"/>
          <w:sz w:val="20"/>
          <w:lang w:val="en-US" w:eastAsia="en-US" w:bidi="ar-SA"/>
        </w:rPr>
        <w:t xml:space="preserve">, </w:t>
      </w:r>
      <w:hyperlink r:id="rId77"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at para. 23, the Supreme Court of Canada commented, with respect to this rule,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"but for" test recognizes that compensation for negligent conduct should only be made "where a substantial connection between the injury and the defendant's conduct" is present. It ensures that a defendant will not be held liable for the plaintiff's injuries where they "may very well be due to factors unconnected to the defendant and not the fault of anyone": </w:t>
      </w:r>
      <w:r>
        <w:rPr>
          <w:rFonts w:ascii="arial" w:eastAsia="arial" w:hAnsi="arial" w:cs="arial"/>
          <w:i/>
          <w:color w:val="000000"/>
          <w:sz w:val="20"/>
          <w:lang w:val="en-US" w:eastAsia="en-US" w:bidi="ar-SA"/>
        </w:rPr>
        <w:t>Snell v. Farrell</w:t>
      </w:r>
      <w:r>
        <w:rPr>
          <w:rFonts w:ascii="arial" w:eastAsia="arial" w:hAnsi="arial" w:cs="arial"/>
          <w:color w:val="000000"/>
          <w:sz w:val="20"/>
          <w:lang w:val="en-US" w:eastAsia="en-US" w:bidi="ar-SA"/>
        </w:rPr>
        <w:t xml:space="preserve">, at p. 327,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Sopinka J.</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[138] In </w:t>
      </w:r>
      <w:r>
        <w:rPr>
          <w:rFonts w:ascii="arial" w:eastAsia="arial" w:hAnsi="arial" w:cs="arial"/>
          <w:b/>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75" w:history="1">
        <w:r>
          <w:rPr>
            <w:rFonts w:ascii="arial" w:eastAsia="arial" w:hAnsi="arial" w:cs="arial"/>
            <w:i/>
            <w:color w:val="0077CC"/>
            <w:sz w:val="20"/>
            <w:u w:val="single"/>
            <w:shd w:val="clear" w:color="auto" w:fill="FFFFFF"/>
            <w:lang w:val="en-US" w:eastAsia="en-US" w:bidi="ar-SA"/>
          </w:rPr>
          <w:t>[2005] 3 S.C.R. 3</w:t>
        </w:r>
      </w:hyperlink>
      <w:r>
        <w:rPr>
          <w:rFonts w:ascii="arial" w:eastAsia="arial" w:hAnsi="arial" w:cs="arial"/>
          <w:color w:val="000000"/>
          <w:sz w:val="20"/>
          <w:lang w:val="en-US" w:eastAsia="en-US" w:bidi="ar-SA"/>
        </w:rPr>
        <w:t>, the Supreme Court of Canada also dealt with the issue of legal causation and was commented on extensively. In that decision the Court confirmed that prior causes and subsequent causes of damages must be taken into account by the trial judge even though it may be difficult to do so where there are multiple causes. In this regard, Chief Justice McLachlin stated at para. 74:</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...Untangling the different sources of damage and loss may be nigh impossible. Yet the law requires that it be done, since at law a plaintiff is entitled only to be compensated for </w:t>
      </w:r>
      <w:r>
        <w:rPr>
          <w:rFonts w:ascii="arial" w:eastAsia="arial" w:hAnsi="arial" w:cs="arial"/>
          <w:i/>
          <w:color w:val="000000"/>
          <w:sz w:val="20"/>
          <w:lang w:val="en-US" w:eastAsia="en-US" w:bidi="ar-SA"/>
        </w:rPr>
        <w:t>loss caused by the actionable wrong</w:t>
      </w:r>
      <w:r>
        <w:rPr>
          <w:rFonts w:ascii="arial" w:eastAsia="arial" w:hAnsi="arial" w:cs="arial"/>
          <w:color w:val="000000"/>
          <w:sz w:val="20"/>
          <w:lang w:val="en-US" w:eastAsia="en-US" w:bidi="ar-SA"/>
        </w:rPr>
        <w:t xml:space="preserve">. It is the "essential purpose and most basic principle of tort law" that the plaintiff be placed in the position he or she would have been in had the tort not been committed: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3"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(SCC), para. 32.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[139] Further, commencing at para. 78 to 81, Madam Justice McLachlin, in her reasons, stated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78 It is important to distinguish between causation as the source of the loss and the rules of damage assessment in tort. The rules of causation consider generally whether "but for" the defendant's acts, the plaintiff's damages would have been incurred on a balance of probabilities. Even though there may be several tortious and non-tortious causes of injury, so long as the defendant's act is a cause of the plaintiff's damage, the defendant is fully liable for that damage. The rules of damages then consider what the original position of the plaintiff would have been. The governing principle is that the defendant need not put the plaintiff in a better position than his original position and should not compensate the plaintiff for any damages he would have suffered anyway: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Mr. Barney's submissions that injury from traumas other than the sexual assault should not be excluded amount to the contention that once a tortious act has been found to be a material cause of injury, the defendant becomes liable for all damages complained of after, whether or not the defendant was responsible for those damages.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79 At the same time, the defendant takes his victim as he finds him - the thin skull rule. Here the victim suffered trauma before coming to AIRS. The question then becomes: what was the effect of the sexual assault on him, in his already damaged condition? The damages are damages caused by the sexual assaults, not the prior condition. However, it is necessary to consider the prior condition to determine what loss was caused by the assaults. Therefore, to the extent that the evidence shows that the effect of the sexual assaults would have been greater because of his pre-existing injury, that pre-existing condition can be taken into account in assessing damages.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80 Where a second wrongful act or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plaintiff occurs after or along with the first wrongful act, yet another scenario, sometimes called the "crumbling skull" scenario, may arise. Each tortfeasor is entitled to have the consequences of the acts of the other tortfeasor taken into account. The defendant must compensate for the damages it actually caused but need not compensate for the debilitating effects of the other wrongful act that would have occurred anyway. This means that the damages of the tortfeasor may be reduced by reason of other contributing causes: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at paras. 32-36.</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81 All these scenarios flow from the basic principle that damages must seek to put the plaintiff in the position he or she would have been in but for the tort for which the defendant is liable.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[140] In addition to these comments by Chief Justice McLachlin it is also important to again consider the statements of Lambert J.A. in </w:t>
      </w:r>
      <w:r>
        <w:rPr>
          <w:rFonts w:ascii="arial" w:eastAsia="arial" w:hAnsi="arial" w:cs="arial"/>
          <w:b/>
          <w:i/>
          <w:color w:val="000000"/>
          <w:sz w:val="20"/>
          <w:lang w:val="en-US" w:eastAsia="en-US" w:bidi="ar-SA"/>
        </w:rPr>
        <w:t>Yoshikawa v. Yu</w:t>
      </w:r>
      <w:r>
        <w:rPr>
          <w:rFonts w:ascii="arial" w:eastAsia="arial" w:hAnsi="arial" w:cs="arial"/>
          <w:color w:val="000000"/>
          <w:sz w:val="20"/>
          <w:lang w:val="en-US" w:eastAsia="en-US" w:bidi="ar-SA"/>
        </w:rPr>
        <w:t xml:space="preserve">, </w:t>
      </w:r>
      <w:hyperlink r:id="rId81" w:history="1">
        <w:r>
          <w:rPr>
            <w:rFonts w:ascii="arial" w:eastAsia="arial" w:hAnsi="arial" w:cs="arial"/>
            <w:i/>
            <w:color w:val="0077CC"/>
            <w:sz w:val="20"/>
            <w:u w:val="single"/>
            <w:shd w:val="clear" w:color="auto" w:fill="FFFFFF"/>
            <w:lang w:val="en-US" w:eastAsia="en-US" w:bidi="ar-SA"/>
          </w:rPr>
          <w:t>[1996] B.C.J. No. 623</w:t>
        </w:r>
      </w:hyperlink>
      <w:r>
        <w:rPr>
          <w:rFonts w:ascii="arial" w:eastAsia="arial" w:hAnsi="arial" w:cs="arial"/>
          <w:color w:val="000000"/>
          <w:sz w:val="20"/>
          <w:lang w:val="en-US" w:eastAsia="en-US" w:bidi="ar-SA"/>
        </w:rPr>
        <w:t>, set out in these reasons at para. 11.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[141] Thus, if there is some realistic chance that the plaintiff's condition would have occurred at some point in the future without the accident, including consideration of intervening events unrelated to the motor vehicle accident, this will affect the quantum of damages. Thus the real legal issue with respect to the psychiatric issues is whether or not the evidence supports the proposition that the plaintiff would likely have suffered from the psychiatric illness or conditions she now has if the accident had never occurred, and if so, then to what degree.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[142] Looking at the totality of the evidence regarding the ongoing psychological conditions of Ms. Thiessen, I repeat again that the burden or onus of proof is on the plaintiff to show that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Kover the psychiatric or psychological conditions now experienced by the plaintiff would not have occurred.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[143] For the reasons set out, I have concluded that Ms. Thiessen has not met this onus. Given her history of pre-existing psychiatric illnesses and the numerous stressors of the plaintiff that have been experienced by her prior to the accident and subsequent to the accident, I have concluded the burden has not been met by the plaintiff. I accept the evidence of Dr. Zoffman that it is, in all probability, that her psychiatric or psychological conditions would have evolved from the other stressors in her life other than stress related to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 will deal first with the constellation of complaints that include ongoing headaches and dizziness, cognitive dysfunction and debilitating depression and anxiety. Other descriptors have been used by the plaintiff for features of her experience such as feeling overwhelmed, overheated, anxious, feeling like a "zombie", and not being able to multi-task. At points, medical experts, counsel and the plaintiff have all described and/or referenced these symptoms in their own way, sometimes creating a challenge to assimilate all of the evidence and submissions. At times it is difficult to distinguish between what is an actual injury, what is a discrete sequela resulting from an injury, and what is a feeling or sensation that is a descriptor of either. In this part of my decision, I refer to all of these collectively as the constellation of cognitive and psychological complaints and distinguish them from the specific physical injuries and the fibromyalgia and myofascial pain syndrome.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Several of the plaintiff's experts opine that the plaintiff suffered a MTBI in the motor vehicle incident. This is based on the presence of physical injury to her head, her reduced Glasgow Coma Scale score at the scene, her amnesia of the event and some period of time following the event and the constellation of symptoms of which she complained thereafter. The defence does not challenge this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Dr. Travlos said in his May 23, 2014, report "[t]here is no question that Ms. Birkich sustained a mild traumatic brain injury at the time of this accident". Dr. Kaushansky said, "[g]iven the indices around the time of the accident which included a period of post-traumatic amnesia and an altered Glasgow Coma Scale score, it is more likely that Ms. Birkich sustained a concussion or what would be termed a 'mild traumatic brain injury'". Dr. Kaushansky described the plaintiff as experiencing "typical post-concussive symptoms which affected her cognition (primarily diminished attention and memory as well as difficulties multi-tasking), her physical status (photo/phono sensitivity, headaches, dizziness), and her mood (depression and anxiety)".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Each of Drs. Travlos, Kaushansky and Rasmusen go on to comment on the challenges in associating the ongoing complaints to that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Dr. Travlos opines that "[i]t is clear that the headaches arose following the accident and likely the early headaches were part of a post-concussive complaint" but that the "current headaches more likely reflect a combination of chronic pain disorder, post-traumatic headaches and substantial psychosocial stressors". He described the dizziness as "hard to pin down" and that he does "not really have a good explanation for her dizziness". He goes on to say that the plaintiff "has so much in the way of mental health issues that it is impossible to tease out the underlying presence of any residual brain injury problems. From my perspective, until these other mental health issues are substantially settled the effects of any residual brain injury cannot be assessed".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Dr. Kaushansky notes that most individuals recover from a MTBI such as that suffered by the plaintiff but not all do. He says the test results revealed that "there was no pattern of scores to suggest the sequelae of a traumatic brain injury or the effects of physical pain or mood":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results of measures of mood and personality functioning over both evaluations indicated a "severe" degree of depression as well as ongoing features of anxiety. It is likely that such problems have their origins in Ms. Birkich's ongoing pain and significant financial and psychosocial stressors in her life.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Thus "real world" data is lacking which would allow a clearer delineation of the etiology of Ms. Birkich's community-based cognitive efficiencies [sic]. I would add that given the mild nature of this injury Ms. Birkich is not at an increased risk for an early onset neuro-degenerative disease.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Dr. Rasmusen notes that there is significant overlap between the symptoms associated with a MTBI and those associated with depression and anxiety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It is these noted difficulties in separating out the consequences of brain injury from those associated with psychological conditions, including depression and anxiety, which found, in part, the defence argument regarding causation. Essentially, the defence assertion is that the plaintiff would ultimately have suffered from the problems even if the motor vehicle incident had not occurred; that the post-incident events heaped on the pre-incident status would have led to the same end result. The critical flaw in this argument is that the incident was in fact a significant traumatic event that did result in a MTBI. There is no way to extract that from the circumstances or to say it plays no role in her current situation. Not surprisingly, no expert opinion supports the defence proposition, indeed they are to the contrary. In </w:t>
      </w:r>
      <w:r>
        <w:rPr>
          <w:rFonts w:ascii="arial" w:eastAsia="arial" w:hAnsi="arial" w:cs="arial"/>
          <w:i/>
          <w:color w:val="000000"/>
          <w:sz w:val="20"/>
          <w:lang w:val="en-US" w:eastAsia="en-US" w:bidi="ar-SA"/>
        </w:rPr>
        <w:t>Thiessen</w:t>
      </w:r>
      <w:r>
        <w:rPr>
          <w:rFonts w:ascii="arial" w:eastAsia="arial" w:hAnsi="arial" w:cs="arial"/>
          <w:color w:val="000000"/>
          <w:sz w:val="20"/>
          <w:lang w:val="en-US" w:eastAsia="en-US" w:bidi="ar-SA"/>
        </w:rPr>
        <w:t>, there was specific medical opinion accepted by the trial judge that the psychological conditions would have developed without the occurrence of the motor vehicle collision. There is no such evidence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It is my conclusion that the constellation of psychological and cognitive injuries and sequelae are indivisible and that the injuries suffered in the motor vehicle incident were a necessary contributing cause for their development. Each of Drs. Travlos, Kaushansky and Rasmusen say that this is so. On the evidence before me, the plaintiff was functioning reasonably well in the weeks and months preceding the motor vehicle incident. Her history included many stressors with some emotional and behavioural consequences. In the period leading up to the motor vehicle incident, however, there is minimal evidence that she was suffering from any specific conditions. She was apparently happily engaged in her work and doing well at it. She was in her relationship with Mr. Lariviere and generally happy in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It took the motor vehicle incident to initiate the constellation of symptoms that have plagued the plaintiff since. Certainly, her vulnerability pre-incident influenced the severity of the consequences and the subsequent events in the plaintiff's life have had a negative impact on her symptoms and her function but, as noted by Chief Justice McLachlin in the quote in para. 63 above, "It is important to distinguish between causation as the source of the loss and the rules of damage assessment in tort." That being so, the result in this legal context is clear.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To the extent that the defence challenges the continued existence of some of the symptoms within this constellation or, alternatively, the severity of them, I will deal with that in the damages portion of my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 turn next to the plaintiff's assertion that she suffers from fibromyalgia and myofascial pain syndrome. The plaintiff's claim is founded on the opinion of Dr. Apel in her report of February 12, 2013. In her testimony, Dr. Apel indicated that both fibromyalgia and myofascial pain syndrome arise from changes in the brain's perception of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She indicated that there are three criteria or markers that must be satisfied in order to support a diagnosis of fibromyalgia. They include widespread pain; symptoms present at a similar level for at least three months; and that the patient does not have a disorder that would otherwise explain the pain. Similarly, there are established criteria for the diagnosis of myofascial pain syndrome.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It is apparent on review of the cross-examination of Dr. Apel that she did not find specific evidence to support the existence of the criteria necessary to support the diagnoses. Rather, she engaged in a process of extrapolation or assumption from the information that she did have in a way that is simply not supportable in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An expert's opinion must have the factual and evidentiary foundation to support it and that is simply not the case in respect of these diagnoses.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In addition, I note that Dr. Travlos, also a physiatrist, assessed the plaintiff approximately 15 months later in May 2014. His report makes no reference to fibromyalgia or myofascial pain syndrome. In his testimony, however, he confirmed that in his assessment he found no basis to make those diagnoses. Dr. Apel testified that the conditions, once established, could be expected to be life-long in duration. Accordingly, the absence of any such findings by Dr. Travlos supports my conclusion that the plaintiff has not proved the existence of those conditions and the rejection of Dr. Apel's opinions in that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 do accept, however, that the plaintiff aggravated her pre-existing left knee injury. On the whole of the evidence, I conclude that prior to the motor vehicle incident it was not the source of significant restriction but that was, in part, because she did not engage in activities that stressed it. After the acute pain following the motor vehicle incident, the knee pain is again not a prominent feature for her. I accept the characterization of Dr. Travlos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probable that her current symptoms are slightly worse than they would have been in the absence of this accident, but one has to of course understand that she now has two young children and is doing a lot more squatting and kneeling than she ever would have done before. Previously, she avoided symptoms by avoiding kneeling or running activities, but now she has to both keep up with the children and play with them to some extent on the ground, increasing her loading on the knee and hence the pains. Ms. Birkich needs to continue with an exercise program for the knee and for strengthening of the entire leg.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 also accept that the plaintiff received soft tissue injuries to her upper back and neck. Initially these were quite bothersome but by the time of his assessment in May 2014, Dr. Travlos noted only minor objective indicators. In functional testing, limitations resulting from neck and shoulder complaints appeared to also be minor. The plaintiff did not portray these as significant issues in her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Perhaps the most often quoted decision setting out the general principles associated with non-pecuniary damages is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14"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That decision set out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[45] Before embarking on that task, I think it is instructive to reiterate the underlying purpose of non-pecuniary damages. Much, of course, has been said about this topic. However, given the not-infrequent inclination by lawyers and judges to compare only injuries, the following passage from </w:t>
      </w:r>
      <w:r>
        <w:rPr>
          <w:rFonts w:ascii="arial" w:eastAsia="arial" w:hAnsi="arial" w:cs="arial"/>
          <w:b/>
          <w:i/>
          <w:color w:val="000000"/>
          <w:sz w:val="20"/>
          <w:lang w:val="en-US" w:eastAsia="en-US" w:bidi="ar-SA"/>
        </w:rPr>
        <w:t>Lindal v. Lindal</w:t>
      </w:r>
      <w:r>
        <w:rPr>
          <w:rFonts w:ascii="arial" w:eastAsia="arial" w:hAnsi="arial" w:cs="arial"/>
          <w:color w:val="000000"/>
          <w:sz w:val="20"/>
          <w:lang w:val="en-US" w:eastAsia="en-US" w:bidi="ar-SA"/>
        </w:rPr>
        <w:t xml:space="preserve">, supra, </w:t>
      </w:r>
      <w:hyperlink r:id="rId130" w:history="1">
        <w:r>
          <w:rPr>
            <w:rFonts w:ascii="arial" w:eastAsia="arial" w:hAnsi="arial" w:cs="arial"/>
            <w:i/>
            <w:color w:val="0077CC"/>
            <w:sz w:val="20"/>
            <w:u w:val="single"/>
            <w:shd w:val="clear" w:color="auto" w:fill="FFFFFF"/>
            <w:lang w:val="en-US" w:eastAsia="en-US" w:bidi="ar-SA"/>
          </w:rPr>
          <w:t>[1981] 2 S.C.R. 629</w:t>
        </w:r>
      </w:hyperlink>
      <w:r>
        <w:rPr>
          <w:rFonts w:ascii="arial" w:eastAsia="arial" w:hAnsi="arial" w:cs="arial"/>
          <w:color w:val="000000"/>
          <w:sz w:val="20"/>
          <w:lang w:val="en-US" w:eastAsia="en-US" w:bidi="ar-SA"/>
        </w:rPr>
        <w:t xml:space="preserve"> at 637 is a helpful reminder: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Thus </w:t>
      </w:r>
      <w:r>
        <w:rPr>
          <w:rFonts w:ascii="arial" w:eastAsia="arial" w:hAnsi="arial" w:cs="arial"/>
          <w:color w:val="000000"/>
          <w:sz w:val="20"/>
          <w:u w:val="single"/>
          <w:lang w:val="en-US" w:eastAsia="en-US" w:bidi="ar-SA"/>
        </w:rPr>
        <w:t>the amount of an award for non-pecuniary damage should not depend alone upon the seriousness of the injury but upon its ability to ameliorate the condition of the victim considering his or her particular situation</w:t>
      </w:r>
      <w:r>
        <w:rPr>
          <w:rFonts w:ascii="arial" w:eastAsia="arial" w:hAnsi="arial" w:cs="arial"/>
          <w:color w:val="000000"/>
          <w:sz w:val="20"/>
          <w:lang w:val="en-US" w:eastAsia="en-US" w:bidi="ar-SA"/>
        </w:rPr>
        <w:t xml:space="preserve">. It therefore will not follow that in considering what part of the maximum should be awarded the gravity of the injury alone will be determinative. </w:t>
      </w:r>
      <w:r>
        <w:rPr>
          <w:rFonts w:ascii="arial" w:eastAsia="arial" w:hAnsi="arial" w:cs="arial"/>
          <w:color w:val="000000"/>
          <w:sz w:val="20"/>
          <w:u w:val="single"/>
          <w:lang w:val="en-US" w:eastAsia="en-US" w:bidi="ar-SA"/>
        </w:rPr>
        <w:t>An appreciation of the individual's loss is the key and the "need for solace will not necessarily correlate with the seriousness of the injury</w:t>
      </w:r>
      <w:r>
        <w:rPr>
          <w:rFonts w:ascii="arial" w:eastAsia="arial" w:hAnsi="arial" w:cs="arial"/>
          <w:color w:val="000000"/>
          <w:sz w:val="20"/>
          <w:lang w:val="en-US" w:eastAsia="en-US" w:bidi="ar-SA"/>
        </w:rPr>
        <w:t xml:space="preserve">" (Cooper-Stephenson and Saunders, </w:t>
      </w:r>
      <w:r>
        <w:rPr>
          <w:rFonts w:ascii="arial" w:eastAsia="arial" w:hAnsi="arial" w:cs="arial"/>
          <w:i/>
          <w:color w:val="000000"/>
          <w:sz w:val="20"/>
          <w:lang w:val="en-US" w:eastAsia="en-US" w:bidi="ar-SA"/>
        </w:rPr>
        <w:t>Personal Injury Damages in Canada</w:t>
      </w:r>
      <w:r>
        <w:rPr>
          <w:rFonts w:ascii="arial" w:eastAsia="arial" w:hAnsi="arial" w:cs="arial"/>
          <w:color w:val="000000"/>
          <w:sz w:val="20"/>
          <w:lang w:val="en-US" w:eastAsia="en-US" w:bidi="ar-SA"/>
        </w:rPr>
        <w:t xml:space="preserve"> (1981), at p. 373). In dealing with an award of this nature it will be impossible to develop a "tariff". </w:t>
      </w:r>
      <w:r>
        <w:rPr>
          <w:rFonts w:ascii="arial" w:eastAsia="arial" w:hAnsi="arial" w:cs="arial"/>
          <w:color w:val="000000"/>
          <w:sz w:val="20"/>
          <w:u w:val="single"/>
          <w:lang w:val="en-US" w:eastAsia="en-US" w:bidi="ar-SA"/>
        </w:rPr>
        <w:t>An award will vary in each case "to meet the specific circumstances of the individual case</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Thornton</w:t>
      </w:r>
      <w:r>
        <w:rPr>
          <w:rFonts w:ascii="arial" w:eastAsia="arial" w:hAnsi="arial" w:cs="arial"/>
          <w:color w:val="000000"/>
          <w:sz w:val="20"/>
          <w:lang w:val="en-US" w:eastAsia="en-US" w:bidi="ar-SA"/>
        </w:rPr>
        <w:t xml:space="preserve"> at p. 284 of S.C.R.).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[Emphasis added in </w:t>
      </w:r>
      <w:r>
        <w:rPr>
          <w:rFonts w:ascii="arial" w:eastAsia="arial" w:hAnsi="arial" w:cs="arial"/>
          <w:i/>
          <w:color w:val="000000"/>
          <w:sz w:val="20"/>
          <w:lang w:val="en-US" w:eastAsia="en-US" w:bidi="ar-SA"/>
        </w:rPr>
        <w:t>Stapley</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[46] The inexhaustive list of common factors cited in </w:t>
      </w:r>
      <w:r>
        <w:rPr>
          <w:rFonts w:ascii="arial" w:eastAsia="arial" w:hAnsi="arial" w:cs="arial"/>
          <w:b/>
          <w:i/>
          <w:color w:val="000000"/>
          <w:sz w:val="20"/>
          <w:lang w:val="en-US" w:eastAsia="en-US" w:bidi="ar-SA"/>
        </w:rPr>
        <w:t>Boyd</w:t>
      </w:r>
      <w:r>
        <w:rPr>
          <w:rFonts w:ascii="arial" w:eastAsia="arial" w:hAnsi="arial" w:cs="arial"/>
          <w:color w:val="000000"/>
          <w:sz w:val="20"/>
          <w:lang w:val="en-US" w:eastAsia="en-US" w:bidi="ar-SA"/>
        </w:rPr>
        <w:t xml:space="preserve">, </w:t>
      </w:r>
      <w:hyperlink r:id="rId15" w:history="1">
        <w:r>
          <w:rPr>
            <w:rFonts w:ascii="arial" w:eastAsia="arial" w:hAnsi="arial" w:cs="arial"/>
            <w:i/>
            <w:color w:val="0077CC"/>
            <w:sz w:val="20"/>
            <w:u w:val="single"/>
            <w:shd w:val="clear" w:color="auto" w:fill="FFFFFF"/>
            <w:lang w:val="en-US" w:eastAsia="en-US" w:bidi="ar-SA"/>
          </w:rPr>
          <w:t>[2004] B.C.J. No. 472</w:t>
        </w:r>
      </w:hyperlink>
      <w:r>
        <w:rPr>
          <w:rFonts w:ascii="arial" w:eastAsia="arial" w:hAnsi="arial" w:cs="arial"/>
          <w:color w:val="000000"/>
          <w:sz w:val="20"/>
          <w:lang w:val="en-US" w:eastAsia="en-US" w:bidi="ar-SA"/>
        </w:rPr>
        <w:t xml:space="preserve"> that influence an award of non-pecuniary damages includes:</w:t>
      </w:r>
    </w:p>
    <w:p>
      <w:pPr>
        <w:numPr>
          <w:numId w:val="1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age of the plaintiff;</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the injury;</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severity and duration of pain;</w:t>
      </w:r>
    </w:p>
    <w:p>
      <w:pPr>
        <w:numPr>
          <w:numId w:val="1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disability;</w:t>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emotional suffering; and</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or impairment of life;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add the following factors, although they may arguably be subsumed in the above list:</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family, marital and social relationships;</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physical and mental abilities;</w:t>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lifestyle; and</w:t>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stoicism (as a factor that should not, generally speaking, penalize the plaintiff: </w:t>
      </w:r>
      <w:r>
        <w:rPr>
          <w:rFonts w:ascii="arial" w:eastAsia="arial" w:hAnsi="arial" w:cs="arial"/>
          <w:i/>
          <w:color w:val="000000"/>
          <w:sz w:val="20"/>
          <w:lang w:val="en-US" w:eastAsia="en-US" w:bidi="ar-SA"/>
        </w:rPr>
        <w:t>Giang v. Clayton</w:t>
      </w:r>
      <w:r>
        <w:rPr>
          <w:rFonts w:ascii="arial" w:eastAsia="arial" w:hAnsi="arial" w:cs="arial"/>
          <w:color w:val="000000"/>
          <w:sz w:val="20"/>
          <w:lang w:val="en-US" w:eastAsia="en-US" w:bidi="ar-SA"/>
        </w:rPr>
        <w:t xml:space="preserve">, </w:t>
      </w:r>
      <w:hyperlink r:id="rId16" w:history="1">
        <w:r>
          <w:rPr>
            <w:rFonts w:ascii="arial" w:eastAsia="arial" w:hAnsi="arial" w:cs="arial"/>
            <w:i/>
            <w:color w:val="0077CC"/>
            <w:sz w:val="20"/>
            <w:u w:val="single"/>
            <w:shd w:val="clear" w:color="auto" w:fill="FFFFFF"/>
            <w:lang w:val="en-US" w:eastAsia="en-US" w:bidi="ar-SA"/>
          </w:rPr>
          <w:t>[2005] B.C.J. No. 163</w:t>
        </w:r>
      </w:hyperlink>
      <w:r>
        <w:rPr>
          <w:rFonts w:ascii="arial" w:eastAsia="arial" w:hAnsi="arial" w:cs="arial"/>
          <w:color w:val="000000"/>
          <w:sz w:val="20"/>
          <w:lang w:val="en-US" w:eastAsia="en-US" w:bidi="ar-SA"/>
        </w:rPr>
        <w:t xml:space="preserve"> (QL), </w:t>
      </w:r>
      <w:hyperlink r:id="rId16" w:history="1">
        <w:r>
          <w:rPr>
            <w:rFonts w:ascii="arial" w:eastAsia="arial" w:hAnsi="arial" w:cs="arial"/>
            <w:i/>
            <w:color w:val="0077CC"/>
            <w:sz w:val="20"/>
            <w:u w:val="single"/>
            <w:shd w:val="clear" w:color="auto" w:fill="FFFFFF"/>
            <w:lang w:val="en-US" w:eastAsia="en-US" w:bidi="ar-SA"/>
          </w:rPr>
          <w:t>2005 BCCA 54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All of this requires that findings of fact be made regarding the plaintiff's health prior to the incident, that is, her original position. There must, of course, be findings made of her progress since the incident to the trial and her long-term prognosis.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There is considerable disagreement between the parties as to the plaintiff's original position. The plaintiff acknowledges her challenges prior to the motor vehicle incident but indicates that she had found stability with her work at Starbucks and was doing well both physically and emotionally. While there is some substance to that position, it would be naïve to conclude that such a young adult was unaffected by her past. She was a vulnerable individual with a limited capacity to cope with further adversity. Dr. Travlos put it in these terms: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Birkich's pre-accident history and records confirm a young girl with little in the way of support systems, living on her own mostly, although getting some assistance to do so. She was an individual at substantial risk of decompensation and was struggling with mental health issues. She had had at least one nonspecific fainting episode warranting admission to the emergency room, and was having intermittent problems with her left knee.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It is my conclusion that she did suffer a MTBI with a constellation of symptoms thereafter consistent with that injury, including headaches, nausea and dizziness. In addition, the typical behavioural or emotional symptoms of a MTBI have been visited upon the plaintiff, including depression, anxiety and cognitive deficiencies. Her recovery has been complicated by the psychosocial stressors that have arisen since the motor vehicle incident. That list of events is significant, including her young pregnancy, her problematic relationship with Mr. Lariviere and the introduction into the family unit of Mr. Lariviere's challenging son. All of that, as noted by Dr. Travlos, has made it impossible to tease out the underlying presence of any residual brain injury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As noted by the defence, the timing of the assessments by the plaintiff's experts must be taken into consideration. All of their reports were the product of assessments during or, at best, immediately after the period of the cumulative effect of her pre-motor vehicle incident vulnerability, the motor vehicle incident injury and the post-motor vehicle incident psychosocial stressors. None were in a position to comment on her function after the removal of some of the most significant post-incident stressors, most specifically, the responsibility of caring for Mr. Lariviere's son and extricating herself from the relationship with Mr. Lariviere. They did, however, point out that removal of psychosocial stressors would likely have a positive effect, the magnitude of which could only be assessed after the fact. It would also be influenced by the plaintiff's access to and use of resources and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In addition, the plaintiff's frequent moves and living situation prior to the motor vehicle incident resulted in her not having a regular family physician and there being little continuity in records, generally, prior to the motor vehicle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As a result, the plaintiff's testimony and that of the lay witnesses and their reliability takes on an added importance in assessing the plaintiff's original position. The credibility of the plaintiff in respect of her description of her symptoms is particularly important. I will address that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Whatever the cause, the plaintiff's recall of events prior to the motor vehicle incident lacked reliability. She had real difficulty remembering details and the sequence of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In addition, having considered the whole of her evidence, I was left with the impression that the plaintiff generally minimized or downplayed the significance and effect of the problems she faced or decisions she made prior to and after the incident. In my observation, she sought to portray herself in a very favorable light, in very general terms and, when confronted with specific evidence that contradicted that general description, would seek to deflect responsibility to others and/or minimize and rationalize the event. Generally, she resisted any suggestion that events or circumstances other than the motor vehicle incident were significant contributors to her difficulties.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While perhaps understandable, I would describe this as a biased recall. I do not specifically conclude that the bias should be equated with a specific intention to deceive but rather to be, at least in part, a product of her condition and circumstances. While there is always context that can be provided to events and circumstances, I am unable to accept that it is only the motor vehicle incident that has contributed to her challenges.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Some specific examples related to her use of marihuana, selection of friends/associates and truancy at school. When asked about records of school suspensions she was vague and would shift blame to others. The plaintiff clearly had made some poor choices in these areas and yet the plaintiff was unwilling to concede that to be so. Perhaps most significantly, in the context of the issues in this case, the plaintiff minimized/was unwilling to acknowledge the impact her psychosocial stressors had on her emotional health. She had resorted to cutting herself in 2009. Although hospital records referenced a history of attempted suicide, she steadfastly maintained that she had never had any intention to actually take her life and tried to minimize the significance of the cutting behaviour. She tried to portray it as insignificant and that in fact she was coping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 same applies to post-incident events, including the impact of her failed effort to reconnect with her father, the failed relationship with Mr. Lariviere and the stress of caring for his son. She was very resistant to acknowledge any real impact from these events. I have no doubt that she strives to minimize the impact of those events and circumstances but it is difficult to reconcile her claimed resilience in those areas with a lack of that quality in respect of the motor vehicle incident. Certainly, the plaintiff's experts confirm the impact of the other events and the overall cumulative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The combination of both a limited and biased recall results in my conclusion that I must be cautious in accepting her evidence at face value. Instead, I must view it through a lens shaped by an appreciation of those frailties.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Similar concerns relate to the evidence of Tamara Jensen. In her direct evidence, she had nothing but praise for the plaintiff and her personality. In cross-examination, however, it became apparent that Ms. Jensen in fact believed that the plaintiff was making decisions to associate more with a negative peer group, wasn't attending school on a regular basis and was generally struggling to establish herself in a positive and stable environment. Although they obviously remained close, their paths were diverging.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 same cannot be said of Lynn Sterling, the plaintiff's former supervisor at Starbucks. As noted below, she described the plaintiff's work and personality in very positive terms. Her knowledge of the plaintiff is purely from her work affiliation.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With those observations regarding the plaintiff and the lay witnesses in mind, I also observe that the plaintiff has shown herself to be able to manage surprisingly well in the face of a difficult youth with many major challenges. Despite those things, she had shown a desire to work. I am inclined to agree with the plaintiff's experts who characterize her as being resilient. It is a quality that should serve her well in recovery when aided with appropriate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She had periods of employment. Most were very short and could support the defendant's assertion that the plaintiff really was struggling to cope. One must however keep in mind her age and circumstances and even getting multiple jobs could be seen as an accomplishment. It supports an inference that she was determined despite her challenges. Most significantly, she found the employment with Starbucks and, in her particular circumstances, the maintenance of that employment, albeit with a transfer part way through, for a period of several months is a positive indicator that she was motivated and able to work steadily. Ms. Sterling described the plaintiff's work ethic, habits and motivation in glowing terms. Despite any reservations I have regarding the plaintiff's reliability, I was impressed and do accept that she enjoyed that work, found purpose in it and it gave her a haven from the negative aspects of her personal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As noted, there are real gaps in any independent information aside from her employment to assess the plaintiff's position immediately before the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Another important variable that affects all of the categories of damages is the prognosis for recovery. Dr. Poulin was not able to offer much assistance with respect to the prognosis. Dr. Apel found that the fibromyalgia and myofascial pain syndrome would be chronic or long-term and possibly even lifelong; however, given my earlier comments regarding Dr. Apel and the absence of any findings of those conditions by Dr. Travlos, I give little weight to that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Dr. Travlos addressed the prognosis for each major symptom cluster separately. In respect to headaches, he observed that there had been improvement with medication and that they may yet improve "significantly with treatment for her mental health". In addition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final and clear intervention that would definitely benefit her but that is not likely to be available is that of reducing her psycho-social stressors. A significant reduction in her psycho-social stressors, a reduction in the care needs of her adopted son, and an improvement in the relationship with her partner would probably go a long way to helping reduce some of her headache pains.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In fact, those two key stressors have been removed in large part. The plaintiff is still engaged in family law proceedings in Provincial Court. Consistent with what I noted above, she indicates these provide little stress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In relation to dizziness, Dr. Travlos candidly acknowledged that he did not have a good explanation for it. Again, he notes that additional stresses are likely contributory and, by inference, if those are reduced so might the significance of the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Similarly, with respect to the cognitive/psychosocial symptoms, Dr. Travlos observes that, "[i]t is difficult to say if indeed there are any residual brain injury symptoms until the mental health issues are substantially settled, the effects of any residual brain injury cannot be assessed...".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Dr. Travlos concludes by noting: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Prognosis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Birkich's prognosis depends materially upon her mental health and the amount of psychosocial support that she can acquire to assist her to move forward. If all else stays the same, her situation will remain much as is indefinitely. If adequate supports can be put in place and she can be assisted in managing all of these other psychosocial issues, her prognosis, in fact, should improve. It needs to be understood that she was a fairly fragile young girl who was derailed by the effects of this accident and that her lack of significant parenting and lack of modeling of parenting abilities and coping with stresses has left her vulnerable to a difficult recovery. If she is able to get back on the rails, she may in fact do as well as she was doing previously, but this remains to be seen and is simply and "if" and not a probability. Realistically, Ms. Birkich will likely remain with the significant ongoing issues indefinitely.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He subsequently concurs with the observations of Ms. Phillips that, "Ms. Birkich is likely capable of improving her functional levels significantly.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Dr. Rasmusen says this:</w:t>
      </w:r>
      <w:r>
        <w:rPr>
          <w:rFonts w:ascii="arial" w:eastAsia="arial" w:hAnsi="arial" w:cs="arial"/>
          <w:sz w:val="20"/>
          <w:lang w:val="en-US" w:eastAsia="en-US" w:bidi="ar-SA"/>
        </w:rPr>
        <w:cr/>
      </w:r>
    </w:p>
    <w:p>
      <w:pPr>
        <w:numPr>
          <w:numId w:val="2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However, her ongoing pain and dizziness are contributing to her emotional state and therefore until these are improved further, it is less likely that she will have a full resolution of her emotional symptoms.</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Also of note is that her ability to tolerate the significant stressors at home is also impaired and this is a vicious cycle where the stressors contribute to her ongoing psychological symptoms.</w:t>
      </w:r>
    </w:p>
    <w:p>
      <w:pPr>
        <w:numPr>
          <w:numId w:val="2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order to improve it would require an improvement in her sleep, her stress level at home, improvement in her dizziness and headaches to significantly improve her emotional state. I think it is more likely than not that she will always have some impairment from these cluster of symptoms, unfortunately. As a result, this will impair her ability to not only function while at home, but possibly will affect her employability.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The defence challenges what continuing pain there is and whether it can be attributed to the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It is clear, however, that improvement is realistic with the removal of various psychosocial stressors.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Dr. Kaushansky reiterates the challenge of separating out that which may be attributable to her brain injury and that which is a product of psychosocial stressors. He ultimately concludes that to express an opinion about the future would require real world data and, in the context of employment prospects, an ability to monitor her in an employment setting. I interpret this to be generally consistent with Drs. Travlos and Rasmusen.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In the context of his vocational assessment, Dr. Wallace is consistent in observing that the plaintiff would need to continue to reduce stresses and gain insight in order to reduce the limiting symptoms and their effects upon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The plaintiff's position with respect to damages is premised on an assumption that she will not improve and not become employable. That is not a proposition I am prepared to reach based on the evidence. None of the medical experts express such an opinion. The clearest articulation of prognosis comes from Ms. Phillips. In her report she notes "[i]t is quite difficult to estimate the expected functional improvements that Ms. Birkich will obtain through participation in the recommended programs as she has had such little therapy to date". In light of that, Ms. Phillips' observations related to cost of future care requirements based on alternate scenarios. In the scenario of a significant improvement and function that would include an elimination of or a significant reduction of headaches and dizziness, there would be an ability to manage child care and homemaking independently and to return to work at Starbucks or similar employment. However, her ultimate conclusion and opinion regarding prognosis is stated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From my assessment of Mr. Birkich [sic] and in my experience providing case management and occupational therapy services to similar individuals, Ms. Birkich is likely able to improve her function significantly both through physical, emotional and cognitive programs, and through learning compensatory strategies. Not only would appropriate programs assist Ms. Birkich in regaining competence and confidence in her daily life activities, but such programs will also assist her in obtaining and maintaining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This is not inconsistent with any other expert opinion touching on the future prognosis. It is my conclusion that the plaintiff will improve when provided with appropriate future care, including an individual who can oversee the provision of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There is no confirmed indication of ongoing cognitive deficit attributable to the MTBI that would preclude recovery as noted by Drs. Travlos and Kaushansky.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I am satisfied that any aggravation of her knee condition caused by the motor vehicle incident is modest and has limited functional impact. Certainly, it is a minor component of her overall complaints. Similarly, any soft tissue injuries and any lingering soft tissue pain does not contribute significantly to her damages here but have been taken into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In all of the circumstances, I award non-pecuniary damages of $125,000.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I do not intend to repeat what I have said in dealing with non-pecuniary damages. I do conclude that she will suffer a loss of capacity, at least for a period of time until the benefits of the reduced psychosocial stresses and the future care are achieved. In addition, there is a risk that she will not achieve an optimal result from the future care that will be provided for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All of this must be considered in the context of her pre-motor vehicle incident capacity. It is always a challenge with young people who are very early in their working lives and/or have not established a work or career trajectory. The plaintiff's background and circumstances do provide some meaningful assistance and I am aided by the report of Dr. Wallace which assessed her pre-incident capacity. He states:</w:t>
      </w:r>
      <w:r>
        <w:rPr>
          <w:rFonts w:ascii="arial" w:eastAsia="arial" w:hAnsi="arial" w:cs="arial"/>
          <w:sz w:val="20"/>
          <w:lang w:val="en-US" w:eastAsia="en-US" w:bidi="ar-SA"/>
        </w:rPr>
        <w:cr/>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Because of Ms. Birkich's young age at the time of the accident, it is my opinion from a rehabilitation psychology perspective that it is not possible to know exactly what her future career path would have been. This would have depended upon a number of different factors including education attainment, physical capabilities, psychosocial functioning, interests, motivation, employment opportunities, etc. Nevertheless, I believe that it is possible to provide the Court with an understanding of the range of occupational options that Ms. Birkich could have considered prior to the motor vehicle accident which would then allow the Court to better understand her pre-injury employability potential.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He felt that the plaintiff could have accessed direct entry jobs or pursued college diploma programs of up to two years although he recognized Dr. Travlos' concerns that her pre-incident capacity was vulnerable to being "derailed" by psychosocial stressors:</w:t>
      </w:r>
      <w:r>
        <w:rPr>
          <w:rFonts w:ascii="arial" w:eastAsia="arial" w:hAnsi="arial" w:cs="arial"/>
          <w:sz w:val="20"/>
          <w:lang w:val="en-US" w:eastAsia="en-US" w:bidi="ar-SA"/>
        </w:rPr>
        <w:cr/>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reviewed documentation notes however that prior to the 2011 motor vehicle accident Ms. Birkich had experienced significantly psychosocial stressors which left her psychologically vulnerable. Dr. Travlos (May 32, 2104) [sic] notes that prior to the accident, additional new events or stressors could have derailed her.</w:t>
      </w:r>
    </w:p>
    <w:p>
      <w:pPr>
        <w:numPr>
          <w:numId w:val="2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From a rehabilitation psychology perspective, Dr. Travlos' concerns could have negatively impacted upon her ability to maintain ongoing competitive employment. Her ability to continue meeting the basic foundational skills required of competitive employment would of course have depended upon the specific stressors that she experienced as well as her ability to cope with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As noted, there have been significant stressors of which the motor vehicle incident is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Dr. Wallace concluded that the plaintiff was not competitively employable at the time of his assessment in June 2014. The significant question is whether that will change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I have already commented on this above. I will, however, add here the comments of Dr. Wallace which are, of course, specifically made in the context of his vocational assessment:</w:t>
      </w:r>
      <w:r>
        <w:rPr>
          <w:rFonts w:ascii="arial" w:eastAsia="arial" w:hAnsi="arial" w:cs="arial"/>
          <w:sz w:val="20"/>
          <w:lang w:val="en-US" w:eastAsia="en-US" w:bidi="ar-SA"/>
        </w:rPr>
        <w:cr/>
      </w:r>
    </w:p>
    <w:p>
      <w:pPr>
        <w:numPr>
          <w:numId w:val="3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would concur with the other clinicians who have identified Ms. Birkich's significant psychosocial stress as being an impediment to her functioning capabilities. However, from Dr. Neilson's latest psychological treatment progress notes, it does appear as if Ms. Birkich is making changes in her life to reduce such stresses. From a rehabilitation psychology perspective, it is my opinion that she would need to continue with reducing such stresses as well as learning additional coping strategies in order to improve her chances of meeting competitive employment standards.</w:t>
      </w:r>
    </w:p>
    <w:p>
      <w:pPr>
        <w:numPr>
          <w:numId w:val="3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also my opinion that Ms. Birkich is one of a group of individuals whose constellation of ongoing physical, cognitive, and/or psychological concerns makes it difficult to provide a firm opinion regarding her ability to succeed in post-secondary educational programs as well as to eventually meet competitive employment standards.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regards to assessing Ms. Birkich's ability to meet competitive employment standards, I would recommend that when Ms. Birkich's treatment team considers it appropriate, that she be provided with the opportunity to participate in work trials. These positions would not present any remuneration but rather would provide a setting in which her ability to meet the basic foundational skills could be better assessed. It is likely that Ms. Birkich would require attendance at more than one work trial in order to fully assess her functioning capabilities. It is my opinion that it is only through these work trials that a more definitive opinion can be arrived at in regards to her ability to meet competitive employment standards. Therefore, it is my opinion that at the present time it is not possible to provide the Court with a firm vocational prognosis regarding Ms. Birkich's residual employability potential.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From a rehabilitation psychology perspective, while it is my opinion that work trials will provide a better understanding of Ms. Birkich's current employability potential, her ability to maintain competitive employment for her entire working life is a concern noted in the reviewed documentation. Specifically, her increased psychological vulnerability could negatively impact her ability to meet competitive employment standards in the future. While I do not believe it is possible to provide a more definitive opinion in this regard, from a rehabilitation psychology perspective this likely does leave Ms. Birkich with a more tenuous vocational future as a result of injuries sustained in the 2011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It is apparent the plaintiff wanted to work and was capable of impressing supervisors prior to the motor vehicle incident. Clearly, being a single parent creates challenges in pursuing further education as do many of the plaintiff's challenges that are not associated to the motor vehicle incident. Generally, I find it unlikely the plaintiff would have pursued further education or vocational training although maturity may have led her in that direction so it cannot be ruled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In advancing her claim, the plaintiff acknowledges that she would not have worked until her son reaches school age. Based on the evidence, there is a reasonable expectation that her function will have improved in the time between trial and that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I note as well, as did Dr. Travlos, that the functional testing by Ms. Phillips revealed that the plaintiff did not meet the demands of the job description of a barista as set out in the Starbucks literature but did meet the actual demands of the job, as had been experienced by the plaintiff. The difference appears to relate to the reality of the need to be able to lift 40 pounds repetitively or for constant bending.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xml:space="preserve">  The proper approach to the assessment of the loss of future earning capacity is described by the Court of Appeal in </w:t>
      </w:r>
      <w:r>
        <w:rPr>
          <w:rFonts w:ascii="arial" w:eastAsia="arial" w:hAnsi="arial" w:cs="arial"/>
          <w:i/>
          <w:color w:val="000000"/>
          <w:sz w:val="20"/>
          <w:lang w:val="en-US" w:eastAsia="en-US" w:bidi="ar-SA"/>
        </w:rPr>
        <w:t>Morgan v. Galbraith</w:t>
      </w:r>
      <w:r>
        <w:rPr>
          <w:rFonts w:ascii="arial" w:eastAsia="arial" w:hAnsi="arial" w:cs="arial"/>
          <w:color w:val="000000"/>
          <w:sz w:val="20"/>
          <w:lang w:val="en-US" w:eastAsia="en-US" w:bidi="ar-SA"/>
        </w:rPr>
        <w:t xml:space="preserve">, </w:t>
      </w:r>
      <w:hyperlink r:id="rId172" w:history="1">
        <w:r>
          <w:rPr>
            <w:rFonts w:ascii="arial" w:eastAsia="arial" w:hAnsi="arial" w:cs="arial"/>
            <w:i/>
            <w:color w:val="0077CC"/>
            <w:sz w:val="20"/>
            <w:u w:val="single"/>
            <w:shd w:val="clear" w:color="auto" w:fill="FFFFFF"/>
            <w:lang w:val="en-US" w:eastAsia="en-US" w:bidi="ar-SA"/>
          </w:rPr>
          <w:t>2013 BCCA 305</w:t>
        </w:r>
      </w:hyperlink>
      <w:r>
        <w:rPr>
          <w:rFonts w:ascii="arial" w:eastAsia="arial" w:hAnsi="arial" w:cs="arial"/>
          <w:color w:val="000000"/>
          <w:sz w:val="20"/>
          <w:lang w:val="en-US" w:eastAsia="en-US" w:bidi="ar-SA"/>
        </w:rPr>
        <w: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[53] As already noted, in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xml:space="preserve">, </w:t>
      </w:r>
      <w:hyperlink r:id="rId34" w:history="1">
        <w:r>
          <w:rPr>
            <w:rFonts w:ascii="arial" w:eastAsia="arial" w:hAnsi="arial" w:cs="arial"/>
            <w:i/>
            <w:color w:val="0077CC"/>
            <w:sz w:val="20"/>
            <w:u w:val="single"/>
            <w:shd w:val="clear" w:color="auto" w:fill="FFFFFF"/>
            <w:lang w:val="en-US" w:eastAsia="en-US" w:bidi="ar-SA"/>
          </w:rPr>
          <w:t>[2010] B.C.J. No. 455</w:t>
        </w:r>
      </w:hyperlink>
      <w:r>
        <w:rPr>
          <w:rFonts w:ascii="arial" w:eastAsia="arial" w:hAnsi="arial" w:cs="arial"/>
          <w:color w:val="000000"/>
          <w:sz w:val="20"/>
          <w:lang w:val="en-US" w:eastAsia="en-US" w:bidi="ar-SA"/>
        </w:rPr>
        <w:t xml:space="preserve">, this Court held that a trial judge must </w:t>
      </w:r>
      <w:r>
        <w:rPr>
          <w:rFonts w:ascii="arial" w:eastAsia="arial" w:hAnsi="arial" w:cs="arial"/>
          <w:color w:val="000000"/>
          <w:sz w:val="20"/>
          <w:u w:val="single"/>
          <w:lang w:val="en-US" w:eastAsia="en-US" w:bidi="ar-SA"/>
        </w:rPr>
        <w:t>first</w:t>
      </w:r>
      <w:r>
        <w:rPr>
          <w:rFonts w:ascii="arial" w:eastAsia="arial" w:hAnsi="arial" w:cs="arial"/>
          <w:color w:val="000000"/>
          <w:sz w:val="20"/>
          <w:lang w:val="en-US" w:eastAsia="en-US" w:bidi="ar-SA"/>
        </w:rPr>
        <w:t xml:space="preserve"> address the question of whether the plaintiff had proven a real and substantial possibility that his earning capacity had been impaired. If the plaintiff discharges that burden of proof, then the judge must turn to the assessment of damages. The assessment may be based on an earnings approach (rejected by the trial judge here) or the capital asset approach, as described in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(the approach adopted by the trial judge) to determine Mr. Morgan's lost earning capacity, given Mr. Morgan's career path was uncertain at the time of the accident. The trial judge stated at para. 56:</w:t>
      </w:r>
    </w:p>
    <w:p>
      <w:pPr>
        <w:spacing w:before="120" w:line="260" w:lineRule="atLeast"/>
        <w:ind w:left="1080"/>
        <w:rPr>
          <w:rFonts w:ascii="arial" w:eastAsia="arial" w:hAnsi="arial" w:cs="arial"/>
          <w:sz w:val="20"/>
          <w:lang w:val="en-US" w:eastAsia="en-US" w:bidi="ar-SA"/>
        </w:rPr>
      </w:pP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41"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(S.C.), cited above, and cited elsewhere by our Courts many times, provides the approach to use for a person whose path is unclear. The plaintiff's injury is treated as the loss of an asset. Finch J., as he then was, listed the following as considerations in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for awarding loss of future income:</w:t>
      </w:r>
    </w:p>
    <w:p>
      <w:pPr>
        <w:numPr>
          <w:numId w:val="3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been rendered less capable overall from earning income from all types of employment;</w:t>
      </w:r>
    </w:p>
    <w:p>
      <w:pPr>
        <w:numPr>
          <w:numId w:val="3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marketable or attractive as an employee to potential employers;</w:t>
      </w:r>
    </w:p>
    <w:p>
      <w:pPr>
        <w:numPr>
          <w:numId w:val="3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lost the ability to take advantage of all job opportunities which might otherwise have been open to him, had he not been injured; and</w:t>
      </w:r>
    </w:p>
    <w:p>
      <w:pPr>
        <w:numPr>
          <w:numId w:val="3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valuable to himself as a person capable of earning income in a competitive labour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xml:space="preserve">  The proper approach in this case is to award damages on a loss of capital asset approach. The Court of Appeal has made other helpful comments on its application in </w:t>
      </w:r>
      <w:r>
        <w:rPr>
          <w:rFonts w:ascii="arial" w:eastAsia="arial" w:hAnsi="arial" w:cs="arial"/>
          <w:i/>
          <w:color w:val="000000"/>
          <w:sz w:val="20"/>
          <w:lang w:val="en-US" w:eastAsia="en-US" w:bidi="ar-SA"/>
        </w:rPr>
        <w:t>Jurczak v. Mauro</w:t>
      </w:r>
      <w:r>
        <w:rPr>
          <w:rFonts w:ascii="arial" w:eastAsia="arial" w:hAnsi="arial" w:cs="arial"/>
          <w:color w:val="000000"/>
          <w:sz w:val="20"/>
          <w:lang w:val="en-US" w:eastAsia="en-US" w:bidi="ar-SA"/>
        </w:rPr>
        <w:t xml:space="preserve">, </w:t>
      </w:r>
      <w:hyperlink r:id="rId43" w:history="1">
        <w:r>
          <w:rPr>
            <w:rFonts w:ascii="arial" w:eastAsia="arial" w:hAnsi="arial" w:cs="arial"/>
            <w:i/>
            <w:color w:val="0077CC"/>
            <w:sz w:val="20"/>
            <w:u w:val="single"/>
            <w:shd w:val="clear" w:color="auto" w:fill="FFFFFF"/>
            <w:lang w:val="en-US" w:eastAsia="en-US" w:bidi="ar-SA"/>
          </w:rPr>
          <w:t>2013 BCCA 507</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[36] This process is "an assessment rather than a calculation" and "many different contingencies must be reflected in such an award": </w:t>
      </w:r>
      <w:r>
        <w:rPr>
          <w:rFonts w:ascii="arial" w:eastAsia="arial" w:hAnsi="arial" w:cs="arial"/>
          <w:i/>
          <w:color w:val="000000"/>
          <w:sz w:val="20"/>
          <w:lang w:val="en-US" w:eastAsia="en-US" w:bidi="ar-SA"/>
        </w:rPr>
        <w:t>Barnes v. Richardson</w:t>
      </w:r>
      <w:r>
        <w:rPr>
          <w:rFonts w:ascii="arial" w:eastAsia="arial" w:hAnsi="arial" w:cs="arial"/>
          <w:color w:val="000000"/>
          <w:sz w:val="20"/>
          <w:lang w:val="en-US" w:eastAsia="en-US" w:bidi="ar-SA"/>
        </w:rPr>
        <w:t xml:space="preserve">, </w:t>
      </w:r>
      <w:hyperlink r:id="rId182" w:history="1">
        <w:r>
          <w:rPr>
            <w:rFonts w:ascii="arial" w:eastAsia="arial" w:hAnsi="arial" w:cs="arial"/>
            <w:i/>
            <w:color w:val="0077CC"/>
            <w:sz w:val="20"/>
            <w:u w:val="single"/>
            <w:shd w:val="clear" w:color="auto" w:fill="FFFFFF"/>
            <w:lang w:val="en-US" w:eastAsia="en-US" w:bidi="ar-SA"/>
          </w:rPr>
          <w:t>2010 BCCA 116</w:t>
        </w:r>
      </w:hyperlink>
      <w:r>
        <w:rPr>
          <w:rFonts w:ascii="arial" w:eastAsia="arial" w:hAnsi="arial" w:cs="arial"/>
          <w:color w:val="000000"/>
          <w:sz w:val="20"/>
          <w:lang w:val="en-US" w:eastAsia="en-US" w:bidi="ar-SA"/>
        </w:rPr>
        <w:t xml:space="preserve"> at para. 18. "Ultimately, the court must base its decision on what is reasonable in all of the circumstances. Projections, calculations and formulas are only useful to the extent that they help determine what is fair and reasonable": </w:t>
      </w:r>
      <w:r>
        <w:rPr>
          <w:rFonts w:ascii="arial" w:eastAsia="arial" w:hAnsi="arial" w:cs="arial"/>
          <w:i/>
          <w:color w:val="000000"/>
          <w:sz w:val="20"/>
          <w:lang w:val="en-US" w:eastAsia="en-US" w:bidi="ar-SA"/>
        </w:rPr>
        <w:t>Parypa v. Wickware</w:t>
      </w:r>
      <w:r>
        <w:rPr>
          <w:rFonts w:ascii="arial" w:eastAsia="arial" w:hAnsi="arial" w:cs="arial"/>
          <w:color w:val="000000"/>
          <w:sz w:val="20"/>
          <w:lang w:val="en-US" w:eastAsia="en-US" w:bidi="ar-SA"/>
        </w:rPr>
        <w:t xml:space="preserve">, </w:t>
      </w:r>
      <w:hyperlink r:id="rId183" w:history="1">
        <w:r>
          <w:rPr>
            <w:rFonts w:ascii="arial" w:eastAsia="arial" w:hAnsi="arial" w:cs="arial"/>
            <w:i/>
            <w:color w:val="0077CC"/>
            <w:sz w:val="20"/>
            <w:u w:val="single"/>
            <w:shd w:val="clear" w:color="auto" w:fill="FFFFFF"/>
            <w:lang w:val="en-US" w:eastAsia="en-US" w:bidi="ar-SA"/>
          </w:rPr>
          <w:t>[1999] B.C.J. No. 270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at para. 70.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[37] With that said, if there are mathematical aids that may be of some assistance, the court should start its analysis by considering them. For example, in </w:t>
      </w:r>
      <w:r>
        <w:rPr>
          <w:rFonts w:ascii="arial" w:eastAsia="arial" w:hAnsi="arial" w:cs="arial"/>
          <w:i/>
          <w:color w:val="000000"/>
          <w:sz w:val="20"/>
          <w:lang w:val="en-US" w:eastAsia="en-US" w:bidi="ar-SA"/>
        </w:rPr>
        <w:t>Henry v. Zenith</w:t>
      </w:r>
      <w:r>
        <w:rPr>
          <w:rFonts w:ascii="arial" w:eastAsia="arial" w:hAnsi="arial" w:cs="arial"/>
          <w:color w:val="000000"/>
          <w:sz w:val="20"/>
          <w:lang w:val="en-US" w:eastAsia="en-US" w:bidi="ar-SA"/>
        </w:rPr>
        <w:t xml:space="preserve"> </w:t>
      </w:r>
      <w:hyperlink r:id="rId1034" w:history="1">
        <w:r>
          <w:rPr>
            <w:rFonts w:ascii="arial" w:eastAsia="arial" w:hAnsi="arial" w:cs="arial"/>
            <w:i/>
            <w:color w:val="0077CC"/>
            <w:sz w:val="20"/>
            <w:u w:val="single"/>
            <w:shd w:val="clear" w:color="auto" w:fill="FFFFFF"/>
            <w:lang w:val="en-US" w:eastAsia="en-US" w:bidi="ar-SA"/>
          </w:rPr>
          <w:t>(1993), 31 B.C.A.C. 223</w:t>
        </w:r>
      </w:hyperlink>
      <w:r>
        <w:rPr>
          <w:rFonts w:ascii="arial" w:eastAsia="arial" w:hAnsi="arial" w:cs="arial"/>
          <w:color w:val="000000"/>
          <w:sz w:val="20"/>
          <w:lang w:val="en-US" w:eastAsia="en-US" w:bidi="ar-SA"/>
        </w:rPr>
        <w:t xml:space="preserve"> at paras. 44-48, </w:t>
      </w:r>
      <w:hyperlink r:id="rId1034" w:history="1">
        <w:r>
          <w:rPr>
            <w:rFonts w:ascii="arial" w:eastAsia="arial" w:hAnsi="arial" w:cs="arial"/>
            <w:i/>
            <w:color w:val="0077CC"/>
            <w:sz w:val="20"/>
            <w:u w:val="single"/>
            <w:shd w:val="clear" w:color="auto" w:fill="FFFFFF"/>
            <w:lang w:val="en-US" w:eastAsia="en-US" w:bidi="ar-SA"/>
          </w:rPr>
          <w:t>82 B.C.L.R. (2d) 186</w:t>
        </w:r>
      </w:hyperlink>
      <w:r>
        <w:rPr>
          <w:rFonts w:ascii="arial" w:eastAsia="arial" w:hAnsi="arial" w:cs="arial"/>
          <w:color w:val="000000"/>
          <w:sz w:val="20"/>
          <w:lang w:val="en-US" w:eastAsia="en-US" w:bidi="ar-SA"/>
        </w:rPr>
        <w:t xml:space="preserve"> (C.A.), this Court held that a trial judge's failure to consider an economist's projections of a plaintiff's lost future earning capacity contributed to the judge committing an error in principle, which "resulted in a wholly erroneous estimate of the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The actuarial evidence translates the evidence from Dr. Wallace and provides some context to understand the magnitude of the present value of particular losses over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xml:space="preserve">  As noted above, there is clear evidence to support a finding of an ability to return to work. Having regard to the factors often referred to and set out in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it is my conclusion that the plaintiff has proved a substantial possibility that her earning capacity is impaired. The degree of that is very difficult to identify due to her young age, her vulnerabilities that existed independent of the motor vehicle incident, the uncertain prospects for recovery and any resulting improvement in her employability. Given her resilience, the removal of some of the most significant psychosocial stressors very recently, the opinions regarding prospects for recovery and the allowances for care that I make below, I cannot accede to the arguments advanced by the plaintiff. Considering all of the evidence, a reasonable assessment of this component of the loss is $175,000.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Costs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As has been foreshadowed by my comments above and despite the position advanced by the defendant, it is my conclusion that providing more significant intervention post-trial will minimize, but not eliminate, the possibility of long standing impairment of the plaintiff's earning capacity by reducing the long-term effects of the incident-related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There is merit to the proposition that the plaintiff needs the assistance of others to ensure she follows through with her care. Ms. Phillips puts it this way: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Please note that I strongly recommend that Ms. Birkich proceed with further multi-disciplinary assessment and, hopefully, participation in a comprehensive rehabilitation program. From my assessment of Ms. Birkich and in my experience providing case management and occupational therapy services to similar individuals, Ms. Birkich is likely able to improve her function significantly both through physical, emotional and cognitive programs, and through learning compensatory strategies. Not only would appropriate programs assist Ms. Birkich in regaining competence and confidence in her daily life activities, but such programs will also assist her in obtaining and maintaining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This category of damages also has significant challenges as the actual success cannot be predicted. The plaintiff may choose not to engage. She has expressed some skepticism as to the utility of resources on the basis that she already knows what she will be told. In addition, even if she participates, the degree of success remains to be seen. The recommendations of Ms. Phillips are staged and some may not be utilized depending on the success achieved.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Ms. Phillips has done calculations which are helpful but in the final analysis this award must be an assessment, taking into account all of the uncertainties that the future holds. That assessment is informed by Ms. Phillips' costing, the actuarial translation of that to present values and all of the uncertainties referred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xml:space="preserve">  Our Court of Appeal in </w:t>
      </w:r>
      <w:r>
        <w:rPr>
          <w:rFonts w:ascii="arial" w:eastAsia="arial" w:hAnsi="arial" w:cs="arial"/>
          <w:i/>
          <w:color w:val="000000"/>
          <w:sz w:val="20"/>
          <w:lang w:val="en-US" w:eastAsia="en-US" w:bidi="ar-SA"/>
        </w:rPr>
        <w:t>Gignac v. Insurance Corporation of British Columbia</w:t>
      </w:r>
      <w:r>
        <w:rPr>
          <w:rFonts w:ascii="arial" w:eastAsia="arial" w:hAnsi="arial" w:cs="arial"/>
          <w:color w:val="000000"/>
          <w:sz w:val="20"/>
          <w:lang w:val="en-US" w:eastAsia="en-US" w:bidi="ar-SA"/>
        </w:rPr>
        <w:t xml:space="preserve">, </w:t>
      </w:r>
      <w:hyperlink r:id="rId143" w:history="1">
        <w:r>
          <w:rPr>
            <w:rFonts w:ascii="arial" w:eastAsia="arial" w:hAnsi="arial" w:cs="arial"/>
            <w:i/>
            <w:color w:val="0077CC"/>
            <w:sz w:val="20"/>
            <w:u w:val="single"/>
            <w:shd w:val="clear" w:color="auto" w:fill="FFFFFF"/>
            <w:lang w:val="en-US" w:eastAsia="en-US" w:bidi="ar-SA"/>
          </w:rPr>
          <w:t>2012 BCCA 351</w:t>
        </w:r>
      </w:hyperlink>
      <w:r>
        <w:rPr>
          <w:rFonts w:ascii="arial" w:eastAsia="arial" w:hAnsi="arial" w:cs="arial"/>
          <w:color w:val="000000"/>
          <w:sz w:val="20"/>
          <w:lang w:val="en-US" w:eastAsia="en-US" w:bidi="ar-SA"/>
        </w:rPr>
        <w:t>, described the basis for an award for the costs of future care in this way: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[29] The purpose of the award for costs of future care is to restore, as best as possible with a monetary award, the injured person to the position he would have been in had the accident not occurred.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[30] The award is "based on what is reasonably necessary on the medical evidence to promote the mental and physical health of the plaintiff["]: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108"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(B.C.S.C.) and adopted in </w:t>
      </w:r>
      <w:r>
        <w:rPr>
          <w:rFonts w:ascii="arial" w:eastAsia="arial" w:hAnsi="arial" w:cs="arial"/>
          <w:i/>
          <w:color w:val="000000"/>
          <w:sz w:val="20"/>
          <w:lang w:val="en-US" w:eastAsia="en-US" w:bidi="ar-SA"/>
        </w:rPr>
        <w:t>Aberdeen v. Zanatta</w:t>
      </w:r>
      <w:r>
        <w:rPr>
          <w:rFonts w:ascii="arial" w:eastAsia="arial" w:hAnsi="arial" w:cs="arial"/>
          <w:color w:val="000000"/>
          <w:sz w:val="20"/>
          <w:lang w:val="en-US" w:eastAsia="en-US" w:bidi="ar-SA"/>
        </w:rPr>
        <w:t xml:space="preserve">, </w:t>
      </w:r>
      <w:hyperlink r:id="rId192" w:history="1">
        <w:r>
          <w:rPr>
            <w:rFonts w:ascii="arial" w:eastAsia="arial" w:hAnsi="arial" w:cs="arial"/>
            <w:i/>
            <w:color w:val="0077CC"/>
            <w:sz w:val="20"/>
            <w:u w:val="single"/>
            <w:shd w:val="clear" w:color="auto" w:fill="FFFFFF"/>
            <w:lang w:val="en-US" w:eastAsia="en-US" w:bidi="ar-SA"/>
          </w:rPr>
          <w:t>2008 BCCA 420</w:t>
        </w:r>
      </w:hyperlink>
      <w:r>
        <w:rPr>
          <w:rFonts w:ascii="arial" w:eastAsia="arial" w:hAnsi="arial" w:cs="arial"/>
          <w:color w:val="000000"/>
          <w:sz w:val="20"/>
          <w:lang w:val="en-US" w:eastAsia="en-US" w:bidi="ar-SA"/>
        </w:rPr>
        <w:t xml:space="preserve"> at para. 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xml:space="preserve">  Another helpful reference can be found in </w:t>
      </w:r>
      <w:r>
        <w:rPr>
          <w:rFonts w:ascii="arial" w:eastAsia="arial" w:hAnsi="arial" w:cs="arial"/>
          <w:i/>
          <w:color w:val="000000"/>
          <w:sz w:val="20"/>
          <w:lang w:val="en-US" w:eastAsia="en-US" w:bidi="ar-SA"/>
        </w:rPr>
        <w:t>Izony v. Weidlich</w:t>
      </w:r>
      <w:r>
        <w:rPr>
          <w:rFonts w:ascii="arial" w:eastAsia="arial" w:hAnsi="arial" w:cs="arial"/>
          <w:color w:val="000000"/>
          <w:sz w:val="20"/>
          <w:lang w:val="en-US" w:eastAsia="en-US" w:bidi="ar-SA"/>
        </w:rPr>
        <w:t xml:space="preserve">, </w:t>
      </w:r>
      <w:hyperlink r:id="rId118" w:history="1">
        <w:r>
          <w:rPr>
            <w:rFonts w:ascii="arial" w:eastAsia="arial" w:hAnsi="arial" w:cs="arial"/>
            <w:i/>
            <w:color w:val="0077CC"/>
            <w:sz w:val="20"/>
            <w:u w:val="single"/>
            <w:shd w:val="clear" w:color="auto" w:fill="FFFFFF"/>
            <w:lang w:val="en-US" w:eastAsia="en-US" w:bidi="ar-SA"/>
          </w:rPr>
          <w:t>2006 BCSC 1315</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[70] At the outset, I note that the cost of future care award is "by its nature notional and not a precise accounting exercise to determine the strict minimum" required by the plaintiff: </w:t>
      </w:r>
      <w:r>
        <w:rPr>
          <w:rFonts w:ascii="arial" w:eastAsia="arial" w:hAnsi="arial" w:cs="arial"/>
          <w:b/>
          <w:i/>
          <w:color w:val="000000"/>
          <w:sz w:val="20"/>
          <w:lang w:val="en-US" w:eastAsia="en-US" w:bidi="ar-SA"/>
        </w:rPr>
        <w:t>Strachan (Guardian ad Litem of) v. Reynolds</w:t>
      </w:r>
      <w:r>
        <w:rPr>
          <w:rFonts w:ascii="arial" w:eastAsia="arial" w:hAnsi="arial" w:cs="arial"/>
          <w:color w:val="000000"/>
          <w:sz w:val="20"/>
          <w:lang w:val="en-US" w:eastAsia="en-US" w:bidi="ar-SA"/>
        </w:rPr>
        <w:t xml:space="preserve">, </w:t>
      </w:r>
      <w:hyperlink r:id="rId116" w:history="1">
        <w:r>
          <w:rPr>
            <w:rFonts w:ascii="arial" w:eastAsia="arial" w:hAnsi="arial" w:cs="arial"/>
            <w:i/>
            <w:color w:val="0077CC"/>
            <w:sz w:val="20"/>
            <w:u w:val="single"/>
            <w:shd w:val="clear" w:color="auto" w:fill="FFFFFF"/>
            <w:lang w:val="en-US" w:eastAsia="en-US" w:bidi="ar-SA"/>
          </w:rPr>
          <w:t>2006 BCSC 362</w:t>
        </w:r>
      </w:hyperlink>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Courdin v. Meyers</w:t>
      </w:r>
      <w:r>
        <w:rPr>
          <w:rFonts w:ascii="arial" w:eastAsia="arial" w:hAnsi="arial" w:cs="arial"/>
          <w:color w:val="000000"/>
          <w:sz w:val="20"/>
          <w:lang w:val="en-US" w:eastAsia="en-US" w:bidi="ar-SA"/>
        </w:rPr>
        <w:t xml:space="preserve"> </w:t>
      </w:r>
      <w:hyperlink r:id="rId117" w:history="1">
        <w:r>
          <w:rPr>
            <w:rFonts w:ascii="arial" w:eastAsia="arial" w:hAnsi="arial" w:cs="arial"/>
            <w:i/>
            <w:color w:val="0077CC"/>
            <w:sz w:val="20"/>
            <w:u w:val="single"/>
            <w:shd w:val="clear" w:color="auto" w:fill="FFFFFF"/>
            <w:lang w:val="en-US" w:eastAsia="en-US" w:bidi="ar-SA"/>
          </w:rPr>
          <w:t>(2005), 37 B.C.L.R. (4th) 222</w:t>
        </w:r>
      </w:hyperlink>
      <w:r>
        <w:rPr>
          <w:rFonts w:ascii="arial" w:eastAsia="arial" w:hAnsi="arial" w:cs="arial"/>
          <w:color w:val="000000"/>
          <w:sz w:val="20"/>
          <w:lang w:val="en-US" w:eastAsia="en-US" w:bidi="ar-SA"/>
        </w:rPr>
        <w:t xml:space="preserve">, </w:t>
      </w:r>
      <w:hyperlink r:id="rId117" w:history="1">
        <w:r>
          <w:rPr>
            <w:rFonts w:ascii="arial" w:eastAsia="arial" w:hAnsi="arial" w:cs="arial"/>
            <w:i/>
            <w:color w:val="0077CC"/>
            <w:sz w:val="20"/>
            <w:u w:val="single"/>
            <w:shd w:val="clear" w:color="auto" w:fill="FFFFFF"/>
            <w:lang w:val="en-US" w:eastAsia="en-US" w:bidi="ar-SA"/>
          </w:rPr>
          <w:t>2005 BCCA 91</w:t>
        </w:r>
      </w:hyperlink>
      <w:r>
        <w:rPr>
          <w:rFonts w:ascii="arial" w:eastAsia="arial" w:hAnsi="arial" w:cs="arial"/>
          <w:color w:val="000000"/>
          <w:sz w:val="20"/>
          <w:lang w:val="en-US" w:eastAsia="en-US" w:bidi="ar-SA"/>
        </w:rPr>
        <w:t xml:space="preserve"> at para 34, our Court of Appeal endorsed the following approach to dealing with the many imponderable factors and contingencies in assessing damages in this category: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Damages for cost of future care are a matter of prediction. No one knows the future. Yet the rule that damages must be assessed once and for all at the time of trial (subject to modification on appeal) requires courts to peer into the future and fix the damages for future care as best they can. In doing so, courts rely on the evidence as to what care is likely to be in the injured person's best interest. Then they calculate the present cost of providing that care and may make an adjustment for the contingency that the future may differ from what the evidence at trial indicates.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lang w:val="en-US" w:eastAsia="en-US" w:bidi="ar-SA"/>
        </w:rPr>
        <w:t>Krangle (Guardian ad litem of) v. Brisco</w:t>
      </w:r>
      <w:r>
        <w:rPr>
          <w:rFonts w:ascii="arial" w:eastAsia="arial" w:hAnsi="arial" w:cs="arial"/>
          <w:color w:val="000000"/>
          <w:sz w:val="20"/>
          <w:lang w:val="en-US" w:eastAsia="en-US" w:bidi="ar-SA"/>
        </w:rPr>
        <w:t xml:space="preserve">, </w:t>
      </w:r>
      <w:hyperlink r:id="rId44" w:history="1">
        <w:r>
          <w:rPr>
            <w:rFonts w:ascii="arial" w:eastAsia="arial" w:hAnsi="arial" w:cs="arial"/>
            <w:i/>
            <w:color w:val="0077CC"/>
            <w:sz w:val="20"/>
            <w:u w:val="single"/>
            <w:shd w:val="clear" w:color="auto" w:fill="FFFFFF"/>
            <w:lang w:val="en-US" w:eastAsia="en-US" w:bidi="ar-SA"/>
          </w:rPr>
          <w:t>[2002] 1 S.C.R. 205</w:t>
        </w:r>
      </w:hyperlink>
      <w:r>
        <w:rPr>
          <w:rFonts w:ascii="arial" w:eastAsia="arial" w:hAnsi="arial" w:cs="arial"/>
          <w:color w:val="000000"/>
          <w:sz w:val="20"/>
          <w:lang w:val="en-US" w:eastAsia="en-US" w:bidi="ar-SA"/>
        </w:rPr>
        <w:t xml:space="preserve">, </w:t>
      </w:r>
      <w:hyperlink r:id="rId44" w:history="1">
        <w:r>
          <w:rPr>
            <w:rFonts w:ascii="arial" w:eastAsia="arial" w:hAnsi="arial" w:cs="arial"/>
            <w:i/>
            <w:color w:val="0077CC"/>
            <w:sz w:val="20"/>
            <w:u w:val="single"/>
            <w:shd w:val="clear" w:color="auto" w:fill="FFFFFF"/>
            <w:lang w:val="en-US" w:eastAsia="en-US" w:bidi="ar-SA"/>
          </w:rPr>
          <w:t>2002 SCC 9</w:t>
        </w:r>
      </w:hyperlink>
      <w:r>
        <w:rPr>
          <w:rFonts w:ascii="arial" w:eastAsia="arial" w:hAnsi="arial" w:cs="arial"/>
          <w:color w:val="000000"/>
          <w:sz w:val="20"/>
          <w:lang w:val="en-US" w:eastAsia="en-US" w:bidi="ar-SA"/>
        </w:rPr>
        <w:t xml:space="preserve"> at para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The following is a table of the recommendations of Ms. Phillips taken from the actuarial report after the present values were calculated. It has been modified by the plaintiff from the original recommendations in recognition of the changes to the plaintiff's home circumstances, specifically Mr. Lariviere's son's departure and the provision of some services through government sources or funding.</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 id="_x0000_i1234" type="#_x0000_t75" style="width:432.06pt;height:354.8pt">
            <v:imagedata r:id="rId1035" o:title=""/>
          </v:shape>
        </w:pict>
      </w:r>
      <w:r>
        <w:rPr>
          <w:rFonts w:ascii="arial" w:eastAsia="arial" w:hAnsi="arial" w:cs="arial"/>
          <w:sz w:val="20"/>
          <w:lang w:val="en-US" w:eastAsia="en-US" w:bidi="ar-SA"/>
        </w:rPr>
        <w:t xml:space="preser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The defence relied on the report and opinions of another occupational therapist, Ms. Mulgrew. Generally, she did not disagree with the types of care recommended by Ms. Phillips but felt less intensive care was appropriate. The weight I attach to her opinion is diminished by the fact that she did very limited testing. Her observations were however the most current, having been made August 6,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Dr. Travlos commented on Ms. Phillips' recommendations and concluded they were reasonable with the exception of the costs of a mother's helper. In that regard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only issue is the cost of the mother's helper, which is certainly needed now, but probably not for the extended period of time noted in the report. The need for the assistance now is to help her to improve on her current situation which I made note of in my prior report regarding the need for assistance with her psychosocial situation. Having a mother's helper would clearly assist in that regard, giving her time out to attend her therapies and her own care needs and recovery. I have no issues with this over the short term. Over the long term, the issue simply becomes how well she responds to treatment and how well her psychosocial situation improves allowing her own emotional mental health to improve to allow for further recovery and thereby increase her ability to look after her own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There have also been significant developments since then in the departures of Mr. Lariviere and his son. In addition, she has secured assistance in getting day care for her son to relieve that pressure.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The plaintiff indicated she is no longer taking any medications. That is not to say that they are not recommended. It is unknown if or for how long any prescriptions will be continued.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Considering all of the above, it is my conclusion that the following is appropriate for future care arising from the incident related injuries:</w:t>
      </w:r>
      <w:r>
        <w:rPr>
          <w:rFonts w:ascii="arial" w:eastAsia="arial" w:hAnsi="arial" w:cs="arial"/>
          <w:sz w:val="20"/>
          <w:lang w:val="en-US" w:eastAsia="en-US" w:bidi="ar-SA"/>
        </w:rPr>
        <w:cr/>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Medication, including dispensing fees: $10,875. This is reduced by 50% from the $21,749 in the table above.</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Stage 1- Comprehensive Assessment: $6,593. This is the amount presented in the table above.</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Stage 2- Intensive Treatment (12 weeks): $11,870. This is the amount from the table above reduced by $1,091 for childcare.</w:t>
      </w:r>
    </w:p>
    <w:p>
      <w:pPr>
        <w:numPr>
          <w:numId w:val="4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Services: $18,243. This includes an allowance of $8,000 for a mother's helper to provide the best opportunity for the plaintiff to engage in and benefit from the assistance provided from the intensive treatment. Similarly, it includes $10,000 for access to a psychologist over time. It also includes the $243 for driver training.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In summary the plaintiff's award of damages is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495"/>
        <w:gridCol w:w="491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40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Non-pecuniary damages</w:t>
            </w:r>
          </w:p>
        </w:tc>
        <w:tc>
          <w:tcPr>
            <w:tcW w:w="481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$125,000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40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Loss of future earning capacity</w:t>
            </w:r>
          </w:p>
        </w:tc>
        <w:tc>
          <w:tcPr>
            <w:tcW w:w="481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$175,000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40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Costs of future care</w:t>
            </w:r>
          </w:p>
        </w:tc>
        <w:tc>
          <w:tcPr>
            <w:tcW w:w="481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u w:val="single"/>
                <w:lang w:val="en-US" w:eastAsia="en-US" w:bidi="ar-SA"/>
              </w:rPr>
              <w:t>$47,581</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40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TOTAL:</w:t>
            </w:r>
          </w:p>
        </w:tc>
        <w:tc>
          <w:tcPr>
            <w:tcW w:w="481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$347,581</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I have not heard from the parties as to costs. The parties are at liberty to schedule an appearance before me to address costs if this result does not resolve the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D.A. BETTON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35" style="position:absolute;z-index:25189068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036"/>
          <w:headerReference w:type="default" r:id="rId1037"/>
          <w:footerReference w:type="even" r:id="rId1038"/>
          <w:footerReference w:type="default" r:id="rId1039"/>
          <w:headerReference w:type="first" r:id="rId1040"/>
          <w:footerReference w:type="first" r:id="rId104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42" w:history="1">
        <w:r>
          <w:rPr>
            <w:rFonts w:ascii="arial" w:eastAsia="arial" w:hAnsi="arial" w:cs="arial"/>
            <w:b/>
            <w:bCs/>
            <w:i/>
            <w:color w:val="0077CC"/>
            <w:kern w:val="32"/>
            <w:sz w:val="28"/>
            <w:szCs w:val="32"/>
            <w:u w:val="single"/>
            <w:shd w:val="clear" w:color="auto" w:fill="FFFFFF"/>
            <w:lang w:val="en-US" w:eastAsia="en-US" w:bidi="ar-SA"/>
          </w:rPr>
          <w:t>Leweke v. Saanich School District No. 63, [2004] B.C.J. No. 1985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Meiklem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8 - 12 and 15,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24,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Victoria Registry No. 01 5416</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[2004] B.C.J. No. 1985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043" w:history="1">
        <w:r>
          <w:rPr>
            <w:rFonts w:ascii="arial" w:eastAsia="arial" w:hAnsi="arial" w:cs="arial"/>
            <w:i/>
            <w:color w:val="0077CC"/>
            <w:sz w:val="20"/>
            <w:u w:val="single"/>
            <w:shd w:val="clear" w:color="auto" w:fill="FFFFFF"/>
            <w:lang w:val="en-US" w:eastAsia="en-US" w:bidi="ar-SA"/>
          </w:rPr>
          <w:t>2004 BCSC 1251</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Paula Lynn Leweke, plaintiff, and Board of School Trustees of School District No. 63 (Saanich),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36" style="position:absolute;z-index:2517032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98" w:name="Keywords_41"/>
      <w:bookmarkEnd w:id="298"/>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Apportionment of liability — Occupiers' liability — Duty of occupier — Legislation.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99" w:name="Case Summary_41"/>
            <w:bookmarkEnd w:id="29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Leweke for damages against Saanich School District for injuries sustained when she fell from the bleachers in a high school gymnasium during a meet the teacher night. Leweke had attended the event in her work attire for her job as a nursing instructor, which included plastic dress shoes with 1-1/2 inch plastic heels. When climbing down from the third level bleacher, Leweke's foot slipped and she fell, sustaining severe multiple fractures of her left ankle. Leweke argued that Saanich breached its duties under the Occupier's Liability Act by failing to take reasonable care that she would be reasonably safe and failing to warn her of the dangerous condition of the bleachers. Saanich maintained that the bleachers were reasonably safe and that it did not fail in its statutory duties. It alternatively argued that the plaintiff's injuries were caused by her own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00" w:name="Holdings of Court_35"/>
            <w:bookmarkEnd w:id="300"/>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bleachers were not proven to be unsafe and constituted an ordinary risk. They were not deficient in design or maintenance and did not contravene building code standards. Leweke failed to exercise the required care and attention by not turning her mind to her relatively slippery footwear and then subsequently not exercising the appropriate caution on the bleachers. 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sole cause of the slip and fall.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01" w:name="Legislation Cited_28"/>
      <w:bookmarkEnd w:id="30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37" style="position:absolute;z-index:2517544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Occupier's Liability Act, s. 3(1), 3(2).</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02" w:name="Counsel_43"/>
      <w:bookmarkEnd w:id="30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38" style="position:absolute;z-index:2518056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A. Sheane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D.C. McKay and K.T. Bhandar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03" w:name="Judgment_43"/>
      <w:bookmarkEnd w:id="303"/>
      <w:r>
        <w:pict>
          <v:line id="_x0000_s1239" style="position:absolute;z-index:25185484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04" w:name="MEIKLEM J."/>
            <w:bookmarkEnd w:id="304"/>
            <w:r>
              <w:rPr>
                <w:rFonts w:ascii="arial" w:eastAsia="arial" w:hAnsi="arial" w:cs="arial"/>
                <w:b/>
                <w:color w:val="000000"/>
                <w:sz w:val="30"/>
                <w:lang w:val="en-US" w:eastAsia="en-US" w:bidi="ar-SA"/>
              </w:rPr>
              <w:t>MEIKLEM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NATURE OF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seeks damages for injuries sustained when she fell from the second level of telescopic wooden bleachers at a high school gymnasium while attending a "Meet the Teacher Night" in September 2001. She sustained severe multiple fractures of her left ankle which she claims will significantly impact her future earnings as a nursing instructor.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Liability is disputed. Ms. Leweke claims that the defendant breached its duties under the Occupier's Liability Act R.S.B.C. 1996 377 (the "Act") by failing to take reasonable care that she would be reasonably safe in using the seating for parents in the school gymnasium, and failing to warn her of the dangerous condition of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defendant maintains that the premises were reasonably safe and that it did not fail in its duty under the Act. The defendant alternatively argues that the plaintiff's fall and consequent injuries were caused wholly or in part by the plaintiff's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failing to take reasonable care for her own safety, in wearing inappropriate footwear, and in failing to watch where she was placing her foot when exiting off the bleachers.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AGREED FACTS PERTAINING TO THE LIABILITY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parties agreed to the following facts relevant to the liability issue:</w:t>
      </w:r>
      <w:r>
        <w:rPr>
          <w:rFonts w:ascii="arial" w:eastAsia="arial" w:hAnsi="arial" w:cs="arial"/>
          <w:sz w:val="20"/>
          <w:lang w:val="en-US" w:eastAsia="en-US" w:bidi="ar-SA"/>
        </w:rPr>
        <w:cr/>
      </w:r>
    </w:p>
    <w:p>
      <w:pPr>
        <w:numPr>
          <w:numId w:val="1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Meet the Teacher Night was held on Wednesday, September 19, 2001, commencing at 7:00 p.m., at Claremont Secondary School (the "School").</w:t>
      </w:r>
    </w:p>
    <w:p>
      <w:pPr>
        <w:numPr>
          <w:numId w:val="1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material time, a Meet the Teacher Night was held twice each year at the School.</w:t>
      </w:r>
    </w:p>
    <w:p>
      <w:pPr>
        <w:numPr>
          <w:numId w:val="1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September 19, 2001 Meet the Teacher Night, the parents were directed to the School theatre for introductory comments and to meet with School administration.</w:t>
      </w:r>
    </w:p>
    <w:p>
      <w:pPr>
        <w:numPr>
          <w:numId w:val="1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Meet the Teacher introductory comments were completed, parents, to include the plaintiff, were directed to pick up their child's student timetable in the hallway and to follow the timetable of classes and to meet with the teachers of those classes at the location designated on the timetable.</w:t>
      </w:r>
    </w:p>
    <w:p>
      <w:pPr>
        <w:numPr>
          <w:numId w:val="1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buzzer would ring which would signal to the parent groups that the time for meeting with a particular teacher was concluded and the parents were to proceed to the next class on their child's timetable at the location set out in the timetable.</w:t>
      </w:r>
    </w:p>
    <w:p>
      <w:pPr>
        <w:numPr>
          <w:numId w:val="1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September 19, 2001 Meet the Teacher Night, Pamela Moore, the P.E. Teacher of the Plaintiff's daughter (the "Teacher") met the parents of her students in the large gymnasium of the School.</w:t>
      </w:r>
    </w:p>
    <w:p>
      <w:pPr>
        <w:numPr>
          <w:numId w:val="1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Teacher had been employed by the School since 1983.</w:t>
      </w:r>
    </w:p>
    <w:p>
      <w:pPr>
        <w:numPr>
          <w:numId w:val="1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all material times, the Teacher was aware that some of her students would have parents who worked outside of the home, and that some of her students came from single parent families.</w:t>
      </w:r>
    </w:p>
    <w:p>
      <w:pPr>
        <w:numPr>
          <w:numId w:val="1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all material times, the Teacher was aware that the parents of students came in all shapes and sizes, had different levels of fitness, and ranged in age from the 30's through to the 50's. The Teacher had seen grandparents around the School as well.</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all material times, the Teacher was aware that some parents would be attending the Meet the Teacher Night in office or business attire.</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September 19, 2001, when the parents arrived in the large gymnasium to meet the Teacher, the Teacher directed the parents to be seated in wooden telescopic bleachers (the "Bleachers").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Teacher had a very short time - ten to fifteen minutes - to be with her parent groups. The Teacher would get the core of the parents in and seated, wait a few minutes, and then begin speaking. She would have about ten minutes to go through a hand-out with each parent group.</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Teacher would stand on the gym floor facing the Bleachers. She would be located at the middle of the Bleachers, facing the parent group, while going through the handout with the parent groups.</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September 19, 2001, the Teacher had met with one parent group (the "First Parent Group") before she met with the plaintiff's parent group (the "Second Parent Group").</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 the First Parent Group, the Teacher observed that parents came in to the gym and took seats close to where the Teacher was, the middle of the Bleachers, on the first, second and third rows of the Bleachers.</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 the First Parent Group, the Teacher observed that there was room to sit in the front row of the Bleachers and, in spite of that, some parents went up to the second and third row of the Bleachers.</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Teacher did not watch parents from the First Parent Group climbing down from the Bleachers.</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prior years at Meet the Teacher Night, the Teacher observed that parents would come in to the large gymnasium and not know where to sit. They would climb up the Bleachers to the fourth row, or up to the top of the Bleachers.</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plaintiff's daughter's P.E. class there were 26 students. The Teacher was aware that it was possible that 52 parents could attend for her talk.</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the plaintiff entered the large gymnasium, people from the Second Parent Group were already seated in the Bleachers.</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the plaintiff entered the large gymnasium, the Teacher had already started talking to the Second Parent Group.</w:t>
      </w:r>
    </w:p>
    <w:p>
      <w:pPr>
        <w:numPr>
          <w:numId w:val="1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Because the plaintiff had come in late, the Teacher did not have any handouts right there so she told the plaintiff that she could share a handout with another parent. The Teacher heard several parents offer to share their handout with the plaintiff. The Teacher asked the plaintiff to sit down.</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Teacher stopped her presentation for a minute and probably talked to the people in front of her while the plaintiff got situated. She did not watch the plaintiff climb up the bleachers.</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Teacher did not warn the plaintiff, or any parent, about any risks associated with the Bleachers, or make any attempt to stop the plaintiff, or any parent, from climbing up the Bleachers.</w:t>
      </w:r>
    </w:p>
    <w:p>
      <w:pPr>
        <w:numPr>
          <w:numId w:val="1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the Teacher finished her talk to the Second Parent Group, she did not give any warning of risks associated with climbing down the Bleachers, or offer or ensure assistance to parents climbing down the Bleachers.</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only document given by the Claremont Secondary School Physical Education Department to parents, to include the plaintiff, in advance of and pertaining to the September 19, 2001 Meet the Teacher Night was a document entitled, "Claremont Secondary School Physical Education Department - P.E. 9/10 Program Guidelines &amp; Policies".</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only document given to parents by Claremont Secondary School, to include the plaintiff, in advance of and pertaining to the September 19, 2001 Meet the Teacher Night was dated September 13, 2001 and entitled: "Update: Wednesday, September 19, 2001 MEET THE TEACHER NIGHT, 7 PM".</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material times, there were no signs in the gymnasium warning that the Bleachers could be slippery or hazardous, or warning that rubber soled shoes were required on the Bleachers.</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all material times, the Teacher did not advise parents not to climb up to the third or fourth row of the Bleacher, or give any instruction as to where to sit on the Bleachers.</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all material times, in addition to the Bleachers, there were metal bleachers in the large gymnasium which were not in use.</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all material times, the metal bleachers were not used because the Bleachers were easier to set up and closer to the doors.</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all material times, there was nothing preventing the Teacher from using the metal bleachers.</w:t>
      </w:r>
    </w:p>
    <w:p>
      <w:pPr>
        <w:numPr>
          <w:numId w:val="2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all material times, there were at least six to eight low benches available to the large and small gymnasiums and which were located in the large and small gymnasiums. The benches could be moved back and forth between the large and small gymnasiums.</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all material times, there was nothing preventing the Teacher from using some of the low benches.</w:t>
      </w:r>
    </w:p>
    <w:p>
      <w:pPr>
        <w:numPr>
          <w:numId w:val="2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other School events, chairs are set up in the gymnasium. To use chairs in the gymnasium, the Teacher calls maintenance, maintenance staff bring the chairs to the gym, School students place mats on the gym floor, and the Teacher sets up the chairs.</w:t>
      </w:r>
    </w:p>
    <w:p>
      <w:pPr>
        <w:numPr>
          <w:numId w:val="2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Chairs are set out in the School large gymnasium for the athletic banquet and for the one-to-one parent teacher interviews.</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all material times, there was nothing preventing the Teacher from setting out chairs for parents.</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Assuming the Bleachers were not in the gymnasium at the material times, or were "off limits", the Teacher could have arranged for other seating in the gymnasium. The Teacher could have seated the parent groups on a bench, on chairs, on the floor, or they could stand.</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probably classroom space available at the School at the time the Teacher met with her parent groups in the gymnasium.</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and the School do not know the name brand of the Bleachers from which the plaintiff fell.</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and the School do not know when the Bleachers were installed in the gymnasium.</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and the School do not know where or from whom the School obtained the Bleachers.</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and the School have no manufacturer's literature, catalogues or plans for the Bleachers.</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and the School have no records or knowledge regarding whether the Bleachers were ever assessed to ensure adherence to the Building Code.</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and the School have no reports or records regarding any inspection or maintenance program for the Bleachers.</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Records of incidents occurring at the School since 1983 are kept on file at the School. There are no records of incidents involving the Bleachers located in the incident file.</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Bleachers contain "raised cleats" measuring 3/4" x 3/4" x 8" located on the outside end of the "footstep" of each bleacher.</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Bleachers contain brackets designed to support handrails. The defendant does not use handrails. There are no handrails located at the School.</w:t>
      </w:r>
    </w:p>
    <w:p>
      <w:pPr>
        <w:numPr>
          <w:numId w:val="4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Teacher did not use handrails, nor had seen handrails used, in all of the years she had been a teacher at the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NARRATIVE AND FURTHER EVIDENCE RELATING TO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Ms. Leweke is a single parent, a nursing instructor, aged 47 at the time of the accident slip, who attended in her work attire, which included dress shoes with plastic soles and 1-1/2 inches heels also made of plastic. Ms. Leweke had attended at the same bleachers on many prior occasions to watch her two children play basketball. On those occasions she "typically" wore running shoes or rubber-soled shoes.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On this Meet the Teacher Night Ms. Leweke had first attended the school theatre, then a science classroom before entering the gymnasium. She was one of the last parents to enter the gymnasium to join the group of parents being addressed by Ms. Moore. She climbed to the third bleacher seat in order to accept another parent's (Ms. Russell) offer to share the teacher's handout. Ms. Russell was on the second bleacher seat. Ms. Leweke did not recall anyone else being seated on the third row, Ms. Lucy, a witness who saw Ms. Leweke fall, and her husband were also seated on the third level.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Following the teacher's remarks, which took approximately 15 minutes, and were punctuated by the school bell ringing to signal a move on to another location, Ms. Leweke stood up and waited for the lower two levels to clear. She placed her right foot on the second level bleacher seat, (actually 5-3/4 inches higher than the foot well that her left foot would have been standing on, between the second and third level seats) and her foot slipped. Her impression was that her foot slipped forward because of the smoothness of the second level bleacher seat. She fell to the floor and somehow in the course of her fall her left foot was "jammed" behind or under the bottom level bleacher, fracturing her ankle.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Ms. Leweke testified that she did not put her mind to the fact that she was wearing her footwear from work. She attributed this in part to the "hectic" pace of the "Meet the Teacher Night"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EXPERT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plaintiff's expert, forensic engineer, Mr. Granville Airton, P. Eng. of Consulco Forensic Engineering Inc. attended the scene in June 2002, and examined and measured the bleachers and tested the slip resistance of the second level bleacher seat in the area where Ms. Leweke slipped. He utilized a part of the sole and the whole heel of Ms. Leweke's right shoe in the testing device, as well as friction blocks made of rubber, neolite, and leather for comparison. The coefficient of friction between the varnished wooden seat and Ms. Leweke's shoe heel was .27 and for the sole of her shoe it was .31. These coefficients of friction compare to the leather friction block's coefficient of .30, the neolite's coefficient of .64 and the coefficient with the rubber friction block of .66.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Airton's report cites a direction from a generally recognized expert Dr. Robert Brungraber that coefficients of friction produced by the Slip Test Mark II of lower than .35 are not acceptably slip resistant. Mr. Airton's report includes this passage: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These results indicate that although the coefficient of friction is satisfactory for rubber and Neolite on the subject varnished seating, it is lower than .35 for leather and the subject sole and heel materials and this is not reasonably slip resistant. This would explain why Ms. Leweke's right foot slipped out when she placed it on the second seat in the course of moving down to the floor of the gym.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Airton also makes reference to the primary thrust of provincial and national building codes with regard to getting people out of buildings safely in times of emergencies such as fires or earthquakes. He suggests that surfaces that occupants walk on or climb down must be safe for all kinds of footwear that could realistically be expected to be used at the time of an emergency, which he suggests includes the plastic sole and heel materials used on Ms. Leweke's shoes.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Airton's report also stated the opinion that the bleachers did not comply with the requirements of the applicable building code in that, by his measurements, the vertical distance between the seats exceeded the allowable 280 mm. (about 11 inches). Mr. Airton measured the vertical distance between the first and second level at 11-1/8 inches and between the second and third level at 11-1/4 inches. (I will refer later to contradictory evidence from the defendant's engineer.)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applicable code requires an intermediate step to be provided in aisles where the vertical distance between seats exceeds the stated limit. There are no aisles in these bleachers, which causes Mr. Airton to conclude that the whole of the bleachers constitutes an aisle for the purposes of the code. It is unclear to me how it would be possible to install an intermediate step in the foot well of the bleachers themselves, as these bleachers are designed, because the horizontal width of the foot well is only 13 inches, and an intermediate step would preclude the use of the foot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any event, Ms. Leweke's slip did not occur as she was stepping from seat to seat. She was stepping up to the seat platform immediately in front of the foot well that her feet occupied while she was seated. If there was a non-compliance with the building code it played no role in her slip and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Airton pointed out that the bleachers had sleeves for installation of removable guardrails and the building code required guardrail protection for bleacher seats more than 1.2 m. above the floor. Although Ms. Leweke was sitting lower than 1.2 m. above the floor, Mr. Airton's opinion is that if a guardrail was installed to comply with the code it would probably have utilized the sleeves at the lower levels below the legal requirement, and would have been available to assist Ms. Leweke if she had moved closer to the end of the bleachers as she began to leave.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While I agree that Ms. Leweke may well have utilized a guardrail or handrail if one was installed in excess of the code requirement, the non-compliance with guarding requirements of the code for the seats above 1.2 m. played no role in her accident and it is speculative to conclude that a compliant occupier would have installed a guard below the required limit.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defendant countered Mr. Airton's report with a report from Craig Brown P. Eng. of MacInnes Engineering Associates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Brown's measurements of vertical distances between seating differ from Mr. Airton's. Mr. Brown measured the elevations of the respective seat levels relative to the floor at three points on each level and determined an average vertical distance of 265 mm. with a maximum of 271 mm. This appears to be a more accurate methodology than Mr. Airton's. Mr. Airton used a spirit level to measure seat-to-seat levels.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Brown used a different device, known as an English Variable Incident Tribometer (VIT) to test the coefficient of friction of the bleacher seats in October 2003. This device uses a friction disk of neolite, and tests were done at two positions on each of the four lower seats. The average coefficient of friction was .60 with a range of .54 to .70. This result is comparable to Mr. Airton's finding of .64 neolite with the different testing device.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Brown's report provides comparable coefficients of friction for several other walking surfaces tested, such as .62 for exposed aggregate concrete, .63 for 2-year old heavily used textured vinyl sheet linoleum, .70 for polished marble, and .71 for painted ceramic tile on stairs. He also makes reference to Dr. Brungraber's discussion paper referring to a coefficient of friction of .5 as a generally safe criterion for shoes and walkway surfaces, but pointing out that slightly lower levels of friction may be acceptable on stairs. (Due to a person's body geometry while using stairs, which does not involve striking the heel first.)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Brown tested Ms. Leweke's left shoe material on various floor surfaces, including maple and oak, both as-purchased and scuffed with steel wool to simulate wear, and on vinyl composition tile. In the case of as-purchased maple, her sole was equivalent to vegetable tanned sole leather with a coefficient of friction of .33, which he described as "low and could be hazardous if unexpected". On the other surfaces her sole provided friction that was only 53 to 72% of the friction provided by leather on the same surface. On as-purchased oak, the coefficient of friction was .31 -.33, whereas leather was .43 -.47. On vinyl composition tile it was .32 compared to .60 for leather.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Brown's friction test results on Ms. Leweke's sole material are consistent with Mr. Airton's. Mr. Brown did not test the friction of the heel material, which Mr. Airton found provided even less friction than the sole. He testified that he did not do so because he understood Ms. Leweke was stepping down and the heel would not be a factor. His understanding was in error on this point, because Ms. Leweke was, in fact, stepping up with her right foot to the second level seat, which was, as I have noted, 5-3/4 inches higher than the foot well where her feet had been.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Brown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Comparing these friction values to the Brungraber criterion of .5 indicates that [Ms. Leweke's] sole material can be hazardous on many surfaces.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 note that Mr. Airton's report speaks of Dr. Brungraber's direction or criterion of a .35 coefficient of friction and Mr. Brown's spoke of Dr. Brungraber's criterion of .5. The discussion paper referred by Mr. Brown indicates that Dr. Brungraber refers to the two criteria in different contexts. Dr. Brungraber refers to Sidney James of Underwriters Laboratories as setting a standard coefficient of .5 for floor polishes that was first adopted by the U.S. Federal Trade Commission in 1953 and finally by ASTM D2047 about 1960. He then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setting the standard of .5 that appears in ASTM D2047, James doubtless used test results made with his device on floors that had given satisfactory service. Later anthropometric and kineseologic studies have shown that for most people, wearing heels of modest height, and taking normal strides, a minimum value of .3 to .4 is needed just to prevent slip. Thus the .5 value includes a factor of safety of 1.3 to 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Brown's report contains the following reasoning: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reference by Brungraber et al is a discussion paper regarding walking surfaces. The authors discuss a coefficient of friction of .5 as a generally safe criterion for shoes and walking surfaces. The paper points out, however, that slightly lower levels of friction may be acceptable on stairs.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follows that the average friction value measured by the English VIT of 0.60 for the bleacher seats indicates a surface that should provide adequate slip resistance for ascending or descending.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This reasoning depends to some extent on the erroneous understanding that Ms. Leweke was stepping down the bleachers as if descending stairs, that is, using primarily the sole and not the heel for weight bearing. In fact, while her intended subsequent movement would obviously have been a step down, she was, at the time she slipped, obviously applying weight to her right foot on the seat platform in front of, and higher than, the level of the foot well in order to be standing on the second level seat platform before descending to the first level. If she were doing so as the first upward step in an ascent of stairs, she naturally would have used her sole for weight bearing. However, in the circumstances she would have been intending to either bring her left foot up to the same platform and stand on both feet briefly before stepping down with either her right foot or her left foot or use her right footing as a balance point as she raised her left foot up and over the second level seat platform and down to the first level seat platform. I think that it is more likely that she was intending the former, since common sense indicates that the latter is a more difficult movement, requiring balance to be maintained as the body is first lifted up and then down while standing on one leg. In either case, she was much more likely to involve her heel in the weight bearing in order to maintain balance than would a person continuously ascending or descending stairs.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It is also noteworthy that the bleachers were not ordinary stairs. Not only was the vertical distance between them near the maximum 11 inches, but there was a 13 inch horizontal distance between the leading edge of each seat platform and the trailing edge of the next one. The platforms were 9-1/4 inches wide. Therefore, a person's horizontal movement for each step taken if the seat platforms were used as stairs would be 22-1/4 inches. Common sense suggests this would, even for someone descending the seating platforms as stairs on the balls of their feet, increase the horizontal forces at the point of contact over those that would occur on ordinary stairs.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Thus the opinion that slightly lower levels of friction may be acceptable on stairs is probably not applicable in the circumstances of this case, in my 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On the other hand there is no expert evidence that suggests these bleachers should have a higher coefficient of friction than a floor in order to be acceptably safe. Mr. Brown's report indicates that there is no directly applicable test standard to determine the required friction characteristics of these bleachers, and he said: "Since the bleachers are not a means of egress from a building, building codes regarding exits do not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two expert reports, taken together, support the following additional conclusions:</w:t>
      </w:r>
      <w:r>
        <w:rPr>
          <w:rFonts w:ascii="arial" w:eastAsia="arial" w:hAnsi="arial" w:cs="arial"/>
          <w:sz w:val="20"/>
          <w:lang w:val="en-US" w:eastAsia="en-US" w:bidi="ar-SA"/>
        </w:rPr>
        <w:cr/>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coefficient of friction of Ms. Leweke's right shoe sole on the bleacher seat surface was .31, as compared to .30 for leather and .64 for neolite;</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coefficient of friction of Ms. Leweke's right shoe heel on the bleacher seat surface was .27;</w:t>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coefficient of friction of the bleacher seat surface and neolite was marginally less than exposed aggregate concrete and textured vinyl sheet linoleum;</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coefficient of friction of Ms. Leweke's sole and the bleacher seat surface (.31) was approximately equivalent to the coefficient of friction between her sole and as-purchased pre-finished solid maple (.33) and oak parquet flooring (.31-.33) and as-purchased vinyl composition tile (.32);</w:t>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infer that Ms. Leweke's heel would have a coefficient of friction on the maple, oak and vinyl composition tile roughly equivalent to its .27 coefficient on the bleacher seat surface.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ANALYSIS OF THE LIABILITY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Standard of Care Required of Occupiers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Sub-sections 3(1) and 3(2) of the Occupier's Liability Act </w:t>
      </w:r>
      <w:r>
        <w:rPr>
          <w:rFonts w:ascii="arial" w:eastAsia="arial" w:hAnsi="arial" w:cs="arial"/>
          <w:i/>
          <w:color w:val="000000"/>
          <w:sz w:val="20"/>
          <w:lang w:val="en-US" w:eastAsia="en-US" w:bidi="ar-SA"/>
        </w:rPr>
        <w:t>R.S.B.C. 1996 Chapter 337</w:t>
      </w:r>
      <w:r>
        <w:rPr>
          <w:rFonts w:ascii="arial" w:eastAsia="arial" w:hAnsi="arial" w:cs="arial"/>
          <w:color w:val="000000"/>
          <w:sz w:val="20"/>
          <w:lang w:val="en-US" w:eastAsia="en-US" w:bidi="ar-SA"/>
        </w:rPr>
        <w:t xml:space="preserve"> set out both the duty of care and the standard of care owed by an occupier to persons entering on premises:</w:t>
      </w:r>
      <w:r>
        <w:rPr>
          <w:rFonts w:ascii="arial" w:eastAsia="arial" w:hAnsi="arial" w:cs="arial"/>
          <w:sz w:val="20"/>
          <w:lang w:val="en-US" w:eastAsia="en-US" w:bidi="ar-SA"/>
        </w:rPr>
        <w:cr/>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occupier of premises owes a duty to take that care that in all the circumstances of the case is reasonable to see that a person, . . . will be reasonably safe in using the premises.</w:t>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duty of care referred to in subsection (1) applies in relation to the</w:t>
      </w:r>
    </w:p>
    <w:p>
      <w:pPr>
        <w:numPr>
          <w:numId w:val="4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condition of the premises,</w:t>
      </w:r>
    </w:p>
    <w:p>
      <w:pPr>
        <w:numPr>
          <w:numId w:val="4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activities on the premises, or</w:t>
      </w:r>
    </w:p>
    <w:p>
      <w:pPr>
        <w:numPr>
          <w:numId w:val="4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conduct of third parties on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The law is clear that there need not be an unusual danger, and that the focus of the standard of care is to the safety of the visitor: see Weiss v. YMCA of Greater Vancouver, </w:t>
      </w:r>
      <w:hyperlink r:id="rId1044" w:history="1">
        <w:r>
          <w:rPr>
            <w:rFonts w:ascii="arial" w:eastAsia="arial" w:hAnsi="arial" w:cs="arial"/>
            <w:i/>
            <w:color w:val="0077CC"/>
            <w:sz w:val="20"/>
            <w:u w:val="single"/>
            <w:shd w:val="clear" w:color="auto" w:fill="FFFFFF"/>
            <w:lang w:val="en-US" w:eastAsia="en-US" w:bidi="ar-SA"/>
          </w:rPr>
          <w:t>[1979] B.C.J. No. 966</w:t>
        </w:r>
      </w:hyperlink>
      <w:r>
        <w:rPr>
          <w:rFonts w:ascii="arial" w:eastAsia="arial" w:hAnsi="arial" w:cs="arial"/>
          <w:color w:val="000000"/>
          <w:sz w:val="20"/>
          <w:lang w:val="en-US" w:eastAsia="en-US" w:bidi="ar-SA"/>
        </w:rPr>
        <w:t xml:space="preserve"> (B.C.C.A.). It is now equally clear that the visitors' familiarity with the premises and awareness of their condition, while always a factor to be considered in relation to voluntary assumption of risk or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does not absolve an occupier who has failed to meet the standard of care and that failure has caused injury; only a consent to the legal risk, in effect a waiver of legal rights, will absolve the occupier of unsafe premises: see Waldick v. Malcolm, </w:t>
      </w:r>
      <w:r>
        <w:rPr>
          <w:rFonts w:ascii="arial" w:eastAsia="arial" w:hAnsi="arial" w:cs="arial"/>
          <w:i/>
          <w:color w:val="000000"/>
          <w:sz w:val="20"/>
          <w:lang w:val="en-US" w:eastAsia="en-US" w:bidi="ar-SA"/>
        </w:rPr>
        <w:t>[1991] 2 S.C.R. 456</w:t>
      </w:r>
      <w:r>
        <w:rPr>
          <w:rFonts w:ascii="arial" w:eastAsia="arial" w:hAnsi="arial" w:cs="arial"/>
          <w:color w:val="000000"/>
          <w:sz w:val="20"/>
          <w:lang w:val="en-US" w:eastAsia="en-US" w:bidi="ar-SA"/>
        </w:rPr>
        <w:t>, interpreting "risks willingly assumed", the phrase contained in the Occupiers Liability Act of our province and in similar statutes in other jurisdictions.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Arguments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There is no suggestion in this case of the plaintiff willingly assuming any risk in the sense that the law recognizes as absolving the occupier of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plaintiff argued that the defendant was negligent in seating the plaintiff on the bleachers at Meet the Teacher Night, and should have used an alternative meeting room or different seating, considering the absence of guardrails or slip-resistant paint or strips on the bleacher seats which rendered them unsafe, and also negligent in failing to provide a warning of risk or requiring rubber-soled shoes on the bleachers. It is argued that nothing more than common sense was needed to foresee the risks of harm posed by the bleachers for the seating of parents of unknown physical capabilities who might foreseeably be attending in office clothing.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defendant denies the premises were unsafe or that the defendant failed to meet the standard of care and the defendant takes issue with the reasonableness of the plaintiff's explanation of how she fell.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only independent witness called by the plaintiff as to her fall was Ms. Josephson. She was sitting on the second row of bleacher seats and she heard a commotion, turned to her right and saw Ms. Leweke in mid-fall, falling forward.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defendant called Ms. Lucy, a parent in the third or fourth row of seats in an adjacent set of bleachers. She said she saw Ms. Leweke going from vertical, then falling, and she saw the course of the fall, but did not see her catch her foot during the fall. In examination-in-chief she said she saw Ms. Leweke falling forward and to her left, but in cross-examination she agreed she pitched backwards and to the left. This seems consistent with Ms. Leweke's evidence of her right foot slipping.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defendant also called the physical education teacher, Ms. Moore. After concluding her speech to the group, she was speaking to an individual parent on the floor and "out of the corner of her eye" saw Ms. Leweke wavering on the second level and then fall to the floor. She demonstrated the wavering as a forward and backward tilting motion.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defendant also called Ms. MacNeil, a former friend of the plaintiff and wife of a teacher that Ms. Leweke had complained about in writing to his principal. She denied suggestions of bias against the plaintiff and testified about Ms. Leweke's frequency of attending at the gymnasium and sitting in the wooden bleachers. She also testified that she and Ms. Leweke occasionally sat together on the bleacher seat where the plaintiff's fall occurred, and she had noted that Ms. Leweke sometimes struggled to maintain balance. Ms. MacNeil had seen her waiver at times and put out a hand to steady her. On one occasion she said: "Paula, why do you do this to yourself?" and received the response that Ms. Leweke wanted to sit up higher.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Ms. Leweke is a relatively large woman who stated upon hospitalization that she weighed 208 pounds. She stated she was 5'10" in height, but Dr. Morton reported her as 5'9-1/2" and Dr. Yoneda reported her as 5'8-1/2".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defendant agreed that the plaintiff's evidence on the mechanics of her fall is inconceivable because if her left foot remained in the foot well between the third and second bleacher seats when her right foot slipped, it would be impossible for her left foot to end up in the foot well between the first and second seat, as she indicated. The defendant's theory in cross-examining the plaintiff was that she stood up on the second bleacher, lost her balance and fell forward.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fairness to Ms. Leweke as a witness, she was unable to explain where her left foot was when she slipped. She was not cross-examined in minute detail as to her perceptions of her body position at very phase of her slip and fall. It would probably have been a non-persuasive endeavour, perhaps even futile, because no one can be expected to do much more than reconstruct the sequence of such an unexpected and rapid occurrence from a small number of discrete reliable recollections. Clearly, in order for slippage of her right foot to cause her to fall, she must have by the time of the slip transferred a good deal of her weight, perhaps all of it, to that foot. Her evidence was not so specific as to state that she was still standing on her left foot in the foot well and it is very unlikely that she was. She may have raised her left foot sufficiently that when her right foot slipped forward and she pitched backwards as stated by Ms. Lucy, her left foot cleared the second bleacher seat and came forward into the lower foot well and was caught, as she fell downward.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We will never know the full mechanical details of Ms. Leweke's mishap, but I find her recollection of her right foot slipping forward is probably reliable. The only evidence supporting the defendant's theory is that of Ms. Moore, together with inferences from Ms. MacNeil. Ms. Moore's evidence, however, is not necessarily inconsistent with the plaintiff's and was not a direct observation. Her evidence that the plaintiff had both feet in the foot well at the time is most improbable. I do find, however, that lack of proper balance probably played a role in her losing her footing in conjunction with her size and her footwear, which was clearly inappropriate and hazardous for negotiating wooden bleachers.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The plaintiff must prove not only a breach of the standard of care, in other words,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but also that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cause of her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plaintiff's argument is basically that the defendant, with positive inquiry and assessment should have known the bleachers were unsafe for the purposes of seating the parents and should have provided alternative seating or an alternative meeting place, or at the very least should have warned the attendees of the poor slip-resistance of the bleachers. This argument is wholly dependent on first establishing that the bleachers were unsafe for the purposes of seating the parents. The unsafe nature is said to be the low coefficient of friction between the bleachers and plastic or leather-soled footwear, that is, its degree of slip-resistance to such footwear.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expert evidence establishes that the slip-resistance of the bleachers to Ms. Leweke's plastic soles was effectively equivalent to that of new hardwood or vinyl tile flooring. Looking at the polished hardwood floors depicted in the photographic evidence of the bleachers in the gymnasium, one would expect the bleachers to be of a similar slipperiness.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Ms. Leweke had been in the gymnasium and on the bleachers many times, "typically" in running shoes, she testified. I expect her choice of footwear on those occasions when she knew in advance that she was attending the gymnasium was partly a matter of respect for the flooring as well as for her own comfort. Although on this occasion she clearly did not anticipate in advance having to go to the gymnasium, she fully knew what to expect when that need became apparent.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Any adult with common sense knows that smooth, hard-soled shoes such as those made of leather or plastic are not slip-resistant on many surfaces and require special care when walking or moving about. Common sense also suggests that bleachers require careful "negotiation", (to use Ms. MacNeil's apt description), something that in Ms. Leweke's case was verified by her frequent prior use. By her own admission, Ms. Leweke was oblivious to the fact she was wearing her dress shoes. The obvious inference is that she would not, therefore, have been taking the required extra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An occupier does not have a duty to warn adults of the ordinary risks of everyday life: see Malcolm v. British Columbia Transit, </w:t>
      </w:r>
      <w:hyperlink r:id="rId1045" w:history="1">
        <w:r>
          <w:rPr>
            <w:rFonts w:ascii="arial" w:eastAsia="arial" w:hAnsi="arial" w:cs="arial"/>
            <w:i/>
            <w:color w:val="0077CC"/>
            <w:sz w:val="20"/>
            <w:u w:val="single"/>
            <w:shd w:val="clear" w:color="auto" w:fill="FFFFFF"/>
            <w:lang w:val="en-US" w:eastAsia="en-US" w:bidi="ar-SA"/>
          </w:rPr>
          <w:t>[1988] B.C.J. 1945</w:t>
        </w:r>
      </w:hyperlink>
      <w:r>
        <w:rPr>
          <w:rFonts w:ascii="arial" w:eastAsia="arial" w:hAnsi="arial" w:cs="arial"/>
          <w:color w:val="000000"/>
          <w:sz w:val="20"/>
          <w:lang w:val="en-US" w:eastAsia="en-US" w:bidi="ar-SA"/>
        </w:rPr>
        <w:t xml:space="preserve"> (B.C.C.A.) and Choromanski v. Malaspina University College, </w:t>
      </w:r>
      <w:hyperlink r:id="rId1046" w:history="1">
        <w:r>
          <w:rPr>
            <w:rFonts w:ascii="arial" w:eastAsia="arial" w:hAnsi="arial" w:cs="arial"/>
            <w:i/>
            <w:color w:val="0077CC"/>
            <w:sz w:val="20"/>
            <w:u w:val="single"/>
            <w:shd w:val="clear" w:color="auto" w:fill="FFFFFF"/>
            <w:lang w:val="en-US" w:eastAsia="en-US" w:bidi="ar-SA"/>
          </w:rPr>
          <w:t>[2002] B.C.J. 1244</w:t>
        </w:r>
      </w:hyperlink>
      <w:r>
        <w:rPr>
          <w:rFonts w:ascii="arial" w:eastAsia="arial" w:hAnsi="arial" w:cs="arial"/>
          <w:color w:val="000000"/>
          <w:sz w:val="20"/>
          <w:lang w:val="en-US" w:eastAsia="en-US" w:bidi="ar-SA"/>
        </w:rPr>
        <w:t xml:space="preserve"> (B.C.S.C.). In my view the bleachers themselves have not been proven unsafe and constituted an ordinary risk. It is significant that with an estimated 10,000 users per year over at least 20 years, the school had not recorded a single incident of injury on the bleachers.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 ON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plaintiff has not established that the bleachers were deficient in design or maintenance or contravened any applicable building code standards that had any causal relationship to the mishap. There are no slip-resistance standards applicable to bleachers and the slip-resistance of the bleachers has not been demonstrated to be unsafe, provided that the user exercises the extra care and attention that the ordinary risks associated with bleachers requires.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Ms. Leweke failed to exercise the required care and attention by not turning her mind to her relatively slippery footwear and then subsequently not exercising the appropriate caution on the bleachers. In my view, her own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sole cause of the slip and fall and I find no departure from the required standard of care on the part of the defendant. The plaintiff's action is dismissed, with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In the event that I had found the defendant negligent on the basis that the appropriate standard of care would have required some sort of warning to parents not to climb the bleachers in smooth hard-soled dress shoes, I would have apportioned liability 80% to the plaintiff and 20% to the defendant. I would have assessed the following damages, before apportionment: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346"/>
        <w:gridCol w:w="732"/>
        <w:gridCol w:w="1464"/>
        <w:gridCol w:w="42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 pecuniary Damages</w:t>
            </w:r>
          </w:p>
        </w:tc>
        <w:tc>
          <w:tcPr>
            <w:tcW w:w="71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50,000.00</w:t>
            </w:r>
          </w:p>
        </w:tc>
        <w:tc>
          <w:tcPr>
            <w:tcW w:w="419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555"/>
        <w:gridCol w:w="1987"/>
        <w:gridCol w:w="42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Loss of Earning Capacity</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$ 300,000.00</w:t>
            </w:r>
          </w:p>
        </w:tc>
        <w:tc>
          <w:tcPr>
            <w:tcW w:w="419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137"/>
        <w:gridCol w:w="2405"/>
        <w:gridCol w:w="42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Cost of Future Care</w:t>
            </w:r>
          </w:p>
        </w:tc>
        <w:tc>
          <w:tcPr>
            <w:tcW w:w="235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$ 114,700.00</w:t>
            </w:r>
          </w:p>
        </w:tc>
        <w:tc>
          <w:tcPr>
            <w:tcW w:w="419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451"/>
        <w:gridCol w:w="627"/>
        <w:gridCol w:w="1464"/>
        <w:gridCol w:w="42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37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Part Wage Loss (agreed)</w:t>
            </w:r>
          </w:p>
        </w:tc>
        <w:tc>
          <w:tcPr>
            <w:tcW w:w="61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77,844.00</w:t>
            </w:r>
          </w:p>
        </w:tc>
        <w:tc>
          <w:tcPr>
            <w:tcW w:w="419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555"/>
        <w:gridCol w:w="523"/>
        <w:gridCol w:w="1464"/>
        <w:gridCol w:w="42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Damages (agreed)</w:t>
            </w:r>
          </w:p>
        </w:tc>
        <w:tc>
          <w:tcPr>
            <w:tcW w:w="51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6,472.28</w:t>
            </w:r>
          </w:p>
        </w:tc>
        <w:tc>
          <w:tcPr>
            <w:tcW w:w="419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405"/>
        <w:gridCol w:w="3137"/>
        <w:gridCol w:w="42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35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307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$ 549,016.28</w:t>
            </w:r>
          </w:p>
        </w:tc>
        <w:tc>
          <w:tcPr>
            <w:tcW w:w="419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MEIKLEM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40" style="position:absolute;z-index:25189171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047"/>
          <w:headerReference w:type="default" r:id="rId1048"/>
          <w:footerReference w:type="even" r:id="rId1049"/>
          <w:footerReference w:type="default" r:id="rId1050"/>
          <w:headerReference w:type="first" r:id="rId1051"/>
          <w:footerReference w:type="first" r:id="rId105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53" w:history="1">
        <w:r>
          <w:rPr>
            <w:rFonts w:ascii="arial" w:eastAsia="arial" w:hAnsi="arial" w:cs="arial"/>
            <w:b/>
            <w:bCs/>
            <w:i/>
            <w:color w:val="0077CC"/>
            <w:kern w:val="32"/>
            <w:sz w:val="28"/>
            <w:szCs w:val="32"/>
            <w:u w:val="single"/>
            <w:shd w:val="clear" w:color="auto" w:fill="FFFFFF"/>
            <w:lang w:val="en-US" w:eastAsia="en-US" w:bidi="ar-SA"/>
          </w:rPr>
          <w:t>Chingee v. British Columbia, [2016] B.C.J. No. 866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Prince George,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F.E. Verhoeven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16-19,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28,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1343188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Prince George</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[2016] B.C.J. No. 866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2016 BCSC 760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Harry Chingee, Plaintiff, and (1) Her Majesty the Queen in Right of the Province of British Columbia; (2) Canadian Forest Products Ltd.; (3) Conifex Mackenzie Forest Products Inc.; (4) Lakeland Mills Ltd.; (5) Mackenzie Fiber Management Corp.; (6) Winton Global Lumber Ltd.; (7) 813090 BC Ltd.; (8) 550031 BC Ltd.; (9) Dig Deep Ventures Ltd.; (10) Dollar Saver Lumber Ltd.; (11) Duz Cho Logging Ltd.; (12) EKO Logging Ltd.; (13) JEM Industries Inc.; (14) J.V. Logging Ltd.; (15) M.G. Logging and Sons Ltd.; (16) Chief and Council of McLeod Lake Indian Band and McLeod Lake Indian Band; (17) MJM Forestry Ltd.; (18) SDN Forest Ventures Inc.; (19) Treeco Timber Corp.; (20) Timberspan Wood Products Inc.; (21) Wayne Telford; (22) Loris Bedetti; and (23) Arnold Bremner,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(129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41" style="position:absolute;z-index:2517043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05" w:name="Keywords_42"/>
      <w:bookmarkEnd w:id="305"/>
      <w:r>
        <w:rPr>
          <w:rFonts w:ascii="arial" w:eastAsia="arial" w:hAnsi="arial" w:cs="arial"/>
          <w:b/>
          <w:color w:val="000000"/>
          <w:sz w:val="20"/>
          <w:lang w:val="en-US" w:eastAsia="en-US" w:bidi="ar-SA"/>
        </w:rPr>
        <w:t xml:space="preserve">Civil procedure — Civil litigation — Pleadings — Striking out pleadings or allegations — Grounds — Failure to disclose a cause of action or defence — Particulars — Sufficiency — Application by the defendants Province of British Columbia and 183090 BC (813) to strike the plaintiff's claims allowed — The plaintiff, a certified hunting guide with two registered trap lines, claimed in private nuisance,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breach of contract, and breach of fiduciary duty — The plaintiff claimed that the defendant's logging companies, authorized under timber sale licences, had caused him economic loss — The pleadings lacked sufficient particulars, did not establish a duty of care by the defendants, or a sufficient property right by the plaintiff to support the claims — The pleadings were struck in their entirety — Supreme Court Civil Rules, Rule 9-5(1).</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06" w:name="Case Summary_42"/>
            <w:bookmarkEnd w:id="30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defendants Province of British Columbia and 183090 BC (813) to strike the plaintiff's claims. The plaintiff, who held a guiding territory certificate with respect to approximately 196,000 hectares of land in the McLeod Lake area near Mackenzie. The plaintiff also had two registered trap lines in the McLeod Lake area. The plaintiff claimed for damages for private nuisance,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breach of contract, and breach of fiduciary duty with respect to valid timber sale licences (TSLs) issued by the Province to the defendant logging companies. The plaintiff claimed that the logging activities had caused economic loss to his business, and had negatively impacted the forest and wildlife. All of the logging company defendants had ceased logging activities on the subject land before the plaintiff commenced this action in 2013. There was no evidence that the plaintiff objected seriously while the logging operations were going on; his complaint centered on the general overall consequences of the logging in general. As of this hearing, 14 logging company defendants remained as defendants in the plaintiff's amended notice of civil claim. The plaintiff's pleadings conceded that the TSLs issued by the Province were valid. The plaintiff asserted a property interest in the nature of a profit a prendre in the trap lines, claiming a beneficial interest in them. The defendants argued that the plaintiff's pleadings were deficient, and that it was plain and obvious that his claims were bound to fail. The defendants argued that the claims were an abuse of process, as a collateral attack on administrative decisions respecting the TSLs. They noted that the plaintiff failed to make a timely complaint but rather stood by while the logging occurred and then claimed damages.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07" w:name="Holdings of Court_36"/>
            <w:bookmarkEnd w:id="307"/>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It was plain and obvious that all of the plaintiff's claims were bound to fail. The pleadings lacked sufficient particulars in support of any of the claims. The pleadings were broad, vague, and uncertain. There were no specific allegations of negligent conduct against any particular logging company. Further, the torts alleged were not supported by the plaintiff's interest in the land, which was not a property right, but a licence. The statutory scheme giving rise to the plaintiff's claim was a complex, and was an attempt to balance competing objectives. As to nuisance, it was not plain and obvious that the plaintiff could establish that any nuisance, if found, was unreasonable. Additionally, the plaintiff could not succeed in establishing a duty of care owed to him by either the Province or the logging companies. The guiding territory certificate did not constitute a profit a prendre. The defendants' defence of statutory authority was also a consideration. The pleadings were overly general and lacked any particular allegations to support any of the plaintiff's claims. The pleadings were struck in their entirety, pursuant to Rule 9-5(1), as not disclosing a cause of action, and as an abuse of process. The proposed amendments would not address the radical deficiencies in the pleadings.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08" w:name="Legislation Cited_29"/>
      <w:bookmarkEnd w:id="30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42" style="position:absolute;z-index:2517555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Canadian Charter of Rights and Freedoms, 1982, s. 35, s. 35(1)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Fisheries Act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Forest Act, </w:t>
      </w:r>
      <w:hyperlink r:id="rId1054" w:history="1">
        <w:r>
          <w:rPr>
            <w:rFonts w:ascii="arial" w:eastAsia="arial" w:hAnsi="arial" w:cs="arial"/>
            <w:i/>
            <w:color w:val="0077CC"/>
            <w:sz w:val="20"/>
            <w:u w:val="single"/>
            <w:shd w:val="clear" w:color="auto" w:fill="FFFFFF"/>
            <w:lang w:val="en-US" w:eastAsia="en-US" w:bidi="ar-SA"/>
          </w:rPr>
          <w:t>R.S.B.C. 1996, c. 157, s. 76</w:t>
        </w:r>
      </w:hyperlink>
      <w:r>
        <w:rPr>
          <w:rFonts w:ascii="arial" w:eastAsia="arial" w:hAnsi="arial" w:cs="arial"/>
          <w:color w:val="000000"/>
          <w:sz w:val="20"/>
          <w:lang w:val="en-US" w:eastAsia="en-US" w:bidi="ar-SA"/>
        </w:rPr>
        <w:t>, s. 77, s. 78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Forest Planning and Practices Regulation, </w:t>
      </w:r>
      <w:hyperlink r:id="rId1055" w:history="1">
        <w:r>
          <w:rPr>
            <w:rFonts w:ascii="arial" w:eastAsia="arial" w:hAnsi="arial" w:cs="arial"/>
            <w:i/>
            <w:color w:val="0077CC"/>
            <w:sz w:val="20"/>
            <w:u w:val="single"/>
            <w:shd w:val="clear" w:color="auto" w:fill="FFFFFF"/>
            <w:lang w:val="en-US" w:eastAsia="en-US" w:bidi="ar-SA"/>
          </w:rPr>
          <w:t>B.C. Reg. 14/2004, s. 6</w:t>
        </w:r>
      </w:hyperlink>
      <w:r>
        <w:rPr>
          <w:rFonts w:ascii="arial" w:eastAsia="arial" w:hAnsi="arial" w:cs="arial"/>
          <w:color w:val="000000"/>
          <w:sz w:val="20"/>
          <w:lang w:val="en-US" w:eastAsia="en-US" w:bidi="ar-SA"/>
        </w:rPr>
        <w:t>, s. 7(1), s. 7(2), s. 7(3), s. 7(4), s. 10(2), s.11, s. 18, s. 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Forest Range and Practices Act, </w:t>
      </w:r>
      <w:hyperlink r:id="rId1056" w:history="1">
        <w:r>
          <w:rPr>
            <w:rFonts w:ascii="arial" w:eastAsia="arial" w:hAnsi="arial" w:cs="arial"/>
            <w:i/>
            <w:color w:val="0077CC"/>
            <w:sz w:val="20"/>
            <w:u w:val="single"/>
            <w:shd w:val="clear" w:color="auto" w:fill="FFFFFF"/>
            <w:lang w:val="en-US" w:eastAsia="en-US" w:bidi="ar-SA"/>
          </w:rPr>
          <w:t>S.B.C. 2002, c. 69, s. 5</w:t>
        </w:r>
      </w:hyperlink>
      <w:r>
        <w:rPr>
          <w:rFonts w:ascii="arial" w:eastAsia="arial" w:hAnsi="arial" w:cs="arial"/>
          <w:color w:val="000000"/>
          <w:sz w:val="20"/>
          <w:lang w:val="en-US" w:eastAsia="en-US" w:bidi="ar-SA"/>
        </w:rPr>
        <w:t>(1)(b)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Limitations Act, </w:t>
      </w:r>
      <w:r>
        <w:rPr>
          <w:rFonts w:ascii="arial" w:eastAsia="arial" w:hAnsi="arial" w:cs="arial"/>
          <w:i/>
          <w:color w:val="000000"/>
          <w:sz w:val="20"/>
          <w:lang w:val="en-US" w:eastAsia="en-US" w:bidi="ar-SA"/>
        </w:rPr>
        <w:t>S.B.C. 2012, c. 13</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Ministry of Forest and Range Act, </w:t>
      </w:r>
      <w:hyperlink r:id="rId1057" w:history="1">
        <w:r>
          <w:rPr>
            <w:rFonts w:ascii="arial" w:eastAsia="arial" w:hAnsi="arial" w:cs="arial"/>
            <w:i/>
            <w:color w:val="0077CC"/>
            <w:sz w:val="20"/>
            <w:u w:val="single"/>
            <w:shd w:val="clear" w:color="auto" w:fill="FFFFFF"/>
            <w:lang w:val="en-US" w:eastAsia="en-US" w:bidi="ar-SA"/>
          </w:rPr>
          <w:t>R.S.B.C. 1996, c. 300, s. 4</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Range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Supreme Court Civil Rules, </w:t>
      </w:r>
      <w:r>
        <w:rPr>
          <w:rFonts w:ascii="arial" w:eastAsia="arial" w:hAnsi="arial" w:cs="arial"/>
          <w:i/>
          <w:color w:val="000000"/>
          <w:sz w:val="20"/>
          <w:lang w:val="en-US" w:eastAsia="en-US" w:bidi="ar-SA"/>
        </w:rPr>
        <w:t>B.C. Reg. 168/2009, Rule 9-5</w:t>
      </w:r>
      <w:r>
        <w:rPr>
          <w:rFonts w:ascii="arial" w:eastAsia="arial" w:hAnsi="arial" w:cs="arial"/>
          <w:color w:val="000000"/>
          <w:sz w:val="20"/>
          <w:lang w:val="en-US" w:eastAsia="en-US" w:bidi="ar-SA"/>
        </w:rPr>
        <w:t>(1), Rule 9-5(1)(a), Rule 9-5(1)(d), Rule 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Water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Wildlife Act, </w:t>
      </w:r>
      <w:hyperlink r:id="rId1058" w:history="1">
        <w:r>
          <w:rPr>
            <w:rFonts w:ascii="arial" w:eastAsia="arial" w:hAnsi="arial" w:cs="arial"/>
            <w:i/>
            <w:color w:val="0077CC"/>
            <w:sz w:val="20"/>
            <w:u w:val="single"/>
            <w:shd w:val="clear" w:color="auto" w:fill="FFFFFF"/>
            <w:lang w:val="en-US" w:eastAsia="en-US" w:bidi="ar-SA"/>
          </w:rPr>
          <w:t>R.S.B.C. 1996, c. 488, s. 2</w:t>
        </w:r>
      </w:hyperlink>
      <w:r>
        <w:rPr>
          <w:rFonts w:ascii="arial" w:eastAsia="arial" w:hAnsi="arial" w:cs="arial"/>
          <w:color w:val="000000"/>
          <w:sz w:val="20"/>
          <w:lang w:val="en-US" w:eastAsia="en-US" w:bidi="ar-SA"/>
        </w:rPr>
        <w:t>(1), s.11, s. 42, s. 42(5), s. 45, s. 48, s. 51, s. 59, s. 59(3)</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09" w:name="Counsel_44"/>
      <w:bookmarkEnd w:id="30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43" style="position:absolute;z-index:2518067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J.M. Duncan, M.K. Schmold.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Her Majesty the Queen in right of the Province of British Columbia: J.D. Eastwood, Q.C.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813090 B.C. Ltd.: M.S. Oulton.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10" w:name="Judgment_44"/>
      <w:bookmarkEnd w:id="310"/>
      <w:r>
        <w:pict>
          <v:line id="_x0000_s1244" style="position:absolute;z-index:25185587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121"/>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11" w:name="F.E. VERHOEVEN J."/>
            <w:bookmarkEnd w:id="311"/>
            <w:r>
              <w:rPr>
                <w:rFonts w:ascii="arial" w:eastAsia="arial" w:hAnsi="arial" w:cs="arial"/>
                <w:b/>
                <w:color w:val="000000"/>
                <w:sz w:val="30"/>
                <w:lang w:val="en-US" w:eastAsia="en-US" w:bidi="ar-SA"/>
              </w:rPr>
              <w:t>F.E. VERHOEVEN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Province of B.C. and one of the other defendants, 813090 B.C. Ltd. ("813") apply to strike out and dismiss the plaintiff's claims under Rule 9-5 (1)(a) or (d)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or alternatively to dismiss the plaintiff's claims under Rule 9-6 (summary judgment) of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plaintiff, Harry Chingee holds a guiding territory certificate issued by the Province under s. 59 of the </w:t>
      </w:r>
      <w:r>
        <w:rPr>
          <w:rFonts w:ascii="arial" w:eastAsia="arial" w:hAnsi="arial" w:cs="arial"/>
          <w:i/>
          <w:color w:val="000000"/>
          <w:sz w:val="20"/>
          <w:lang w:val="en-US" w:eastAsia="en-US" w:bidi="ar-SA"/>
        </w:rPr>
        <w:t>Wildlife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488</w:t>
      </w:r>
      <w:r>
        <w:rPr>
          <w:rFonts w:ascii="arial" w:eastAsia="arial" w:hAnsi="arial" w:cs="arial"/>
          <w:color w:val="000000"/>
          <w:sz w:val="20"/>
          <w:lang w:val="en-US" w:eastAsia="en-US" w:bidi="ar-SA"/>
        </w:rPr>
        <w:t xml:space="preserve">. He also holds or has an interest in two registered traplines issued by the Province under s. 42 of the </w:t>
      </w:r>
      <w:r>
        <w:rPr>
          <w:rFonts w:ascii="arial" w:eastAsia="arial" w:hAnsi="arial" w:cs="arial"/>
          <w:i/>
          <w:color w:val="000000"/>
          <w:sz w:val="20"/>
          <w:lang w:val="en-US" w:eastAsia="en-US" w:bidi="ar-SA"/>
        </w:rPr>
        <w:t>Wildlife Act</w:t>
      </w:r>
      <w:r>
        <w:rPr>
          <w:rFonts w:ascii="arial" w:eastAsia="arial" w:hAnsi="arial" w:cs="arial"/>
          <w:color w:val="000000"/>
          <w:sz w:val="20"/>
          <w:lang w:val="en-US" w:eastAsia="en-US" w:bidi="ar-SA"/>
        </w:rPr>
        <w:t>. In general terms, he complains of the effect of the logging activities on the lands to which the guiding territory certificate or the traplines relate, authorized by the Province and carried out by the other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defendants other than the Province and the McLeod Lake Indian Band are all logging companies who carried out their logging activities pursuant to timber sales licences ("TSLs") issued by the Province under the </w:t>
      </w:r>
      <w:r>
        <w:rPr>
          <w:rFonts w:ascii="arial" w:eastAsia="arial" w:hAnsi="arial" w:cs="arial"/>
          <w:i/>
          <w:color w:val="000000"/>
          <w:sz w:val="20"/>
          <w:lang w:val="en-US" w:eastAsia="en-US" w:bidi="ar-SA"/>
        </w:rPr>
        <w:t>Forest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157</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plaintiff claims damages. As pleaded the claims are based upon private nuisance,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breach of contract, and breach of fiduciary duty. During the hearing the plaintiff abandoned a claim for breach of contract against the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813 and four other forestry defendants consent to the Province's application. These four other forestry defendants also consent to the application of 813. The remaining forestry defendants have not formally taken a position, but it can be safely assumed that they are awaiting the outcome of these applications. Among the forestry defendants only 813 adduced evidence for the hearing of the applications and actively participated in the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No trial date has been set. The parties have chosen to first proceed with the hearing of these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 claim was originally filed June 13, 2013. The plaintiff sued 22 defendants other than the Province. During the hearing of these applications, I was informed by counsel for the plaintiff that the plaintiff's intention was to claim against everyone who had carried out logging activities on the lands covered by the guiding territory certificate or the traplines during the two years preceding the commencement of the action. The two years is based upon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2012 c. 13</w:t>
      </w:r>
      <w:r>
        <w:rPr>
          <w:rFonts w:ascii="arial" w:eastAsia="arial" w:hAnsi="arial" w:cs="arial"/>
          <w:color w:val="000000"/>
          <w:sz w:val="20"/>
          <w:lang w:val="en-US" w:eastAsia="en-US" w:bidi="ar-SA"/>
        </w:rPr>
        <w:t>, which in general provides for a two year limitation period to commence an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refers to the other defendants as "Defendant Foresters" in his pleadings. I will refer to them as the forestry defendants or the logging companies.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guiding territory certificate relates to an area of about 196,000 hectares of land surrounding McLeod Lake and northeast of McLeod Lake, in the vicinity of the town of Mackenzie. Registered trapline 0716T011 (described in the Amended Notice of Civil Claim ("ANOCC") as "trapline no. 1") relates to lands that surround McLeod Lake. Registered trapline 0723T006 (described as "trapline no. 2") relates to lands lying east of McLeod Lake, adjacent to trapline no.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area of the traplines is not in evidence. The maps in evidence show that they encompass large areas but they are substantially smaller than the area of the guiding territory.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ANOCC refers (para. 40) to 20 listed TSLs logged by the defendants over various dates. The majority of the TSLs are alleged to have been logged between March 17, 2010 at the earliest and June 25, 2013 at the latest. The dates are less specific in several cases: para. 40 s, t, u, and v.1. What is apparent is that in most and perhaps all cases the defendants concluded their logging activities before the plaintiff commenced this action, and that following the completion of their activities they have had no further involvement with the lands.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the ANOCC, the plaintiff alleges that 813 carried out its logging activities pursuant to TSL A84919 between October 21, 2011 and October 11,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evidence of 813 is that TSL A84919 covers two blocks, totalling about 77.3 hectares in gross area. Its Response to Civil Claim states that it harvested timber pursuant to TSL A84919 starting in or around July 2012 and concluded its activities in or about late September 2012. The evidence on the application shows that it advised the Ministry of Forests that it had completed its obligations under the TSL on November 29, 2012, when it requested the return of its security deposit.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TSL A84919 provides that 813 as Licensee "must not unreasonably interfere with the exercise of the following rights of use or occupation" and listed two traplines, one of which is trapline no. 2, and the plaintiff's guiding territory certificate, No. 700023, and provided that the Licensee "must notify that person or each of those persons at least 14 days before commencing activities on the cutting authority area." 813's affidavit indicates that the notice to the plaintiff may possibly have been less than 14 days, as the letter to the plaintiff is dated July 11, 2012 and advised him that "the anticipated start date will be during the week of July 16, 2012". The actual start date is not in evidence. The plaintiff does not plead any facts describing any consequence to the possible abbreviated notice</w:t>
      </w:r>
      <w:r>
        <w:rPr>
          <w:rFonts w:ascii="arial" w:eastAsia="arial" w:hAnsi="arial" w:cs="arial"/>
          <w:b/>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There is no pleading or evidence that Mr. Chingee seriously objected to the logging activities carried out by 813 or any other forestry defendant at any time before or during those activities. In short, his complaint is made after the fact and concerns the overall consequences of the logging activities upon his interests.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On August 15, 2014, the plaintiff filed the ANOCC removing claims against eight forestry defendants, and recasting the claims somewhat. I was advised that the plaintiff had discontinued against these eight defendants upon being satisfied that they did not carry on logging activities on the relevant lands during the relevant time frame. Fourteen forestry defendants remain in the ANOCC. He added claims for breach of contract and breach of fiduciary duty against the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On the fourth and final day of the hearing of these applications, after the applicants had completed their submissions, the plaintiff presented a draft proposed further amended NOCC [the "Proposed AANOCC"] which removes claims against two further forestry defendants. No application for leave to file the Proposed AANOCC has yet been filed. I understand that if the claims are not dismissed the plaintiff would seek leave to file the Proposed AANOCC.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While the original NOCC included defendants whose logging activities were conducted under other forms of Crown authorizations, all of the remaining forestry defendants conducted their logging activities pursuant to TSLs.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the ANOCC, the plaintiff asserts breach of Aboriginal rights on behalf of the McLeod Lake Indian Band. However Chief Derek Orr of the McLeod Lake Indian Band has sworn an affidavit in these proceedings in which he denies that the traplines are held in trust for the Band, and denies that the plaintiff has authority to pursue claims or act on behalf of the Band.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the Proposed AANOCC the plaintiff proposes to withdraw the assertion that trapline No. 1 is held in part in trust for the McLeod Lake Indian Band or that the Band has assigned Aboriginal rights relating to trapline No. 1 to him. On the hearing of the application, plaintiff's counsel indicated that these proposed amendments are prompted by the affidavit evidence of Chief Derek Orr. However the plaintiff now proposes to claim the benefit of Aboriginal rights to all of the lands covered by the guiding territory certificate or the traplines, either on his own behalf or on behalf of the Band.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Chingee's guiding territory certificate was issued July 14, 2009 and expires July 14, 2019.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plaintiff's pleadings in the ANOCC are inconsistent as to ownership of the traplines. He pleads that he is the holder of trapline no. 1. He pleads in the alternative that he holds trapline no. 1 in trust for the McLeod Lake Indian Band and Frederick Inyallie. He says he is the holder of trapline no. 2 with Wesley Chingee, or alternatively he holds trapline no. 2 in trust for Jim Chingee and Wesley Chingee. The trapline no. 1 registration certificate in evidence was approved by a Regional Manager under the </w:t>
      </w:r>
      <w:r>
        <w:rPr>
          <w:rFonts w:ascii="arial" w:eastAsia="arial" w:hAnsi="arial" w:cs="arial"/>
          <w:i/>
          <w:color w:val="000000"/>
          <w:sz w:val="20"/>
          <w:lang w:val="en-US" w:eastAsia="en-US" w:bidi="ar-SA"/>
        </w:rPr>
        <w:t>Wildlife Act</w:t>
      </w:r>
      <w:r>
        <w:rPr>
          <w:rFonts w:ascii="arial" w:eastAsia="arial" w:hAnsi="arial" w:cs="arial"/>
          <w:color w:val="000000"/>
          <w:sz w:val="20"/>
          <w:lang w:val="en-US" w:eastAsia="en-US" w:bidi="ar-SA"/>
        </w:rPr>
        <w:t xml:space="preserve"> on June 26, 1996 and was issued to Frederick Inyallie and Harry Chingee "representing the McLeod Lake Indian Band." The trapline no. 2 registration was approved June 17, 1998 and was issued to Harry Chingee, Jim Chingee, and Wesley Chingee.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For present purposes, it is sufficient for me to assume that the plaintiff has a beneficial ownership interest in one or both of the traplines.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THE AMENDED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ANOCC is attached as Schedule A to these reasons. I have found it necessary to do so as it is not easy to discern the essential nature of the plaintiff's claims. The drafter seems to have made a concerted effort to render the pleadings broad, vague, and uncertain, through the use of words and phrases such as "including but not limited to", "in the alternative", "and/or", "or", "and other", and phrases containing synonymous terms such as "accommodation, consultation, and consideration." These types of devices can be useful and convenient in pleadings, but here they are carried too far. The Proposed AANOCC extends this 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Proposed AANOCC is attached as Schedule B to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As it stands, the ANOCC does not satisfy the basic purposes of pleadings. It does not clearly define the issues of fact and law to be determined by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plaintiff concedes that the lands encompassed by the guiding territory certificate and the traplines (the "Lands", as defined in the ANOCC) are owned by the Province (ANOCC para. 29). He argues that the guiding territory certificate and the traplines constitute interests in land as </w:t>
      </w:r>
      <w:r>
        <w:rPr>
          <w:rFonts w:ascii="arial" w:eastAsia="arial" w:hAnsi="arial" w:cs="arial"/>
          <w:i/>
          <w:color w:val="000000"/>
          <w:sz w:val="20"/>
          <w:lang w:val="en-US" w:eastAsia="en-US" w:bidi="ar-SA"/>
        </w:rPr>
        <w:t>profits à prendre</w:t>
      </w:r>
      <w:r>
        <w:rPr>
          <w:rFonts w:ascii="arial" w:eastAsia="arial" w:hAnsi="arial" w:cs="arial"/>
          <w:color w:val="000000"/>
          <w:sz w:val="20"/>
          <w:lang w:val="en-US" w:eastAsia="en-US" w:bidi="ar-SA"/>
        </w:rPr>
        <w:t xml:space="preserve"> or some other kind of property right (paras. 36, 37, 37.1). (The references to "contractual" rights can be ignored as the plaintiff has abandoned such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As I perceive it, the gist of the claim is centered on paras. 38, 43.1, 45, 46, 47, 52, and 57. The plaintiff contends that the logging activities carried out by the forestry defendants have "reduced the wildlife on the Lands, compromised the vitality of the forest on the Lands and reduced the amount of forested area on the Lands" (para. 43.1). The logging activities have "interfered with and injured" the plaintiff's business or property interests (paras. 45, 46) which has caused "loss and damage" (para. 47). The "loss and damage" is not described with any precision but paras. 38, 52, 57, taken together, indicate that the damages claimed would relate to either the value of the claimed property interests of the plaintiff or possibly to loss of business income. (Paragraph 60, now abandoned, refers to loss of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No specific facts are pleaded as to any particular loss or damage claimed.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ANOCC is sprinkled with references to duties to "accommodate", "consult", and "consider" the plaintiff's interests: (paras. 41, 40.1, 42, 43, 44.1, 66.) However, these vague allegations are unconnected to any particular consequence or loss. Therefore as I have said the gist of the claim appears to relate to the effects of the timber harvesting activities themselves upon the economic interests the plaintiff, not the failure to consult, etc., standing alone.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Several aspects of the claims as pleaded are noteworthy:</w:t>
      </w:r>
      <w:r>
        <w:rPr>
          <w:rFonts w:ascii="arial" w:eastAsia="arial" w:hAnsi="arial" w:cs="arial"/>
          <w:sz w:val="20"/>
          <w:lang w:val="en-US" w:eastAsia="en-US" w:bidi="ar-SA"/>
        </w:rPr>
        <w:cr/>
      </w:r>
    </w:p>
    <w:p>
      <w:pPr>
        <w:numPr>
          <w:numId w:val="1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concedes that the Crown validly granted the TSLs pursuant to statutory authority and that the forestry defendants harvested the timber pursuant to TSLs validly granted to them. These admissions were made in paras. 41 and 43 of the original NOCC. In its application the Province challenged the apparent withdrawal of these admissions as reflected in paras. 41 and 43 of the ANOCC. In its filed Application Response the plaintiff reiterated its concessions. The plaintiff's draft Proposed AANOCC also reflects these concessions.</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Identical claims are made against every forestry entity who carried out harvesting activities on any part of the relevant land in the relevant time frame. There is no allegation of any specific actions of failures to act on the part of any forestry defendant or by the Province. There is no pleading specific to any forestry defendant.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allegation that any forestry defendant breached any term of their TSLs or any statute or regulation;</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is not so stated, it appears the plaintiff claims in nuisance against the Province as a party to the nuisance tort, in having permitted the forestry defendants to carry out timber harvesting activities: para. 42.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applicants take the position that the court must deal with their applications on the basis of the existing pleadings. No doubt that is correct. Nonetheless, the Proposed AANOCC can be used as an indication of the nature of amendments that the plaintiff could potentially be permitted to make.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APPLICATIONS TO STRIKE THE ANOCC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Legal Principles -- Striking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I adopt my comments in </w:t>
      </w:r>
      <w:r>
        <w:rPr>
          <w:rFonts w:ascii="arial" w:eastAsia="arial" w:hAnsi="arial" w:cs="arial"/>
          <w:i/>
          <w:color w:val="000000"/>
          <w:sz w:val="20"/>
          <w:lang w:val="en-US" w:eastAsia="en-US" w:bidi="ar-SA"/>
        </w:rPr>
        <w:t>Lessor v. Toll Estate</w:t>
      </w:r>
      <w:r>
        <w:rPr>
          <w:rFonts w:ascii="arial" w:eastAsia="arial" w:hAnsi="arial" w:cs="arial"/>
          <w:color w:val="000000"/>
          <w:sz w:val="20"/>
          <w:lang w:val="en-US" w:eastAsia="en-US" w:bidi="ar-SA"/>
        </w:rPr>
        <w:t xml:space="preserve">, </w:t>
      </w:r>
      <w:hyperlink r:id="rId1059" w:history="1">
        <w:r>
          <w:rPr>
            <w:rFonts w:ascii="arial" w:eastAsia="arial" w:hAnsi="arial" w:cs="arial"/>
            <w:i/>
            <w:color w:val="0077CC"/>
            <w:sz w:val="20"/>
            <w:u w:val="single"/>
            <w:shd w:val="clear" w:color="auto" w:fill="FFFFFF"/>
            <w:lang w:val="en-US" w:eastAsia="en-US" w:bidi="ar-SA"/>
          </w:rPr>
          <w:t>2015 BCSC 427</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 As noted, Ms. Tyler applies pursuant to Rule 9-5(1) (a) and (d) for an order striking the pleadings on the basis that they fail to disclose a reasonable cause of action, or, alternatively, that they constitute an abuse of process. On an application under Rule 9-5(1)(a), no evidence is admissible: Rule 9-5(2).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 Pleadings must clearly define the issues of fact and law. Rule 3-1(2) requires that a notice of civil claim must:</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set out a concise statement of the material facts giving rise to the claim;</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set out the relief sought by the plaintiff against each named defendant;</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set out a concise summary of the legal basis for the relief sought;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 I adopt my comments in </w:t>
      </w:r>
      <w:r>
        <w:rPr>
          <w:rFonts w:ascii="arial" w:eastAsia="arial" w:hAnsi="arial" w:cs="arial"/>
          <w:i/>
          <w:color w:val="000000"/>
          <w:sz w:val="20"/>
          <w:lang w:val="en-US" w:eastAsia="en-US" w:bidi="ar-SA"/>
        </w:rPr>
        <w:t>Stoneman v. Denman Island Trust Committee</w:t>
      </w:r>
      <w:r>
        <w:rPr>
          <w:rFonts w:ascii="arial" w:eastAsia="arial" w:hAnsi="arial" w:cs="arial"/>
          <w:color w:val="000000"/>
          <w:sz w:val="20"/>
          <w:lang w:val="en-US" w:eastAsia="en-US" w:bidi="ar-SA"/>
        </w:rPr>
        <w:t xml:space="preserve">, </w:t>
      </w:r>
      <w:hyperlink r:id="rId1060" w:history="1">
        <w:r>
          <w:rPr>
            <w:rFonts w:ascii="arial" w:eastAsia="arial" w:hAnsi="arial" w:cs="arial"/>
            <w:i/>
            <w:color w:val="0077CC"/>
            <w:sz w:val="20"/>
            <w:u w:val="single"/>
            <w:shd w:val="clear" w:color="auto" w:fill="FFFFFF"/>
            <w:lang w:val="en-US" w:eastAsia="en-US" w:bidi="ar-SA"/>
          </w:rPr>
          <w:t>2010 BCSC 636</w:t>
        </w:r>
      </w:hyperlink>
      <w:r>
        <w:rPr>
          <w:rFonts w:ascii="arial" w:eastAsia="arial" w:hAnsi="arial" w:cs="arial"/>
          <w:color w:val="000000"/>
          <w:sz w:val="20"/>
          <w:lang w:val="en-US" w:eastAsia="en-US" w:bidi="ar-SA"/>
        </w:rPr>
        <w:t xml:space="preserve"> (CanLII) concerning the purpose of pleadings: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 The purpose of pleadings is to clearly define the issues of fact and law to be determined by the court. The issues must be defined for each cause of action relied upon by the plaintiff: </w:t>
      </w:r>
      <w:r>
        <w:rPr>
          <w:rFonts w:ascii="arial" w:eastAsia="arial" w:hAnsi="arial" w:cs="arial"/>
          <w:i/>
          <w:color w:val="000000"/>
          <w:sz w:val="20"/>
          <w:lang w:val="en-US" w:eastAsia="en-US" w:bidi="ar-SA"/>
        </w:rPr>
        <w:t>Canadian Bar Assn. v. British Columbia</w:t>
      </w:r>
      <w:r>
        <w:rPr>
          <w:rFonts w:ascii="arial" w:eastAsia="arial" w:hAnsi="arial" w:cs="arial"/>
          <w:color w:val="000000"/>
          <w:sz w:val="20"/>
          <w:lang w:val="en-US" w:eastAsia="en-US" w:bidi="ar-SA"/>
        </w:rPr>
        <w:t xml:space="preserve">, </w:t>
      </w:r>
      <w:hyperlink r:id="rId1061" w:history="1">
        <w:r>
          <w:rPr>
            <w:rFonts w:ascii="arial" w:eastAsia="arial" w:hAnsi="arial" w:cs="arial"/>
            <w:i/>
            <w:color w:val="0077CC"/>
            <w:sz w:val="20"/>
            <w:u w:val="single"/>
            <w:shd w:val="clear" w:color="auto" w:fill="FFFFFF"/>
            <w:lang w:val="en-US" w:eastAsia="en-US" w:bidi="ar-SA"/>
          </w:rPr>
          <w:t>2008 BCCA 92</w:t>
        </w:r>
      </w:hyperlink>
      <w:r>
        <w:rPr>
          <w:rFonts w:ascii="arial" w:eastAsia="arial" w:hAnsi="arial" w:cs="arial"/>
          <w:color w:val="000000"/>
          <w:sz w:val="20"/>
          <w:lang w:val="en-US" w:eastAsia="en-US" w:bidi="ar-SA"/>
        </w:rPr>
        <w:t xml:space="preserve"> (CanLII) at paras. 59-60, citing </w:t>
      </w:r>
      <w:r>
        <w:rPr>
          <w:rFonts w:ascii="arial" w:eastAsia="arial" w:hAnsi="arial" w:cs="arial"/>
          <w:i/>
          <w:color w:val="000000"/>
          <w:sz w:val="20"/>
          <w:lang w:val="en-US" w:eastAsia="en-US" w:bidi="ar-SA"/>
        </w:rPr>
        <w:t>Homalco Indian Band v. British Columbia</w:t>
      </w:r>
      <w:r>
        <w:rPr>
          <w:rFonts w:ascii="arial" w:eastAsia="arial" w:hAnsi="arial" w:cs="arial"/>
          <w:color w:val="000000"/>
          <w:sz w:val="20"/>
          <w:lang w:val="en-US" w:eastAsia="en-US" w:bidi="ar-SA"/>
        </w:rPr>
        <w:t xml:space="preserve">, </w:t>
      </w:r>
      <w:hyperlink r:id="rId241" w:history="1">
        <w:r>
          <w:rPr>
            <w:rFonts w:ascii="arial" w:eastAsia="arial" w:hAnsi="arial" w:cs="arial"/>
            <w:i/>
            <w:color w:val="0077CC"/>
            <w:sz w:val="20"/>
            <w:u w:val="single"/>
            <w:shd w:val="clear" w:color="auto" w:fill="FFFFFF"/>
            <w:lang w:val="en-US" w:eastAsia="en-US" w:bidi="ar-SA"/>
          </w:rPr>
          <w:t>[1998] B.C.J. No. 2703</w:t>
        </w:r>
      </w:hyperlink>
      <w:r>
        <w:rPr>
          <w:rFonts w:ascii="arial" w:eastAsia="arial" w:hAnsi="arial" w:cs="arial"/>
          <w:color w:val="000000"/>
          <w:sz w:val="20"/>
          <w:lang w:val="en-US" w:eastAsia="en-US" w:bidi="ar-SA"/>
        </w:rPr>
        <w:t xml:space="preserve"> (S.C.); and </w:t>
      </w:r>
      <w:r>
        <w:rPr>
          <w:rFonts w:ascii="arial" w:eastAsia="arial" w:hAnsi="arial" w:cs="arial"/>
          <w:i/>
          <w:color w:val="000000"/>
          <w:sz w:val="20"/>
          <w:lang w:val="en-US" w:eastAsia="en-US" w:bidi="ar-SA"/>
        </w:rPr>
        <w:t>Keene v. British Columbia (Ministry of Children and Family Development)</w:t>
      </w:r>
      <w:r>
        <w:rPr>
          <w:rFonts w:ascii="arial" w:eastAsia="arial" w:hAnsi="arial" w:cs="arial"/>
          <w:color w:val="000000"/>
          <w:sz w:val="20"/>
          <w:lang w:val="en-US" w:eastAsia="en-US" w:bidi="ar-SA"/>
        </w:rPr>
        <w:t xml:space="preserve">, </w:t>
      </w:r>
      <w:hyperlink r:id="rId1062" w:history="1">
        <w:r>
          <w:rPr>
            <w:rFonts w:ascii="arial" w:eastAsia="arial" w:hAnsi="arial" w:cs="arial"/>
            <w:i/>
            <w:color w:val="0077CC"/>
            <w:sz w:val="20"/>
            <w:u w:val="single"/>
            <w:shd w:val="clear" w:color="auto" w:fill="FFFFFF"/>
            <w:lang w:val="en-US" w:eastAsia="en-US" w:bidi="ar-SA"/>
          </w:rPr>
          <w:t>2003 BCSC 1544</w:t>
        </w:r>
      </w:hyperlink>
      <w:r>
        <w:rPr>
          <w:rFonts w:ascii="arial" w:eastAsia="arial" w:hAnsi="arial" w:cs="arial"/>
          <w:color w:val="000000"/>
          <w:sz w:val="20"/>
          <w:lang w:val="en-US" w:eastAsia="en-US" w:bidi="ar-SA"/>
        </w:rPr>
        <w:t xml:space="preserve"> (CanLII).</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17 In </w:t>
      </w:r>
      <w:r>
        <w:rPr>
          <w:rFonts w:ascii="arial" w:eastAsia="arial" w:hAnsi="arial" w:cs="arial"/>
          <w:i/>
          <w:color w:val="000000"/>
          <w:sz w:val="20"/>
          <w:lang w:val="en-US" w:eastAsia="en-US" w:bidi="ar-SA"/>
        </w:rPr>
        <w:t>Homalco</w:t>
      </w:r>
      <w:r>
        <w:rPr>
          <w:rFonts w:ascii="arial" w:eastAsia="arial" w:hAnsi="arial" w:cs="arial"/>
          <w:color w:val="000000"/>
          <w:sz w:val="20"/>
          <w:lang w:val="en-US" w:eastAsia="en-US" w:bidi="ar-SA"/>
        </w:rPr>
        <w:t>, K. Smith J. stated at para. 5:</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ultimate function of pleadings is to clearly define the issues of fact and law to be determined by the court. The issues must be defined for each cause of action relied upon by the plaintiff. That process is begun by the plaintiff stating, for each cause, the material facts, that is, those facts necessary for the purpose of formulating a complete cause of 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[17] Chief Justice McLachlin emphasized in </w:t>
      </w:r>
      <w:r>
        <w:rPr>
          <w:rFonts w:ascii="arial" w:eastAsia="arial" w:hAnsi="arial" w:cs="arial"/>
          <w:i/>
          <w:color w:val="000000"/>
          <w:sz w:val="20"/>
          <w:lang w:val="en-US" w:eastAsia="en-US" w:bidi="ar-SA"/>
        </w:rPr>
        <w:t>R. v. Imperial Tobacco Canada Ltd.</w:t>
      </w:r>
      <w:r>
        <w:rPr>
          <w:rFonts w:ascii="arial" w:eastAsia="arial" w:hAnsi="arial" w:cs="arial"/>
          <w:color w:val="000000"/>
          <w:sz w:val="20"/>
          <w:lang w:val="en-US" w:eastAsia="en-US" w:bidi="ar-SA"/>
        </w:rPr>
        <w:t xml:space="preserve">, </w:t>
      </w:r>
      <w:hyperlink r:id="rId448" w:history="1">
        <w:r>
          <w:rPr>
            <w:rFonts w:ascii="arial" w:eastAsia="arial" w:hAnsi="arial" w:cs="arial"/>
            <w:i/>
            <w:color w:val="0077CC"/>
            <w:sz w:val="20"/>
            <w:u w:val="single"/>
            <w:shd w:val="clear" w:color="auto" w:fill="FFFFFF"/>
            <w:lang w:val="en-US" w:eastAsia="en-US" w:bidi="ar-SA"/>
          </w:rPr>
          <w:t>2011 SCC 42</w:t>
        </w:r>
      </w:hyperlink>
      <w:r>
        <w:rPr>
          <w:rFonts w:ascii="arial" w:eastAsia="arial" w:hAnsi="arial" w:cs="arial"/>
          <w:color w:val="000000"/>
          <w:sz w:val="20"/>
          <w:lang w:val="en-US" w:eastAsia="en-US" w:bidi="ar-SA"/>
        </w:rPr>
        <w:t xml:space="preserve"> (CanLII) [</w:t>
      </w:r>
      <w:r>
        <w:rPr>
          <w:rFonts w:ascii="arial" w:eastAsia="arial" w:hAnsi="arial" w:cs="arial"/>
          <w:i/>
          <w:color w:val="000000"/>
          <w:sz w:val="20"/>
          <w:lang w:val="en-US" w:eastAsia="en-US" w:bidi="ar-SA"/>
        </w:rPr>
        <w:t>Imperial</w:t>
      </w:r>
      <w:r>
        <w:rPr>
          <w:rFonts w:ascii="arial" w:eastAsia="arial" w:hAnsi="arial" w:cs="arial"/>
          <w:color w:val="000000"/>
          <w:sz w:val="20"/>
          <w:lang w:val="en-US" w:eastAsia="en-US" w:bidi="ar-SA"/>
        </w:rPr>
        <w:t>] that the plaintiff must clearly plead the facts upon which it relies in making its claim:</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[22] ... A claimant is not entitled to rely on the possibility that new facts may turn up as the case progresses. The claimant may not be in a position to prove the facts pleaded at the time of the motion. It may only hope to be able to prove them. </w:t>
      </w:r>
      <w:r>
        <w:rPr>
          <w:rFonts w:ascii="arial" w:eastAsia="arial" w:hAnsi="arial" w:cs="arial"/>
          <w:color w:val="000000"/>
          <w:sz w:val="20"/>
          <w:u w:val="single"/>
          <w:lang w:val="en-US" w:eastAsia="en-US" w:bidi="ar-SA"/>
        </w:rPr>
        <w:t>But plead them it must</w:t>
      </w:r>
      <w:r>
        <w:rPr>
          <w:rFonts w:ascii="arial" w:eastAsia="arial" w:hAnsi="arial" w:cs="arial"/>
          <w:color w:val="000000"/>
          <w:sz w:val="20"/>
          <w:lang w:val="en-US" w:eastAsia="en-US" w:bidi="ar-SA"/>
        </w:rPr>
        <w:t>. The facts pleaded are the firm basis upon which the possibility of success of the claim must be evaluated. If they are not pleaded, the exercise cannot be properly conducted.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[18] As observed by Justice Frankel in </w:t>
      </w:r>
      <w:r>
        <w:rPr>
          <w:rFonts w:ascii="arial" w:eastAsia="arial" w:hAnsi="arial" w:cs="arial"/>
          <w:i/>
          <w:color w:val="000000"/>
          <w:sz w:val="20"/>
          <w:lang w:val="en-US" w:eastAsia="en-US" w:bidi="ar-SA"/>
        </w:rPr>
        <w:t>British Columbia (Director of Civil Forfeiture) v. Flynn</w:t>
      </w:r>
      <w:r>
        <w:rPr>
          <w:rFonts w:ascii="arial" w:eastAsia="arial" w:hAnsi="arial" w:cs="arial"/>
          <w:color w:val="000000"/>
          <w:sz w:val="20"/>
          <w:lang w:val="en-US" w:eastAsia="en-US" w:bidi="ar-SA"/>
        </w:rPr>
        <w:t xml:space="preserve">, </w:t>
      </w:r>
      <w:hyperlink r:id="rId447" w:history="1">
        <w:r>
          <w:rPr>
            <w:rFonts w:ascii="arial" w:eastAsia="arial" w:hAnsi="arial" w:cs="arial"/>
            <w:i/>
            <w:color w:val="0077CC"/>
            <w:sz w:val="20"/>
            <w:u w:val="single"/>
            <w:shd w:val="clear" w:color="auto" w:fill="FFFFFF"/>
            <w:lang w:val="en-US" w:eastAsia="en-US" w:bidi="ar-SA"/>
          </w:rPr>
          <w:t>2013 BCCA 91</w:t>
        </w:r>
      </w:hyperlink>
      <w:r>
        <w:rPr>
          <w:rFonts w:ascii="arial" w:eastAsia="arial" w:hAnsi="arial" w:cs="arial"/>
          <w:color w:val="000000"/>
          <w:sz w:val="20"/>
          <w:lang w:val="en-US" w:eastAsia="en-US" w:bidi="ar-SA"/>
        </w:rPr>
        <w:t xml:space="preserve"> (CanLII) at para. 10, the test for striking pleadings because they fail to disclose a reasonable cause of action is well-known. In </w:t>
      </w:r>
      <w:r>
        <w:rPr>
          <w:rFonts w:ascii="arial" w:eastAsia="arial" w:hAnsi="arial" w:cs="arial"/>
          <w:i/>
          <w:color w:val="000000"/>
          <w:sz w:val="20"/>
          <w:lang w:val="en-US" w:eastAsia="en-US" w:bidi="ar-SA"/>
        </w:rPr>
        <w:t>Imperial</w:t>
      </w:r>
      <w:r>
        <w:rPr>
          <w:rFonts w:ascii="arial" w:eastAsia="arial" w:hAnsi="arial" w:cs="arial"/>
          <w:color w:val="000000"/>
          <w:sz w:val="20"/>
          <w:lang w:val="en-US" w:eastAsia="en-US" w:bidi="ar-SA"/>
        </w:rPr>
        <w:t>, McLachlin C.J.C. enunciated the test in these terms: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[17] The parties agree on the test applicable on a motion to strike for not disclosing a reasonable cause of action under r. 19(24)(a) [now Rule 9-5(1) (a)] of the B.C. Supreme Court Rules. This Court has reiterated the test on many occasions. A claim will only be struck if it is plain and obvious, assuming the facts pleaded to be true, that the pleading discloses no reasonable cause of action: </w:t>
      </w:r>
      <w:r>
        <w:rPr>
          <w:rFonts w:ascii="arial" w:eastAsia="arial" w:hAnsi="arial" w:cs="arial"/>
          <w:i/>
          <w:color w:val="000000"/>
          <w:sz w:val="20"/>
          <w:lang w:val="en-US" w:eastAsia="en-US" w:bidi="ar-SA"/>
        </w:rPr>
        <w:t>Odhavji Estate v. Woodhouse</w:t>
      </w:r>
      <w:r>
        <w:rPr>
          <w:rFonts w:ascii="arial" w:eastAsia="arial" w:hAnsi="arial" w:cs="arial"/>
          <w:color w:val="000000"/>
          <w:sz w:val="20"/>
          <w:lang w:val="en-US" w:eastAsia="en-US" w:bidi="ar-SA"/>
        </w:rPr>
        <w:t xml:space="preserve">, </w:t>
      </w:r>
      <w:hyperlink r:id="rId1063" w:history="1">
        <w:r>
          <w:rPr>
            <w:rFonts w:ascii="arial" w:eastAsia="arial" w:hAnsi="arial" w:cs="arial"/>
            <w:i/>
            <w:color w:val="0077CC"/>
            <w:sz w:val="20"/>
            <w:u w:val="single"/>
            <w:shd w:val="clear" w:color="auto" w:fill="FFFFFF"/>
            <w:lang w:val="en-US" w:eastAsia="en-US" w:bidi="ar-SA"/>
          </w:rPr>
          <w:t>2003 SCC 69</w:t>
        </w:r>
      </w:hyperlink>
      <w:r>
        <w:rPr>
          <w:rFonts w:ascii="arial" w:eastAsia="arial" w:hAnsi="arial" w:cs="arial"/>
          <w:color w:val="000000"/>
          <w:sz w:val="20"/>
          <w:lang w:val="en-US" w:eastAsia="en-US" w:bidi="ar-SA"/>
        </w:rPr>
        <w:t xml:space="preserve"> (CanLII), </w:t>
      </w:r>
      <w:hyperlink r:id="rId1063" w:history="1">
        <w:r>
          <w:rPr>
            <w:rFonts w:ascii="arial" w:eastAsia="arial" w:hAnsi="arial" w:cs="arial"/>
            <w:i/>
            <w:color w:val="0077CC"/>
            <w:sz w:val="20"/>
            <w:u w:val="single"/>
            <w:shd w:val="clear" w:color="auto" w:fill="FFFFFF"/>
            <w:lang w:val="en-US" w:eastAsia="en-US" w:bidi="ar-SA"/>
          </w:rPr>
          <w:t>[2003] 3 S.C.R. 263</w:t>
        </w:r>
      </w:hyperlink>
      <w:r>
        <w:rPr>
          <w:rFonts w:ascii="arial" w:eastAsia="arial" w:hAnsi="arial" w:cs="arial"/>
          <w:color w:val="000000"/>
          <w:sz w:val="20"/>
          <w:lang w:val="en-US" w:eastAsia="en-US" w:bidi="ar-SA"/>
        </w:rPr>
        <w:t xml:space="preserve">, at para. 15; </w:t>
      </w:r>
      <w:r>
        <w:rPr>
          <w:rFonts w:ascii="arial" w:eastAsia="arial" w:hAnsi="arial" w:cs="arial"/>
          <w:i/>
          <w:color w:val="000000"/>
          <w:sz w:val="20"/>
          <w:lang w:val="en-US" w:eastAsia="en-US" w:bidi="ar-SA"/>
        </w:rPr>
        <w:t>Hunt v. Carey Canada Inc.,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1990 CanLII 90</w:t>
      </w:r>
      <w:r>
        <w:rPr>
          <w:rFonts w:ascii="arial" w:eastAsia="arial" w:hAnsi="arial" w:cs="arial"/>
          <w:color w:val="000000"/>
          <w:sz w:val="20"/>
          <w:lang w:val="en-US" w:eastAsia="en-US" w:bidi="ar-SA"/>
        </w:rPr>
        <w:t xml:space="preserve"> (SCC), </w:t>
      </w:r>
      <w:r>
        <w:rPr>
          <w:rFonts w:ascii="arial" w:eastAsia="arial" w:hAnsi="arial" w:cs="arial"/>
          <w:i/>
          <w:color w:val="000000"/>
          <w:sz w:val="20"/>
          <w:lang w:val="en-US" w:eastAsia="en-US" w:bidi="ar-SA"/>
        </w:rPr>
        <w:t>[1990] 2 S.C.R. 959</w:t>
      </w:r>
      <w:r>
        <w:rPr>
          <w:rFonts w:ascii="arial" w:eastAsia="arial" w:hAnsi="arial" w:cs="arial"/>
          <w:color w:val="000000"/>
          <w:sz w:val="20"/>
          <w:lang w:val="en-US" w:eastAsia="en-US" w:bidi="ar-SA"/>
        </w:rPr>
        <w:t>, at p. 980. Another way of putting the test is that the claim has no reasonable prospect of success. Where a reasonable prospect of success exists, the matter should be allowed to proceed to trial...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[19] In </w:t>
      </w:r>
      <w:r>
        <w:rPr>
          <w:rFonts w:ascii="arial" w:eastAsia="arial" w:hAnsi="arial" w:cs="arial"/>
          <w:i/>
          <w:color w:val="000000"/>
          <w:sz w:val="20"/>
          <w:lang w:val="en-US" w:eastAsia="en-US" w:bidi="ar-SA"/>
        </w:rPr>
        <w:t>Cimaco International Sales Inc. v. British Columbia</w:t>
      </w:r>
      <w:r>
        <w:rPr>
          <w:rFonts w:ascii="arial" w:eastAsia="arial" w:hAnsi="arial" w:cs="arial"/>
          <w:color w:val="000000"/>
          <w:sz w:val="20"/>
          <w:lang w:val="en-US" w:eastAsia="en-US" w:bidi="ar-SA"/>
        </w:rPr>
        <w:t xml:space="preserve">, </w:t>
      </w:r>
      <w:hyperlink r:id="rId1064" w:history="1">
        <w:r>
          <w:rPr>
            <w:rFonts w:ascii="arial" w:eastAsia="arial" w:hAnsi="arial" w:cs="arial"/>
            <w:i/>
            <w:color w:val="0077CC"/>
            <w:sz w:val="20"/>
            <w:u w:val="single"/>
            <w:shd w:val="clear" w:color="auto" w:fill="FFFFFF"/>
            <w:lang w:val="en-US" w:eastAsia="en-US" w:bidi="ar-SA"/>
          </w:rPr>
          <w:t>2010 BCCA 342</w:t>
        </w:r>
      </w:hyperlink>
      <w:r>
        <w:rPr>
          <w:rFonts w:ascii="arial" w:eastAsia="arial" w:hAnsi="arial" w:cs="arial"/>
          <w:color w:val="000000"/>
          <w:sz w:val="20"/>
          <w:lang w:val="en-US" w:eastAsia="en-US" w:bidi="ar-SA"/>
        </w:rPr>
        <w:t xml:space="preserve"> (CanLII) at para. 40, Justice Kirkpatrick provided the following guidelines for determining whether it is "plain and obvious" that a claim will fail:</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there is a question fit to be tried regardless of complexity or novelty;</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outcome of the claim at trial is beyond a reasonable doubt;</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serious questions of law or questions of general importance are raised or if facts should be known before rights are decided;</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pleadings might be amended; and</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there is an element of abuse of process.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 A successful application under Rule 9-5(1)(a) can lead to an order striking the pleadings with leave to amend, or an order dismissing the claim outright. If the defect in the pleading may be cured by amendment, the court may grant leave to amend: </w:t>
      </w:r>
      <w:r>
        <w:rPr>
          <w:rFonts w:ascii="arial" w:eastAsia="arial" w:hAnsi="arial" w:cs="arial"/>
          <w:i/>
          <w:color w:val="000000"/>
          <w:sz w:val="20"/>
          <w:lang w:val="en-US" w:eastAsia="en-US" w:bidi="ar-SA"/>
        </w:rPr>
        <w:t>Henry v. British Columbia (Attorney General)</w:t>
      </w:r>
      <w:r>
        <w:rPr>
          <w:rFonts w:ascii="arial" w:eastAsia="arial" w:hAnsi="arial" w:cs="arial"/>
          <w:color w:val="000000"/>
          <w:sz w:val="20"/>
          <w:lang w:val="en-US" w:eastAsia="en-US" w:bidi="ar-SA"/>
        </w:rPr>
        <w:t xml:space="preserve">, </w:t>
      </w:r>
      <w:hyperlink r:id="rId1065" w:history="1">
        <w:r>
          <w:rPr>
            <w:rFonts w:ascii="arial" w:eastAsia="arial" w:hAnsi="arial" w:cs="arial"/>
            <w:i/>
            <w:color w:val="0077CC"/>
            <w:sz w:val="20"/>
            <w:u w:val="single"/>
            <w:shd w:val="clear" w:color="auto" w:fill="FFFFFF"/>
            <w:lang w:val="en-US" w:eastAsia="en-US" w:bidi="ar-SA"/>
          </w:rPr>
          <w:t>2012 BCSC 1401</w:t>
        </w:r>
      </w:hyperlink>
      <w:r>
        <w:rPr>
          <w:rFonts w:ascii="arial" w:eastAsia="arial" w:hAnsi="arial" w:cs="arial"/>
          <w:color w:val="000000"/>
          <w:sz w:val="20"/>
          <w:lang w:val="en-US" w:eastAsia="en-US" w:bidi="ar-SA"/>
        </w:rPr>
        <w:t xml:space="preserve"> (CanLII) at para. 38. If, however, the claim is without legal foundation regardless of how it is pleaded the court may dismiss the claim: </w:t>
      </w:r>
      <w:r>
        <w:rPr>
          <w:rFonts w:ascii="arial" w:eastAsia="arial" w:hAnsi="arial" w:cs="arial"/>
          <w:i/>
          <w:color w:val="000000"/>
          <w:sz w:val="20"/>
          <w:lang w:val="en-US" w:eastAsia="en-US" w:bidi="ar-SA"/>
        </w:rPr>
        <w:t>Henry</w:t>
      </w:r>
      <w:r>
        <w:rPr>
          <w:rFonts w:ascii="arial" w:eastAsia="arial" w:hAnsi="arial" w:cs="arial"/>
          <w:color w:val="000000"/>
          <w:sz w:val="20"/>
          <w:lang w:val="en-US" w:eastAsia="en-US" w:bidi="ar-SA"/>
        </w:rPr>
        <w:t xml:space="preserve"> at para. 38; </w:t>
      </w:r>
      <w:r>
        <w:rPr>
          <w:rFonts w:ascii="arial" w:eastAsia="arial" w:hAnsi="arial" w:cs="arial"/>
          <w:i/>
          <w:color w:val="000000"/>
          <w:sz w:val="20"/>
          <w:lang w:val="en-US" w:eastAsia="en-US" w:bidi="ar-SA"/>
        </w:rPr>
        <w:t>Extra Gift Exchange Inc. v. Ernest &amp; Twins Ventures (PP) Ltd.</w:t>
      </w:r>
      <w:r>
        <w:rPr>
          <w:rFonts w:ascii="arial" w:eastAsia="arial" w:hAnsi="arial" w:cs="arial"/>
          <w:color w:val="000000"/>
          <w:sz w:val="20"/>
          <w:lang w:val="en-US" w:eastAsia="en-US" w:bidi="ar-SA"/>
        </w:rPr>
        <w:t xml:space="preserve">, </w:t>
      </w:r>
      <w:hyperlink r:id="rId1066" w:history="1">
        <w:r>
          <w:rPr>
            <w:rFonts w:ascii="arial" w:eastAsia="arial" w:hAnsi="arial" w:cs="arial"/>
            <w:i/>
            <w:color w:val="0077CC"/>
            <w:sz w:val="20"/>
            <w:u w:val="single"/>
            <w:shd w:val="clear" w:color="auto" w:fill="FFFFFF"/>
            <w:lang w:val="en-US" w:eastAsia="en-US" w:bidi="ar-SA"/>
          </w:rPr>
          <w:t>2007 BCSC 426</w:t>
        </w:r>
      </w:hyperlink>
      <w:r>
        <w:rPr>
          <w:rFonts w:ascii="arial" w:eastAsia="arial" w:hAnsi="arial" w:cs="arial"/>
          <w:color w:val="000000"/>
          <w:sz w:val="20"/>
          <w:lang w:val="en-US" w:eastAsia="en-US" w:bidi="ar-SA"/>
        </w:rPr>
        <w:t xml:space="preserve"> (CanLII) at para. 22.</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The Claims in Nuisance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The tort of private nuisance consists of two elements. The plaintiff must establish a substantial, (meaning non-trivial) interference with the plaintiff's use or enjoyment of the plaintiff's land, and that the interference is unreasonable in all of the circumstances: </w:t>
      </w:r>
      <w:r>
        <w:rPr>
          <w:rFonts w:ascii="arial" w:eastAsia="arial" w:hAnsi="arial" w:cs="arial"/>
          <w:i/>
          <w:color w:val="000000"/>
          <w:sz w:val="20"/>
          <w:lang w:val="en-US" w:eastAsia="en-US" w:bidi="ar-SA"/>
        </w:rPr>
        <w:t>Antrim Truck Centre Ltd. v. Ontario (Minister of Transportation)</w:t>
      </w:r>
      <w:r>
        <w:rPr>
          <w:rFonts w:ascii="arial" w:eastAsia="arial" w:hAnsi="arial" w:cs="arial"/>
          <w:color w:val="000000"/>
          <w:sz w:val="20"/>
          <w:lang w:val="en-US" w:eastAsia="en-US" w:bidi="ar-SA"/>
        </w:rPr>
        <w:t xml:space="preserve"> </w:t>
      </w:r>
      <w:hyperlink r:id="rId1067" w:history="1">
        <w:r>
          <w:rPr>
            <w:rFonts w:ascii="arial" w:eastAsia="arial" w:hAnsi="arial" w:cs="arial"/>
            <w:i/>
            <w:color w:val="0077CC"/>
            <w:sz w:val="20"/>
            <w:u w:val="single"/>
            <w:shd w:val="clear" w:color="auto" w:fill="FFFFFF"/>
            <w:lang w:val="en-US" w:eastAsia="en-US" w:bidi="ar-SA"/>
          </w:rPr>
          <w:t>2013 SCC 13</w:t>
        </w:r>
      </w:hyperlink>
      <w:r>
        <w:rPr>
          <w:rFonts w:ascii="arial" w:eastAsia="arial" w:hAnsi="arial" w:cs="arial"/>
          <w:color w:val="000000"/>
          <w:sz w:val="20"/>
          <w:lang w:val="en-US" w:eastAsia="en-US" w:bidi="ar-SA"/>
        </w:rPr>
        <w:t>, at paras. 19, 24, 28 [</w:t>
      </w:r>
      <w:r>
        <w:rPr>
          <w:rFonts w:ascii="arial" w:eastAsia="arial" w:hAnsi="arial" w:cs="arial"/>
          <w:i/>
          <w:color w:val="000000"/>
          <w:sz w:val="20"/>
          <w:lang w:val="en-US" w:eastAsia="en-US" w:bidi="ar-SA"/>
        </w:rPr>
        <w:t>Antrim</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The reasonableness of the interference must be assessed in light of all of the relevant circumstances: </w:t>
      </w:r>
      <w:r>
        <w:rPr>
          <w:rFonts w:ascii="arial" w:eastAsia="arial" w:hAnsi="arial" w:cs="arial"/>
          <w:i/>
          <w:color w:val="000000"/>
          <w:sz w:val="20"/>
          <w:lang w:val="en-US" w:eastAsia="en-US" w:bidi="ar-SA"/>
        </w:rPr>
        <w:t>Antrim</w:t>
      </w:r>
      <w:r>
        <w:rPr>
          <w:rFonts w:ascii="arial" w:eastAsia="arial" w:hAnsi="arial" w:cs="arial"/>
          <w:color w:val="000000"/>
          <w:sz w:val="20"/>
          <w:lang w:val="en-US" w:eastAsia="en-US" w:bidi="ar-SA"/>
        </w:rPr>
        <w:t xml:space="preserve">, para. 25. Traditionally, the courts have assessed whether the interference is unreasonable by balancing the gravity of the harm against the utility of the defendant's conduct in all of the circumstances: </w:t>
      </w:r>
      <w:r>
        <w:rPr>
          <w:rFonts w:ascii="arial" w:eastAsia="arial" w:hAnsi="arial" w:cs="arial"/>
          <w:i/>
          <w:color w:val="000000"/>
          <w:sz w:val="20"/>
          <w:lang w:val="en-US" w:eastAsia="en-US" w:bidi="ar-SA"/>
        </w:rPr>
        <w:t>Antrim</w:t>
      </w:r>
      <w:r>
        <w:rPr>
          <w:rFonts w:ascii="arial" w:eastAsia="arial" w:hAnsi="arial" w:cs="arial"/>
          <w:color w:val="000000"/>
          <w:sz w:val="20"/>
          <w:lang w:val="en-US" w:eastAsia="en-US" w:bidi="ar-SA"/>
        </w:rPr>
        <w:t>, para. 26. While the focus of the reasonableness analysis is on the character and extent of the interference with the claimant's land (para. 28), the nature of the defendant's conduct is not irrelevant. Where the defendant can establish that his or her conduct was reasonable, that can be a relevant consideration, particularly in cases where a claim is brought against a public authority. A finding of reasonable conduct will not, however, necessarily preclude a finding of liability (paras. 29, 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Antrim</w:t>
      </w:r>
      <w:r>
        <w:rPr>
          <w:rFonts w:ascii="arial" w:eastAsia="arial" w:hAnsi="arial" w:cs="arial"/>
          <w:color w:val="000000"/>
          <w:sz w:val="20"/>
          <w:lang w:val="en-US" w:eastAsia="en-US" w:bidi="ar-SA"/>
        </w:rPr>
        <w:t>, the plaintiff asserted claims based upon the tort of private nuisance when highway construction permanently harmed the plaintiff's truck stop business. The Supreme Court of Canada held that in the case of activities carried out by a public authority for the greater public good, as in other private nuisance cases, the reasonableness of the interference must be assessed in light of all of the relevant circumstances, however the focus of that balancing exercise is on whether the interference is such that it would be unreasonable in all of the circumstances to require the claimant to suffer it without compensation (paras. 25, 38, 40).</w:t>
      </w:r>
      <w:r>
        <w:rPr>
          <w:rFonts w:ascii="arial" w:eastAsia="arial" w:hAnsi="arial" w:cs="arial"/>
          <w:sz w:val="20"/>
          <w:lang w:val="en-US" w:eastAsia="en-US" w:bidi="ar-SA"/>
        </w:rPr>
        <w:cr/>
      </w:r>
    </w:p>
    <w:p>
      <w:pPr>
        <w:numPr>
          <w:numId w:val="1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lang w:val="en-US" w:eastAsia="en-US" w:bidi="ar-SA"/>
        </w:rPr>
        <w:t>Does the plaintiff have an interest in land to support a claim in private nuisance?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The plaintiff does not claim as owner of the lands. His asserted interests in the land are very limited. He claims as a licensee with certain rights specified by statute. His primary argument is that as holder of the guiding territory certificate and the trapline registrations, he holds interests in the lands that constitute </w:t>
      </w:r>
      <w:r>
        <w:rPr>
          <w:rFonts w:ascii="arial" w:eastAsia="arial" w:hAnsi="arial" w:cs="arial"/>
          <w:i/>
          <w:color w:val="000000"/>
          <w:sz w:val="20"/>
          <w:lang w:val="en-US" w:eastAsia="en-US" w:bidi="ar-SA"/>
        </w:rPr>
        <w:t>profits à prendre</w:t>
      </w:r>
      <w:r>
        <w:rPr>
          <w:rFonts w:ascii="arial" w:eastAsia="arial" w:hAnsi="arial" w:cs="arial"/>
          <w:color w:val="000000"/>
          <w:sz w:val="20"/>
          <w:lang w:val="en-US" w:eastAsia="en-US" w:bidi="ar-SA"/>
        </w:rPr>
        <w:t>. He also makes other, secondary and vague assertions as to interests in land, unsupported by any specific facts. At paras. 37, 37.1and 46 he refers to other "property rights" of the Plaintiff and other rights to use and occupy the Lands. In the Proposed AANOCC, he refers in para. 37.1 to "substantial occupancy" and in paras. 62, 63 and 64 he refers to the rights of the McLeod Lake Indian Band in relation to the Lands.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As noted by the Court of Appeal in </w:t>
      </w:r>
      <w:r>
        <w:rPr>
          <w:rFonts w:ascii="arial" w:eastAsia="arial" w:hAnsi="arial" w:cs="arial"/>
          <w:i/>
          <w:color w:val="000000"/>
          <w:sz w:val="20"/>
          <w:lang w:val="en-US" w:eastAsia="en-US" w:bidi="ar-SA"/>
        </w:rPr>
        <w:t>Thomas v. Rio Tinto</w:t>
      </w:r>
      <w:r>
        <w:rPr>
          <w:rFonts w:ascii="arial" w:eastAsia="arial" w:hAnsi="arial" w:cs="arial"/>
          <w:color w:val="000000"/>
          <w:sz w:val="20"/>
          <w:lang w:val="en-US" w:eastAsia="en-US" w:bidi="ar-SA"/>
        </w:rPr>
        <w:t xml:space="preserve">, </w:t>
      </w:r>
      <w:hyperlink r:id="rId1068" w:history="1">
        <w:r>
          <w:rPr>
            <w:rFonts w:ascii="arial" w:eastAsia="arial" w:hAnsi="arial" w:cs="arial"/>
            <w:i/>
            <w:color w:val="0077CC"/>
            <w:sz w:val="20"/>
            <w:u w:val="single"/>
            <w:shd w:val="clear" w:color="auto" w:fill="FFFFFF"/>
            <w:lang w:val="en-US" w:eastAsia="en-US" w:bidi="ar-SA"/>
          </w:rPr>
          <w:t>2015 BCCA 154</w:t>
        </w:r>
      </w:hyperlink>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Thomas</w:t>
      </w:r>
      <w:r>
        <w:rPr>
          <w:rFonts w:ascii="arial" w:eastAsia="arial" w:hAnsi="arial" w:cs="arial"/>
          <w:color w:val="000000"/>
          <w:sz w:val="20"/>
          <w:lang w:val="en-US" w:eastAsia="en-US" w:bidi="ar-SA"/>
        </w:rPr>
        <w:t>] there is some uncertainty in Canadian law as to what occupiers of land, other than owners, may pursue claims in private nuisance (para. 38).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The Crown argues that neither the guiding territory certificate nor the registered traplines qualify as </w:t>
      </w:r>
      <w:r>
        <w:rPr>
          <w:rFonts w:ascii="arial" w:eastAsia="arial" w:hAnsi="arial" w:cs="arial"/>
          <w:i/>
          <w:color w:val="000000"/>
          <w:sz w:val="20"/>
          <w:lang w:val="en-US" w:eastAsia="en-US" w:bidi="ar-SA"/>
        </w:rPr>
        <w:t>profits à prendre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A </w:t>
      </w:r>
      <w:r>
        <w:rPr>
          <w:rFonts w:ascii="arial" w:eastAsia="arial" w:hAnsi="arial" w:cs="arial"/>
          <w:i/>
          <w:color w:val="000000"/>
          <w:sz w:val="20"/>
          <w:lang w:val="en-US" w:eastAsia="en-US" w:bidi="ar-SA"/>
        </w:rPr>
        <w:t>profit à prendre</w:t>
      </w:r>
      <w:r>
        <w:rPr>
          <w:rFonts w:ascii="arial" w:eastAsia="arial" w:hAnsi="arial" w:cs="arial"/>
          <w:color w:val="000000"/>
          <w:sz w:val="20"/>
          <w:lang w:val="en-US" w:eastAsia="en-US" w:bidi="ar-SA"/>
        </w:rPr>
        <w:t xml:space="preserve"> is "a right to enter on the land of another person and take some profit of the soil such as minerals, oil, stones, trees, turf, fish or game, for the use of the owner of the right.": </w:t>
      </w:r>
      <w:r>
        <w:rPr>
          <w:rFonts w:ascii="arial" w:eastAsia="arial" w:hAnsi="arial" w:cs="arial"/>
          <w:i/>
          <w:color w:val="000000"/>
          <w:sz w:val="20"/>
          <w:lang w:val="en-US" w:eastAsia="en-US" w:bidi="ar-SA"/>
        </w:rPr>
        <w:t>British Columbia v. Tener</w:t>
      </w:r>
      <w:r>
        <w:rPr>
          <w:rFonts w:ascii="arial" w:eastAsia="arial" w:hAnsi="arial" w:cs="arial"/>
          <w:color w:val="000000"/>
          <w:sz w:val="20"/>
          <w:lang w:val="en-US" w:eastAsia="en-US" w:bidi="ar-SA"/>
        </w:rPr>
        <w:t xml:space="preserve">, </w:t>
      </w:r>
      <w:hyperlink r:id="rId1069" w:history="1">
        <w:r>
          <w:rPr>
            <w:rFonts w:ascii="arial" w:eastAsia="arial" w:hAnsi="arial" w:cs="arial"/>
            <w:i/>
            <w:color w:val="0077CC"/>
            <w:sz w:val="20"/>
            <w:u w:val="single"/>
            <w:shd w:val="clear" w:color="auto" w:fill="FFFFFF"/>
            <w:lang w:val="en-US" w:eastAsia="en-US" w:bidi="ar-SA"/>
          </w:rPr>
          <w:t>[1985] 1 S.C.R. 533</w:t>
        </w:r>
      </w:hyperlink>
      <w:r>
        <w:rPr>
          <w:rFonts w:ascii="arial" w:eastAsia="arial" w:hAnsi="arial" w:cs="arial"/>
          <w:color w:val="000000"/>
          <w:sz w:val="20"/>
          <w:lang w:val="en-US" w:eastAsia="en-US" w:bidi="ar-SA"/>
        </w:rPr>
        <w:t>, paras. 11-12.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A guiding territory certificate gives the holder exclusive control over the privilege of guiding hunters in the area covered by the certificate: </w:t>
      </w:r>
      <w:r>
        <w:rPr>
          <w:rFonts w:ascii="arial" w:eastAsia="arial" w:hAnsi="arial" w:cs="arial"/>
          <w:i/>
          <w:color w:val="000000"/>
          <w:sz w:val="20"/>
          <w:lang w:val="en-US" w:eastAsia="en-US" w:bidi="ar-SA"/>
        </w:rPr>
        <w:t>Wildlife Act</w:t>
      </w:r>
      <w:r>
        <w:rPr>
          <w:rFonts w:ascii="arial" w:eastAsia="arial" w:hAnsi="arial" w:cs="arial"/>
          <w:color w:val="000000"/>
          <w:sz w:val="20"/>
          <w:lang w:val="en-US" w:eastAsia="en-US" w:bidi="ar-SA"/>
        </w:rPr>
        <w:t xml:space="preserve">, section 59(3). However a further licence, a guide outfitter licence, is required to act as a guide for hunters of game: </w:t>
      </w:r>
      <w:r>
        <w:rPr>
          <w:rFonts w:ascii="arial" w:eastAsia="arial" w:hAnsi="arial" w:cs="arial"/>
          <w:i/>
          <w:color w:val="000000"/>
          <w:sz w:val="20"/>
          <w:lang w:val="en-US" w:eastAsia="en-US" w:bidi="ar-SA"/>
        </w:rPr>
        <w:t>Wildlife Act</w:t>
      </w:r>
      <w:r>
        <w:rPr>
          <w:rFonts w:ascii="arial" w:eastAsia="arial" w:hAnsi="arial" w:cs="arial"/>
          <w:color w:val="000000"/>
          <w:sz w:val="20"/>
          <w:lang w:val="en-US" w:eastAsia="en-US" w:bidi="ar-SA"/>
        </w:rPr>
        <w:t xml:space="preserve">, ss. 48 and 51. In effect, a guiding territory certificate, coupled with a valid and subsisting guide outfitter's licence, confers the right to conduct a guiding business over a specified area of land during the term of the certificate. Neither the guiding territory certificate nor the guide outfitter's licence grants the right to hunt for game or to retain any game that has been killed. For those purposes a hunting licence is required: </w:t>
      </w:r>
      <w:r>
        <w:rPr>
          <w:rFonts w:ascii="arial" w:eastAsia="arial" w:hAnsi="arial" w:cs="arial"/>
          <w:i/>
          <w:color w:val="000000"/>
          <w:sz w:val="20"/>
          <w:lang w:val="en-US" w:eastAsia="en-US" w:bidi="ar-SA"/>
        </w:rPr>
        <w:t>Wildlife Act</w:t>
      </w:r>
      <w:r>
        <w:rPr>
          <w:rFonts w:ascii="arial" w:eastAsia="arial" w:hAnsi="arial" w:cs="arial"/>
          <w:color w:val="000000"/>
          <w:sz w:val="20"/>
          <w:lang w:val="en-US" w:eastAsia="en-US" w:bidi="ar-SA"/>
        </w:rPr>
        <w:t>, s. 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The Crown relies on </w:t>
      </w:r>
      <w:r>
        <w:rPr>
          <w:rFonts w:ascii="arial" w:eastAsia="arial" w:hAnsi="arial" w:cs="arial"/>
          <w:i/>
          <w:color w:val="000000"/>
          <w:sz w:val="20"/>
          <w:lang w:val="en-US" w:eastAsia="en-US" w:bidi="ar-SA"/>
        </w:rPr>
        <w:t>Stafford v. British Columbia</w:t>
      </w:r>
      <w:r>
        <w:rPr>
          <w:rFonts w:ascii="arial" w:eastAsia="arial" w:hAnsi="arial" w:cs="arial"/>
          <w:color w:val="000000"/>
          <w:sz w:val="20"/>
          <w:lang w:val="en-US" w:eastAsia="en-US" w:bidi="ar-SA"/>
        </w:rPr>
        <w:t xml:space="preserve">, </w:t>
      </w:r>
      <w:hyperlink r:id="rId1070" w:history="1">
        <w:r>
          <w:rPr>
            <w:rFonts w:ascii="arial" w:eastAsia="arial" w:hAnsi="arial" w:cs="arial"/>
            <w:i/>
            <w:color w:val="0077CC"/>
            <w:sz w:val="20"/>
            <w:u w:val="single"/>
            <w:shd w:val="clear" w:color="auto" w:fill="FFFFFF"/>
            <w:lang w:val="en-US" w:eastAsia="en-US" w:bidi="ar-SA"/>
          </w:rPr>
          <w:t>[1996] B.C.J. No. 1010</w:t>
        </w:r>
      </w:hyperlink>
      <w:r>
        <w:rPr>
          <w:rFonts w:ascii="arial" w:eastAsia="arial" w:hAnsi="arial" w:cs="arial"/>
          <w:color w:val="000000"/>
          <w:sz w:val="20"/>
          <w:lang w:val="en-US" w:eastAsia="en-US" w:bidi="ar-SA"/>
        </w:rPr>
        <w:t xml:space="preserve"> (S.C.) at para. 93 for the proposition that a Crown grant of guiding "privileges" by way of a guiding territory certificate is not property, or an interest in land. The plaintiff argues that this proposition is incorrect.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While the proposition appears quite correct to me, it is not necessary that I decide that question. In the appellate chambers decision in </w:t>
      </w:r>
      <w:r>
        <w:rPr>
          <w:rFonts w:ascii="arial" w:eastAsia="arial" w:hAnsi="arial" w:cs="arial"/>
          <w:i/>
          <w:color w:val="000000"/>
          <w:sz w:val="20"/>
          <w:lang w:val="en-US" w:eastAsia="en-US" w:bidi="ar-SA"/>
        </w:rPr>
        <w:t>Bolton v. Forest Pest Management Institute</w:t>
      </w:r>
      <w:r>
        <w:rPr>
          <w:rFonts w:ascii="arial" w:eastAsia="arial" w:hAnsi="arial" w:cs="arial"/>
          <w:color w:val="000000"/>
          <w:sz w:val="20"/>
          <w:lang w:val="en-US" w:eastAsia="en-US" w:bidi="ar-SA"/>
        </w:rPr>
        <w:t xml:space="preserve"> </w:t>
      </w:r>
      <w:hyperlink r:id="rId1071" w:history="1">
        <w:r>
          <w:rPr>
            <w:rFonts w:ascii="arial" w:eastAsia="arial" w:hAnsi="arial" w:cs="arial"/>
            <w:i/>
            <w:color w:val="0077CC"/>
            <w:sz w:val="20"/>
            <w:u w:val="single"/>
            <w:shd w:val="clear" w:color="auto" w:fill="FFFFFF"/>
            <w:lang w:val="en-US" w:eastAsia="en-US" w:bidi="ar-SA"/>
          </w:rPr>
          <w:t>(1985), 21 D.L.R. (4th) 242</w:t>
        </w:r>
      </w:hyperlink>
      <w:r>
        <w:rPr>
          <w:rFonts w:ascii="arial" w:eastAsia="arial" w:hAnsi="arial" w:cs="arial"/>
          <w:color w:val="000000"/>
          <w:sz w:val="20"/>
          <w:lang w:val="en-US" w:eastAsia="en-US" w:bidi="ar-SA"/>
        </w:rPr>
        <w:t>, at para. 21 [</w:t>
      </w:r>
      <w:r>
        <w:rPr>
          <w:rFonts w:ascii="arial" w:eastAsia="arial" w:hAnsi="arial" w:cs="arial"/>
          <w:i/>
          <w:color w:val="000000"/>
          <w:sz w:val="20"/>
          <w:lang w:val="en-US" w:eastAsia="en-US" w:bidi="ar-SA"/>
        </w:rPr>
        <w:t>Bolton</w:t>
      </w:r>
      <w:r>
        <w:rPr>
          <w:rFonts w:ascii="arial" w:eastAsia="arial" w:hAnsi="arial" w:cs="arial"/>
          <w:color w:val="000000"/>
          <w:sz w:val="20"/>
          <w:lang w:val="en-US" w:eastAsia="en-US" w:bidi="ar-SA"/>
        </w:rPr>
        <w:t xml:space="preserve">], Macfarlane J.A. stated that while the holder of a trapline registration has no proprietary rights in wildlife, the holder has a right to take wildlife from the lands covered by the registration, and that the registered trapline falls within the definition of a </w:t>
      </w:r>
      <w:r>
        <w:rPr>
          <w:rFonts w:ascii="arial" w:eastAsia="arial" w:hAnsi="arial" w:cs="arial"/>
          <w:i/>
          <w:color w:val="000000"/>
          <w:sz w:val="20"/>
          <w:lang w:val="en-US" w:eastAsia="en-US" w:bidi="ar-SA"/>
        </w:rPr>
        <w:t>profit à prendre</w:t>
      </w:r>
      <w:r>
        <w:rPr>
          <w:rFonts w:ascii="arial" w:eastAsia="arial" w:hAnsi="arial" w:cs="arial"/>
          <w:color w:val="000000"/>
          <w:sz w:val="20"/>
          <w:lang w:val="en-US" w:eastAsia="en-US" w:bidi="ar-SA"/>
        </w:rPr>
        <w:t xml:space="preserve">. The Crown argues that in that decision the court misconstrued the statutory privileges conveyed by a registered trapline under the </w:t>
      </w:r>
      <w:r>
        <w:rPr>
          <w:rFonts w:ascii="arial" w:eastAsia="arial" w:hAnsi="arial" w:cs="arial"/>
          <w:i/>
          <w:color w:val="000000"/>
          <w:sz w:val="20"/>
          <w:lang w:val="en-US" w:eastAsia="en-US" w:bidi="ar-SA"/>
        </w:rPr>
        <w:t>Wildlife Act</w:t>
      </w:r>
      <w:r>
        <w:rPr>
          <w:rFonts w:ascii="arial" w:eastAsia="arial" w:hAnsi="arial" w:cs="arial"/>
          <w:color w:val="000000"/>
          <w:sz w:val="20"/>
          <w:lang w:val="en-US" w:eastAsia="en-US" w:bidi="ar-SA"/>
        </w:rPr>
        <w:t xml:space="preserve">, and that a registered trapline is not a </w:t>
      </w:r>
      <w:r>
        <w:rPr>
          <w:rFonts w:ascii="arial" w:eastAsia="arial" w:hAnsi="arial" w:cs="arial"/>
          <w:i/>
          <w:color w:val="000000"/>
          <w:sz w:val="20"/>
          <w:lang w:val="en-US" w:eastAsia="en-US" w:bidi="ar-SA"/>
        </w:rPr>
        <w:t>profit à prendre</w:t>
      </w:r>
      <w:r>
        <w:rPr>
          <w:rFonts w:ascii="arial" w:eastAsia="arial" w:hAnsi="arial" w:cs="arial"/>
          <w:color w:val="000000"/>
          <w:sz w:val="20"/>
          <w:lang w:val="en-US" w:eastAsia="en-US" w:bidi="ar-SA"/>
        </w:rPr>
        <w:t xml:space="preserve">. However, the Crown and 813 concede that based upon that decision it is at least arguable that the registered traplines constitute </w:t>
      </w:r>
      <w:r>
        <w:rPr>
          <w:rFonts w:ascii="arial" w:eastAsia="arial" w:hAnsi="arial" w:cs="arial"/>
          <w:i/>
          <w:color w:val="000000"/>
          <w:sz w:val="20"/>
          <w:lang w:val="en-US" w:eastAsia="en-US" w:bidi="ar-SA"/>
        </w:rPr>
        <w:t>profits à prendre</w:t>
      </w:r>
      <w:r>
        <w:rPr>
          <w:rFonts w:ascii="arial" w:eastAsia="arial" w:hAnsi="arial" w:cs="arial"/>
          <w:color w:val="000000"/>
          <w:sz w:val="20"/>
          <w:lang w:val="en-US" w:eastAsia="en-US" w:bidi="ar-SA"/>
        </w:rPr>
        <w:t xml:space="preserve">. I note that </w:t>
      </w:r>
      <w:r>
        <w:rPr>
          <w:rFonts w:ascii="arial" w:eastAsia="arial" w:hAnsi="arial" w:cs="arial"/>
          <w:i/>
          <w:color w:val="000000"/>
          <w:sz w:val="20"/>
          <w:lang w:val="en-US" w:eastAsia="en-US" w:bidi="ar-SA"/>
        </w:rPr>
        <w:t>Bolton</w:t>
      </w:r>
      <w:r>
        <w:rPr>
          <w:rFonts w:ascii="arial" w:eastAsia="arial" w:hAnsi="arial" w:cs="arial"/>
          <w:color w:val="000000"/>
          <w:sz w:val="20"/>
          <w:lang w:val="en-US" w:eastAsia="en-US" w:bidi="ar-SA"/>
        </w:rPr>
        <w:t xml:space="preserve"> was cited for this proposition by the Court of Appeal in </w:t>
      </w:r>
      <w:r>
        <w:rPr>
          <w:rFonts w:ascii="arial" w:eastAsia="arial" w:hAnsi="arial" w:cs="arial"/>
          <w:i/>
          <w:color w:val="000000"/>
          <w:sz w:val="20"/>
          <w:lang w:val="en-US" w:eastAsia="en-US" w:bidi="ar-SA"/>
        </w:rPr>
        <w:t>Thomas</w:t>
      </w:r>
      <w:r>
        <w:rPr>
          <w:rFonts w:ascii="arial" w:eastAsia="arial" w:hAnsi="arial" w:cs="arial"/>
          <w:color w:val="000000"/>
          <w:sz w:val="20"/>
          <w:lang w:val="en-US" w:eastAsia="en-US" w:bidi="ar-SA"/>
        </w:rPr>
        <w:t xml:space="preserve"> at para. 55.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As noted, the plaintiff's pleadings as to the nature of the interests he holds are unclear, and inconsistent. Paragraphs 27 and 28 of the ANOCC assert that the plaintiff holds the registered traplines for his own benefit. Paragraphs 27.1 and 28.1 assert, inconsistently, that he holds the registered traplines in trust for others. This is a vital distinction given the apparent nature of plaintiff's claims for loss and damage. Moreover, as noted, beyond the guiding territory certificate and the registered traplines he vaguely asserts other property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It is doubtful whether the plaintiff has pleaded facts supporting this element of the claim in nuisance, due in part to the lack of clarity of the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Nevertheless, I conclude that, at least, based upon the registered traplines, if held as principal, to at least some extent, it is arguable that the plaintiff holds an interest in land sufficient to advance claims in nuisance.</w:t>
      </w:r>
      <w:r>
        <w:rPr>
          <w:rFonts w:ascii="arial" w:eastAsia="arial" w:hAnsi="arial" w:cs="arial"/>
          <w:sz w:val="20"/>
          <w:lang w:val="en-US" w:eastAsia="en-US" w:bidi="ar-SA"/>
        </w:rPr>
        <w:cr/>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Could the plaintiff establish an unreasonable interference in all of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my view, it is plain and obvious that the plaintiff cannot establish the second element of the nuisance claim: that the interference he complains of is unreasonable in all of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Against the backdrop of all of the circumstances, two key considerations combine to lead to this conclusion: the nature of the claims as pleaded, and the nature of the interests of the plaintiff in the context of the statutory scheme. I will first address this second consideration.</w:t>
      </w:r>
      <w:r>
        <w:rPr>
          <w:rFonts w:ascii="arial" w:eastAsia="arial" w:hAnsi="arial" w:cs="arial"/>
          <w:sz w:val="20"/>
          <w:lang w:val="en-US" w:eastAsia="en-US" w:bidi="ar-SA"/>
        </w:rPr>
        <w:cr/>
      </w:r>
    </w:p>
    <w:p>
      <w:pPr>
        <w:spacing w:line="260" w:lineRule="atLeast"/>
        <w:ind w:left="1440"/>
        <w:rPr>
          <w:rFonts w:ascii="arial" w:eastAsia="arial" w:hAnsi="arial" w:cs="arial"/>
          <w:sz w:val="20"/>
          <w:lang w:val="en-US" w:eastAsia="en-US" w:bidi="ar-SA"/>
        </w:rPr>
      </w:pPr>
      <w:r>
        <w:rPr>
          <w:rFonts w:ascii="arial" w:eastAsia="arial" w:hAnsi="arial" w:cs="arial"/>
          <w:b/>
          <w:color w:val="000000"/>
          <w:sz w:val="20"/>
          <w:lang w:val="en-US" w:eastAsia="en-US" w:bidi="ar-SA"/>
        </w:rPr>
        <w:t>i. The nature of the interests of the plaintiff in the context of the statutory scheme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The licences under the </w:t>
      </w:r>
      <w:r>
        <w:rPr>
          <w:rFonts w:ascii="arial" w:eastAsia="arial" w:hAnsi="arial" w:cs="arial"/>
          <w:i/>
          <w:color w:val="000000"/>
          <w:sz w:val="20"/>
          <w:lang w:val="en-US" w:eastAsia="en-US" w:bidi="ar-SA"/>
        </w:rPr>
        <w:t>Wildlife Act</w:t>
      </w:r>
      <w:r>
        <w:rPr>
          <w:rFonts w:ascii="arial" w:eastAsia="arial" w:hAnsi="arial" w:cs="arial"/>
          <w:color w:val="000000"/>
          <w:sz w:val="20"/>
          <w:lang w:val="en-US" w:eastAsia="en-US" w:bidi="ar-SA"/>
        </w:rPr>
        <w:t xml:space="preserve"> upon which the plaintiff bases his claims are part of a sophisticated, complex, integrated scheme, designed to facilitate, accommodate and balance various conflicting objectives of the Province and the many users of the forested Crown lands in the Province of B.C. Both the objectives and the processes for achieving them are prescribed in detail in the relevant statutes and regulations. The TSLs are also a part of this larger scheme.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manner in which the government regulates timber harvesting activities in the context of competing considerations and interests is set out in detail in the legislative scheme.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Ministry of Forest and Range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300</w:t>
      </w:r>
      <w:r>
        <w:rPr>
          <w:rFonts w:ascii="arial" w:eastAsia="arial" w:hAnsi="arial" w:cs="arial"/>
          <w:color w:val="000000"/>
          <w:sz w:val="20"/>
          <w:lang w:val="en-US" w:eastAsia="en-US" w:bidi="ar-SA"/>
        </w:rPr>
        <w:t xml:space="preserve"> continues the Ministry of Forests and Range. The current name of the Ministry is Ministry of Forests Lands and Natural Resource Operations ("MFLNRO").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Section 4 of the </w:t>
      </w:r>
      <w:r>
        <w:rPr>
          <w:rFonts w:ascii="arial" w:eastAsia="arial" w:hAnsi="arial" w:cs="arial"/>
          <w:i/>
          <w:color w:val="000000"/>
          <w:sz w:val="20"/>
          <w:lang w:val="en-US" w:eastAsia="en-US" w:bidi="ar-SA"/>
        </w:rPr>
        <w:t>Ministry of Forests and Range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300</w:t>
      </w:r>
      <w:r>
        <w:rPr>
          <w:rFonts w:ascii="arial" w:eastAsia="arial" w:hAnsi="arial" w:cs="arial"/>
          <w:color w:val="000000"/>
          <w:sz w:val="20"/>
          <w:lang w:val="en-US" w:eastAsia="en-US" w:bidi="ar-SA"/>
        </w:rPr>
        <w:t>, sets out the Crown's forest and range management objectives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purposes and functions of the ministry are, under the direction of the minister, to do the following:</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encourage maximum productivity of the forest and range resources in British Columbia;</w:t>
      </w:r>
    </w:p>
    <w:p>
      <w:pPr>
        <w:numPr>
          <w:numId w:val="1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manage, protect and conserve the forest and range resources of the government, having regard to the immediate and long term economic and social benefits they may confer on British Columbia;</w:t>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plan the use of the forest and range resources of the government, so that the production of timber and forage, the harvesting of timber, the grazing of livestock and the realization of fisheries, wildlife, water, outdoor recreation and other natural resource values are coordinated and integrated, in consultation and cooperation with other ministries and agencies of the government and with the private sector;</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encourage a vigorous, efficient and world competitive</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timber processing industry, and</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ranching sector in British Columbia;</w:t>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assert the financial interest of the government in its forest and range resources in a systematic and equitable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As can be seen, realization of wildlife values is one of many considerations among the purposes and functions of the Ministry described in its legislation. Other objectives relate to maximizing forest productivity, timber harvesting, and recognizing the financial interests of the government.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Other legislation relevant to forest, range and wildlife matters includes the </w:t>
      </w:r>
      <w:r>
        <w:rPr>
          <w:rFonts w:ascii="arial" w:eastAsia="arial" w:hAnsi="arial" w:cs="arial"/>
          <w:i/>
          <w:color w:val="000000"/>
          <w:sz w:val="20"/>
          <w:lang w:val="en-US" w:eastAsia="en-US" w:bidi="ar-SA"/>
        </w:rPr>
        <w:t>Wildlife Act</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Fisheries Act (BC)</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Forest Act</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Range Act</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Forests Range and Practices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2002, c. 69</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FRPA</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Statutes dealing with the same subject matter should be interpreted in a manner which presumes harmony, coherence, and consistency between them: </w:t>
      </w:r>
      <w:r>
        <w:rPr>
          <w:rFonts w:ascii="arial" w:eastAsia="arial" w:hAnsi="arial" w:cs="arial"/>
          <w:i/>
          <w:color w:val="000000"/>
          <w:sz w:val="20"/>
          <w:lang w:val="en-US" w:eastAsia="en-US" w:bidi="ar-SA"/>
        </w:rPr>
        <w:t>Bell Express Vu Limited Partnership v. Rex,</w:t>
      </w:r>
      <w:r>
        <w:rPr>
          <w:rFonts w:ascii="arial" w:eastAsia="arial" w:hAnsi="arial" w:cs="arial"/>
          <w:color w:val="000000"/>
          <w:sz w:val="20"/>
          <w:lang w:val="en-US" w:eastAsia="en-US" w:bidi="ar-SA"/>
        </w:rPr>
        <w:t xml:space="preserve"> </w:t>
      </w:r>
      <w:hyperlink r:id="rId1072" w:history="1">
        <w:r>
          <w:rPr>
            <w:rFonts w:ascii="arial" w:eastAsia="arial" w:hAnsi="arial" w:cs="arial"/>
            <w:i/>
            <w:color w:val="0077CC"/>
            <w:sz w:val="20"/>
            <w:u w:val="single"/>
            <w:shd w:val="clear" w:color="auto" w:fill="FFFFFF"/>
            <w:lang w:val="en-US" w:eastAsia="en-US" w:bidi="ar-SA"/>
          </w:rPr>
          <w:t>2002 SCC 42</w:t>
        </w:r>
      </w:hyperlink>
      <w:r>
        <w:rPr>
          <w:rFonts w:ascii="arial" w:eastAsia="arial" w:hAnsi="arial" w:cs="arial"/>
          <w:color w:val="000000"/>
          <w:sz w:val="20"/>
          <w:lang w:val="en-US" w:eastAsia="en-US" w:bidi="ar-SA"/>
        </w:rPr>
        <w:t>, at para. 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In its Notice of Application, the Province provides the following overview of the legislative scheme: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 Allocation and Apportionment of Timber Harvesting Rights</w:t>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main legislation governing the harvesting of Crown timber is the Forest Act. Under section 8 of that Act, the chief forester must determine an allowable annual cut for each timber supply area ("TSA") in the province at least once every 10 years, subject to some exceptions. In determining the allowable annual cut the chief forester must consider, among other things, the sustainability of timber production in the area, the implications for British Columbia of different rates of timber harvesting in an area, and the economic and social objectives of the government for the area, the region and British Columbia.</w:t>
      </w:r>
    </w:p>
    <w:p>
      <w:pPr>
        <w:numPr>
          <w:numId w:val="2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At this high level, the legislation is already contemplating the competing uses to which Crown land may be put, and the effects different rates of timber harvesting may have within the TSA and more broadly. The effects may include effects on wildlife.</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Under section 10 of the Forest Act, the minister may specify a portion of the allowable annual cut for Crown land in a TSA to be available for granting under a form of agreement referred to in section 12 of the Act. The apportionment determines the extent of harvesting expected to be undertaken under each form of agreement.</w:t>
      </w:r>
    </w:p>
    <w:p>
      <w:pPr>
        <w:numPr>
          <w:numId w:val="2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Under section 12 of the Forest Act, various forms of tenure may be granted. Major licences may subsist for up to 25 years and require the licensee to carry out most of the forest planning work which precedes harvesting.</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TSLs, on the other hand, subsist for up to 4 years and the forest planning work is done by BCTS, an administrative division of MFLNRO. The licences are usually acquired by competitive tender by BCTS Enterprise registrants, many of whom are smaller operators.</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Importantly, a TSL must describe the area to be harvested and requires the holder to pay money to the government, whether or not the harvesting actually occurs.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Forest Act, section 22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ii. Planning and Consultation in relation to Forestry Activities</w:t>
      </w:r>
    </w:p>
    <w:p>
      <w:pPr>
        <w:numPr>
          <w:numId w:val="2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Harvesting rights are subject to the planning processes set out in the Forests Range and Practices Act, </w:t>
      </w:r>
      <w:r>
        <w:rPr>
          <w:rFonts w:ascii="arial" w:eastAsia="arial" w:hAnsi="arial" w:cs="arial"/>
          <w:i/>
          <w:color w:val="000000"/>
          <w:sz w:val="20"/>
          <w:lang w:val="en-US" w:eastAsia="en-US" w:bidi="ar-SA"/>
        </w:rPr>
        <w:t>S.B.C. 2002, c. 69</w:t>
      </w:r>
      <w:r>
        <w:rPr>
          <w:rFonts w:ascii="arial" w:eastAsia="arial" w:hAnsi="arial" w:cs="arial"/>
          <w:color w:val="000000"/>
          <w:sz w:val="20"/>
          <w:lang w:val="en-US" w:eastAsia="en-US" w:bidi="ar-SA"/>
        </w:rPr>
        <w:t xml:space="preserve"> ("FRPA") and the Forest Planning and Practice Regulation, </w:t>
      </w:r>
      <w:hyperlink r:id="rId1073" w:history="1">
        <w:r>
          <w:rPr>
            <w:rFonts w:ascii="arial" w:eastAsia="arial" w:hAnsi="arial" w:cs="arial"/>
            <w:i/>
            <w:color w:val="0077CC"/>
            <w:sz w:val="20"/>
            <w:u w:val="single"/>
            <w:shd w:val="clear" w:color="auto" w:fill="FFFFFF"/>
            <w:lang w:val="en-US" w:eastAsia="en-US" w:bidi="ar-SA"/>
          </w:rPr>
          <w:t>BC Reg. 14/2004</w:t>
        </w:r>
      </w:hyperlink>
      <w:r>
        <w:rPr>
          <w:rFonts w:ascii="arial" w:eastAsia="arial" w:hAnsi="arial" w:cs="arial"/>
          <w:color w:val="000000"/>
          <w:sz w:val="20"/>
          <w:lang w:val="en-US" w:eastAsia="en-US" w:bidi="ar-SA"/>
        </w:rPr>
        <w:t xml:space="preserve"> ("Regulation"). Major licensees and Timber Sales Managers must prepare and obtain ministerial approval of a forest stewardship plan ("FSP") before harvesting timber: see sections 3 and 52 of the FRPA.</w:t>
      </w:r>
    </w:p>
    <w:p>
      <w:pPr>
        <w:numPr>
          <w:numId w:val="3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Section 5 of the FRPA establishes the necessary requirements of an FSP. Section 5(b) requires an FSP to specify intended results or strategies related to government objectives or other objectives established under the FRPA. The holder of an FSP must also ensure that the intended results specified in the plan are achieved: see section 21 of the FRPA.</w:t>
      </w:r>
    </w:p>
    <w:p>
      <w:pPr>
        <w:numPr>
          <w:numId w:val="3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addition, before harvesting, the holder of an FSP must prepare site plans identifying how government objectives will be met and the approximate locations of cutblocks and roads: see section 10 of the FRPA. The content of site plans is prescribed by section 34 of the Regulation.</w:t>
      </w:r>
    </w:p>
    <w:p>
      <w:pPr>
        <w:numPr>
          <w:numId w:val="3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Under sections 11 and 18 of the FRPA, FSPs and site plans must be made available to the public in accordance with the Regulation. Additionally, s. 21(1)(d) expressly provides that those who publish notice of their FSP must make reasonable efforts to meet with First Nations affected to discuss the FSP before submitting it for approval.</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iii. Coordinating Wildlife and other Objectives</w:t>
      </w:r>
    </w:p>
    <w:p>
      <w:pPr>
        <w:numPr>
          <w:numId w:val="3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Section 149 of the FRPA empowers the Lieutenant Governor in Council to specify objectives in relation to subjects which include timber and wildlife. Section 149.1 empowers the Lieutenant Governor in Council to make regulations authorizing the minister responsible for the Wildlife Act to, among other things, establish ungulate winter ranges and wildlife habitat areas. Section 150.4 empowers the Lieutenant Governor in Council to make regulations that ensure consistency amongst these objectives.</w:t>
      </w:r>
    </w:p>
    <w:p>
      <w:pPr>
        <w:numPr>
          <w:numId w:val="3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Statutory objectives are prescribed in the Regulation: see sections 4.1-10. These include objectives for timber (s. 6) and wildlife (ss. 7-9.1). In particular, section 6(a) states that an objective is to maintain and enhance a valuable commercial timber supply from the forests of British Columbia.</w:t>
      </w:r>
    </w:p>
    <w:p>
      <w:pPr>
        <w:numPr>
          <w:numId w:val="3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Section 7 of the Regulation expressly states that government's objectives for wildlife should not "unduly [reduce] the supply of timber from British Columbia's forests" while "[conserving] sufficient wildlife habitat for the survival of the species at risk, the survival of regionally important wildlife, and the winter survival of ungulate species". Other objectives for wildlife in ss. 8-9.1, expressly limit those objectives so as to not "unduly [reduce] the supply of timber from British Columbia's forests".</w:t>
      </w:r>
    </w:p>
    <w:p>
      <w:pPr>
        <w:numPr>
          <w:numId w:val="3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scheme addresses the regulation of wildlife and timber harvesting in other ways, including the following:</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Under section 11 of the Forest Act, the right to Crown timber may be granted only in accordance with the Act and regulations, subject to the Land Act and to the Park Act. Harvesting rights, for the most part, may not be granted over timber in a park: see section 9 of the Park Act, </w:t>
      </w:r>
      <w:r>
        <w:rPr>
          <w:rFonts w:ascii="arial" w:eastAsia="arial" w:hAnsi="arial" w:cs="arial"/>
          <w:i/>
          <w:color w:val="000000"/>
          <w:sz w:val="20"/>
          <w:lang w:val="en-US" w:eastAsia="en-US" w:bidi="ar-SA"/>
        </w:rPr>
        <w:t>R.S.B.C. 1996, c. 344</w:t>
      </w:r>
      <w:r>
        <w:rPr>
          <w:rFonts w:ascii="arial" w:eastAsia="arial" w:hAnsi="arial" w:cs="arial"/>
          <w:color w:val="000000"/>
          <w:sz w:val="20"/>
          <w:lang w:val="en-US" w:eastAsia="en-US" w:bidi="ar-SA"/>
        </w:rPr>
        <w:t>, and may be suspended in an area designated under Part 13 of the Forest Act. These provisions allow the Crown to prevent or suspend harvesting in sensitive areas. Lawful trapping and hunting, on the other hand, are for the most part permitted in parks.</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Section 46 of FRPA prohibits forest practices that result in damage to the environment, as defined by s. 3 of the Regulation.</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Under section 67 of the Regulation, no harvesting is permitted in a wildlife tree retention area.</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Under section 69 of the Regulation, timber harvesters must comply with general wildlife measures.</w:t>
      </w:r>
    </w:p>
    <w:p>
      <w:pPr>
        <w:numPr>
          <w:numId w:val="4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Section 70 of the Regulation obliges timber harvesters not to damage or render ineffective "resource features" and "wildlife habitat features". Wildlife habitat features are defined in section 11 of the Government Actions Regulation, </w:t>
      </w:r>
      <w:hyperlink r:id="rId1074" w:history="1">
        <w:r>
          <w:rPr>
            <w:rFonts w:ascii="arial" w:eastAsia="arial" w:hAnsi="arial" w:cs="arial"/>
            <w:i/>
            <w:color w:val="0077CC"/>
            <w:sz w:val="20"/>
            <w:u w:val="single"/>
            <w:shd w:val="clear" w:color="auto" w:fill="FFFFFF"/>
            <w:lang w:val="en-US" w:eastAsia="en-US" w:bidi="ar-SA"/>
          </w:rPr>
          <w:t>BC Reg. 582/2004</w:t>
        </w:r>
      </w:hyperlink>
      <w:r>
        <w:rPr>
          <w:rFonts w:ascii="arial" w:eastAsia="arial" w:hAnsi="arial" w:cs="arial"/>
          <w:color w:val="000000"/>
          <w:sz w:val="20"/>
          <w:lang w:val="en-US" w:eastAsia="en-US" w:bidi="ar-SA"/>
        </w:rPr>
        <w:t>, and include specific features central to wildlife growth and development (e.g. bird nests, fisheries and marine sensitive features); however, these regulations are subject to s. 2(1)(b) of the Government Actions Regulation, which requires the minister to be satisfied that any order would not unduly reduce the British Columbia timber supply or constrain timber harvesters' abilities to exercise their rights to harvest.</w:t>
      </w:r>
    </w:p>
    <w:p>
      <w:pPr>
        <w:numPr>
          <w:numId w:val="4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Section 75 of the Forest Act provides that no agreement under the Act prevents or impedes government from using, or granting the use of, Crown land for any purpose the minister considers compatible with timber harvesting.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Forest Planning and Practices Regulation</w:t>
      </w:r>
      <w:r>
        <w:rPr>
          <w:rFonts w:ascii="arial" w:eastAsia="arial" w:hAnsi="arial" w:cs="arial"/>
          <w:color w:val="000000"/>
          <w:sz w:val="20"/>
          <w:lang w:val="en-US" w:eastAsia="en-US" w:bidi="ar-SA"/>
        </w:rPr>
        <w:t xml:space="preserve">, </w:t>
      </w:r>
      <w:hyperlink r:id="rId1073" w:history="1">
        <w:r>
          <w:rPr>
            <w:rFonts w:ascii="arial" w:eastAsia="arial" w:hAnsi="arial" w:cs="arial"/>
            <w:i/>
            <w:color w:val="0077CC"/>
            <w:sz w:val="20"/>
            <w:u w:val="single"/>
            <w:shd w:val="clear" w:color="auto" w:fill="FFFFFF"/>
            <w:lang w:val="en-US" w:eastAsia="en-US" w:bidi="ar-SA"/>
          </w:rPr>
          <w:t>B.C. Reg. 14/2004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FPPR</w:t>
      </w:r>
      <w:r>
        <w:rPr>
          <w:rFonts w:ascii="arial" w:eastAsia="arial" w:hAnsi="arial" w:cs="arial"/>
          <w:color w:val="000000"/>
          <w:sz w:val="20"/>
          <w:lang w:val="en-US" w:eastAsia="en-US" w:bidi="ar-SA"/>
        </w:rPr>
        <w:t>] sets out various objectives for Forest Stewardship Plans in relation to soils, timber, wildlife, water, fish, biodiversity, visual quality, and cultural heritage resources. The sections dealing specifically with timber and wildlife are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Objectives set by government for timber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 The objectives set by government for timber are to</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maintain or enhance an economically valuable supply of commercial timber from British Columbia's forests,</w:t>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ensure that delivered wood costs, generally, after taking into account the effect on them of the relevant provisions of this regulation and of the Act, are competitive in relation to equivalent costs in relation to regulated primary forest activities in other jurisdictions, and</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ensure that the provisions of this regulation and of the Act that pertain to primary forest activities do not unduly constrain the ability of a holder of an agreement under the Forest Act to exercise the holder's rights under the agreement.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Objectives set by government for wildlife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 (1) The objective set by government for wildlife is, without unduly reducing the supply of timber from British Columbia's forests, to conserve sufficient wildlife habitat in terms of amount of area, distribution of areas and attributes of those areas, for</w:t>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survival of species at risk,</w:t>
      </w:r>
    </w:p>
    <w:p>
      <w:pPr>
        <w:numPr>
          <w:numId w:val="4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survival of regionally important wildlife, and</w:t>
      </w:r>
    </w:p>
    <w:p>
      <w:pPr>
        <w:numPr>
          <w:numId w:val="4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winter survival of specified ungulate species.</w:t>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required to prepare a forest stewardship plan must specify a result or strategy in respect of the objective stated under subsection (1) only if the minister responsible for the Wildlife Act gives notice to the person of the applicable</w:t>
      </w:r>
    </w:p>
    <w:p>
      <w:pPr>
        <w:numPr>
          <w:numId w:val="5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species referred to in subsection (1), and</w:t>
      </w:r>
    </w:p>
    <w:p>
      <w:pPr>
        <w:numPr>
          <w:numId w:val="5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indicators of the amount, distribution and attributes of wildlife habitat described in subsection (1).</w:t>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satisfied that the objective set out in subsection (1) is addressed, in whole or in part, by an objective in relation to a wildlife habitat area or an ungulate winter range, a general wildlife measure, or a wildlife habitat feature, the minister responsible for the Wildlife Act must exempt a person from the obligation to specify a result or strategy in relation to the objective set out in subsection (1) to the extent that the objective is already addressed.</w:t>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or after December 31, 2004, a notice described in subsection (2) must be given at least 4 months before the forest stewardship plan is submitted for approval.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Section 27 of the </w:t>
      </w:r>
      <w:r>
        <w:rPr>
          <w:rFonts w:ascii="arial" w:eastAsia="arial" w:hAnsi="arial" w:cs="arial"/>
          <w:i/>
          <w:color w:val="000000"/>
          <w:sz w:val="20"/>
          <w:lang w:val="en-US" w:eastAsia="en-US" w:bidi="ar-SA"/>
        </w:rPr>
        <w:t>FPPR</w:t>
      </w:r>
      <w:r>
        <w:rPr>
          <w:rFonts w:ascii="arial" w:eastAsia="arial" w:hAnsi="arial" w:cs="arial"/>
          <w:color w:val="000000"/>
          <w:sz w:val="20"/>
          <w:lang w:val="en-US" w:eastAsia="en-US" w:bidi="ar-SA"/>
        </w:rPr>
        <w:t xml:space="preserve"> provides that the Minister may balance various objectives when determining whether to approve an FSP, stating: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27 On request of a person who submits a forest stewardship plan for approval, the minister may balance established objectives, results, strategies or other plan content when making a determination under section 16 [approval of forest stewardship plan or amendment] of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The Province argues that the evidence it adduced for these applications shows that the Plaintiff was consulted and his interests accommodated pursuant to the scheme established by the </w:t>
      </w:r>
      <w:r>
        <w:rPr>
          <w:rFonts w:ascii="arial" w:eastAsia="arial" w:hAnsi="arial" w:cs="arial"/>
          <w:i/>
          <w:color w:val="000000"/>
          <w:sz w:val="20"/>
          <w:lang w:val="en-US" w:eastAsia="en-US" w:bidi="ar-SA"/>
        </w:rPr>
        <w:t>Forest Act</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Forest and Range Practices Act</w:t>
      </w:r>
      <w:r>
        <w:rPr>
          <w:rFonts w:ascii="arial" w:eastAsia="arial" w:hAnsi="arial" w:cs="arial"/>
          <w:color w:val="000000"/>
          <w:sz w:val="20"/>
          <w:lang w:val="en-US" w:eastAsia="en-US" w:bidi="ar-SA"/>
        </w:rPr>
        <w:t xml:space="preserve">. The evidence is not admissible on the 9-5(1)(a) application. I will refer to it below in the context of rule 9-5(1)(d). But what is important here is that the statutory scheme provides for consultation of interested parties before timber harvesting occurs (see para. 37 of the Province's Notice of Application above). FSPs and site plans must be made available to the public: ss. 11 and 18 of the </w:t>
      </w:r>
      <w:r>
        <w:rPr>
          <w:rFonts w:ascii="arial" w:eastAsia="arial" w:hAnsi="arial" w:cs="arial"/>
          <w:i/>
          <w:color w:val="000000"/>
          <w:sz w:val="20"/>
          <w:lang w:val="en-US" w:eastAsia="en-US" w:bidi="ar-SA"/>
        </w:rPr>
        <w:t>FRPA</w:t>
      </w:r>
      <w:r>
        <w:rPr>
          <w:rFonts w:ascii="arial" w:eastAsia="arial" w:hAnsi="arial" w:cs="arial"/>
          <w:color w:val="000000"/>
          <w:sz w:val="20"/>
          <w:lang w:val="en-US" w:eastAsia="en-US" w:bidi="ar-SA"/>
        </w:rPr>
        <w:t xml:space="preserve">. The site plans prepared must be quite specific: s. 10(2) of the </w:t>
      </w:r>
      <w:r>
        <w:rPr>
          <w:rFonts w:ascii="arial" w:eastAsia="arial" w:hAnsi="arial" w:cs="arial"/>
          <w:i/>
          <w:color w:val="000000"/>
          <w:sz w:val="20"/>
          <w:lang w:val="en-US" w:eastAsia="en-US" w:bidi="ar-SA"/>
        </w:rPr>
        <w:t>FRPA</w:t>
      </w:r>
      <w:r>
        <w:rPr>
          <w:rFonts w:ascii="arial" w:eastAsia="arial" w:hAnsi="arial" w:cs="arial"/>
          <w:color w:val="000000"/>
          <w:sz w:val="20"/>
          <w:lang w:val="en-US" w:eastAsia="en-US" w:bidi="ar-SA"/>
        </w:rPr>
        <w:t xml:space="preserve"> is as follows:</w:t>
      </w:r>
      <w:r>
        <w:rPr>
          <w:rFonts w:ascii="arial" w:eastAsia="arial" w:hAnsi="arial" w:cs="arial"/>
          <w:sz w:val="20"/>
          <w:lang w:val="en-US" w:eastAsia="en-US" w:bidi="ar-SA"/>
        </w:rPr>
        <w:cr/>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site plan must</w:t>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identify the approximate locations of cutblocks and roads,</w:t>
      </w:r>
    </w:p>
    <w:p>
      <w:pPr>
        <w:numPr>
          <w:numId w:val="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 consistent with the forest stewardship plan, this Act and the regulations, and</w:t>
      </w:r>
    </w:p>
    <w:p>
      <w:pPr>
        <w:numPr>
          <w:numId w:val="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identify how the intended results or strategies described in the forest stewardship plan apply to the site.</w:t>
      </w:r>
    </w:p>
    <w:p>
      <w:pPr>
        <w:spacing w:before="120" w:line="260" w:lineRule="atLeast"/>
        <w:ind w:left="1440"/>
        <w:rPr>
          <w:rFonts w:ascii="arial" w:eastAsia="arial" w:hAnsi="arial" w:cs="arial"/>
          <w:sz w:val="20"/>
          <w:lang w:val="en-US" w:eastAsia="en-US" w:bidi="ar-SA"/>
        </w:rPr>
      </w:pPr>
      <w:r>
        <w:rPr>
          <w:rFonts w:ascii="arial" w:eastAsia="arial" w:hAnsi="arial" w:cs="arial"/>
          <w:b/>
          <w:color w:val="000000"/>
          <w:sz w:val="20"/>
          <w:lang w:val="en-US" w:eastAsia="en-US" w:bidi="ar-SA"/>
        </w:rPr>
        <w:t>ii. The nature of the claims as pleaded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plaintiff's claims are based upon his asserted property interests, which arise from and are based upon the same legislative scheme as the TSLs the forestry defendants relied upon in conducting their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plaintiff challenges no part of the legislative scheme. No challenge was or is brought to the administrative legality of the TSLs.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As noted, the claims are identical against all forestry defendants. No complaint is made concerning any specific activities of any particular TSL holder and forestry defendant. Every single person or entity who carried out logging activities on any lands touched by the plaintiff's licenced interests is sued. The plaintiff does not identify anything specific done by any forestry defendant that is beyond exercising their lawful harvesting rights under the TSLs. No facts are pleaded as to any specific breach of the terms of the TSLs.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plaintiff's claims as pleaded (under all causes of action) are centred on the effects of logging in general. If the plaintiff's claims are permitted to proceed, there would be no reason that he could not seek to add other parties who may have carried on timber harvesting activities at later dates on some part of the vast areas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 agree with the submission of the Province that in the circumstances of this case, on the pleadings of the plaintiff, his challenge is to the timber harvesting activities themselves, as they relate to his licences. However, the extent and scope of these activities and the manner and degree to which they are to be balanced against other objectives such as preservation or enhancement of wildlife are all matters dealt with in the statutory scheme and are matters of government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question, then, is whether in such circumstances the plaintiff could potentially establish that the timber harvesting activities of the forestry defendants as permitted by government is an unreasonable interference with his interests as a guiding territory certificate holder, guide outfitter, or registered trapline holder.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Under the scheme, it is ultimately the Province as owner of the lands and as government that is the arbiter of competing interests in its lands. In effect, the plaintiff would be seeking to have the court review and reconsider after the fact the decisions made by various statutory decision makers within a highly policy driven context, in order to seek to establish that the end result of the decisions is an unreasonable interference with his own licensed interests, when he made no timely objection to the activities. In my view, the plaintiff is bound to fail in establishing this element of the claim in nuisance on the facts as pleaded.</w:t>
      </w:r>
      <w:r>
        <w:rPr>
          <w:rFonts w:ascii="arial" w:eastAsia="arial" w:hAnsi="arial" w:cs="arial"/>
          <w:sz w:val="20"/>
          <w:lang w:val="en-US" w:eastAsia="en-US" w:bidi="ar-SA"/>
        </w:rPr>
        <w:cr/>
      </w:r>
    </w:p>
    <w:p>
      <w:pPr>
        <w:numPr>
          <w:numId w:val="5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Proposed Amendments - Nuisance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Proposed AANOCC adds a reference to "Trespass" in the heading to the section heading to the Nuisance section. Plaintiff's counsel advised that the reference to "trespass" falls within the ANOCC's references to "other property rights" in paras. 37, 45, 46.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An action in trespass to land must be supported by the claimant's possession of the land in question: Lewis N. Klar, </w:t>
      </w:r>
      <w:r>
        <w:rPr>
          <w:rFonts w:ascii="arial" w:eastAsia="arial" w:hAnsi="arial" w:cs="arial"/>
          <w:i/>
          <w:color w:val="000000"/>
          <w:sz w:val="20"/>
          <w:lang w:val="en-US" w:eastAsia="en-US" w:bidi="ar-SA"/>
        </w:rPr>
        <w:t>Tort Law,</w:t>
      </w:r>
      <w:r>
        <w:rPr>
          <w:rFonts w:ascii="arial" w:eastAsia="arial" w:hAnsi="arial" w:cs="arial"/>
          <w:color w:val="000000"/>
          <w:sz w:val="20"/>
          <w:lang w:val="en-US" w:eastAsia="en-US" w:bidi="ar-SA"/>
        </w:rPr>
        <w:t xml:space="preserve"> 5th ed. (Toronto: Carswell, 2012 at 112.) In the case of Crown land, possession of the land will not give a claimant sufficient interest to maintain an action in trespass unless the plaintiff is in possession with the privity or concurrence of the Crown: p. 113. Thus the plaintiff would likely fail to establish standing to claim in trespass. The defendants would have no trouble establishing that their activities on the lands were not a wrongful interference, as they were expressly licensed to conduct them. It is plain and obvious that the proposed claim in trespass is bound to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Another proposed amendment (para. 41.1) refers to alleged TSL terms: (1) a requirement to give 14 days' notice to the plaintiff prior to commencement of activities, and (2) a requirement that the licensee "must not otherwise unreasonably interfere with [...] the proprietary interests of other interest holders, including but not limited to the plaintiff." No facts are pleaded in relation to these points. No consequences of any breach are pleaded.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Proposed AANOCC also refers extensively a provincial government document, "A Practical Guide to Effective Coordination of Resource Tenures (the "Guide"). The proposed pleading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Although the Guide is not itself policy, the Guide refers to Crown expectations of the Defendant Foresters as follows:</w:t>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licensee must give other tenure holders at least 14 day's advance notice before commencing activities on the Lands.</w:t>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licensee must meaningfully consult the Plaintiff prior to commencement of harvesting.</w:t>
      </w:r>
    </w:p>
    <w:p>
      <w:pPr>
        <w:numPr>
          <w:numId w:val="6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licensee must reasonably accommodate the interests of other tenure holders such as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Again, however, no specific facts or consequences of any alleged breach are pleaded. As a result, no cause of action is made out. The lack of any specifics even in the proposed pleading further confirms that the plaintiff's real complaint is with the scope or scale of the timber harvesting activities in general.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plaintiff's proposed pleadings centred on the Guide do not support the plaintiff's case that the timber harvesting activities are an unreasonable interference with his interests. The existence of the Guide underscores the multi-use and multi-user nature of the Crown's lands and the nature of the Crown's efforts to balance competing uses and interests.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The plaintiff also proposes at para. 45.2 to allege that the forestry defendants have clear-cut the lands "rather than employing other more reasonable harvesting methods which were reasonably available and which would not have harmed or would have lessened the harm to the Plaintiff's </w:t>
      </w:r>
      <w:r>
        <w:rPr>
          <w:rFonts w:ascii="arial" w:eastAsia="arial" w:hAnsi="arial" w:cs="arial"/>
          <w:i/>
          <w:color w:val="000000"/>
          <w:sz w:val="20"/>
          <w:lang w:val="en-US" w:eastAsia="en-US" w:bidi="ar-SA"/>
        </w:rPr>
        <w:t>profit à prendre</w:t>
      </w:r>
      <w:r>
        <w:rPr>
          <w:rFonts w:ascii="arial" w:eastAsia="arial" w:hAnsi="arial" w:cs="arial"/>
          <w:color w:val="000000"/>
          <w:sz w:val="20"/>
          <w:lang w:val="en-US" w:eastAsia="en-US" w:bidi="ar-SA"/>
        </w:rPr>
        <w:t xml:space="preserve"> and other rights of use and occupation." There are again no facts pleaded, and no specifics, about this. The other methods are not indicated. Why or how one method of harvesting versus another would transform non-nuisance harvesting into tortious interference is not explained. Clearly, this late proposed amendment is a desperate effort to introduce something of substance into the pleading. However, in the context of the plaintiff's complaint which is centred on harvesting in general, and without any relevant specific facts, I conclude that the plaintiff's Proposed AANOCC continues to fail to plead a potentially viable cause of action in nuisance.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C. The Claims in </w:t>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plaintiff pleads that the harvesting activities of the forestry defendants have caused damage to his "business interests" (ANOCC, paras. 48, 52, 53, 57). He pleads loss of value of his business interests: ANOCC, paras. 52, 57. He pleads that the Crown and its agents and servants had a duty of care to take all reasonable steps "to ensure that the Plaintiff and the business interests of the Plaintiff were not harmed by the Defendant Foresters' harvesting activities" (para. 50) and a breach of this duty: para. 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Other than the harvesting activity in general, no specific facts are pleaded as to what the Province or the other defendants did or failed to do which could constitute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complained of. On these pleadings the Province and the forestry defendants would have no idea as to what claims are being made against them. The essence of the claim is simply that the Province should not have allowed harvesting activities by the other defendants, who should not have carried them out.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1. The Claims in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against the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A successful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requires that the plaintiff demonstrate (1) that the defendant owed him a duty of care; (2) that the defendant's behaviour breached the standard of care; (3) that the plaintiff sustained damage; and (4) that the damage was caused, in fact and in law, by the defendant's breach: </w:t>
      </w:r>
      <w:r>
        <w:rPr>
          <w:rFonts w:ascii="arial" w:eastAsia="arial" w:hAnsi="arial" w:cs="arial"/>
          <w:i/>
          <w:color w:val="000000"/>
          <w:sz w:val="20"/>
          <w:lang w:val="en-US" w:eastAsia="en-US" w:bidi="ar-SA"/>
        </w:rPr>
        <w:t>Mustapha v. Culligan of Canada Ltd.</w:t>
      </w:r>
      <w:r>
        <w:rPr>
          <w:rFonts w:ascii="arial" w:eastAsia="arial" w:hAnsi="arial" w:cs="arial"/>
          <w:color w:val="000000"/>
          <w:sz w:val="20"/>
          <w:lang w:val="en-US" w:eastAsia="en-US" w:bidi="ar-SA"/>
        </w:rPr>
        <w:t xml:space="preserve"> </w:t>
      </w:r>
      <w:hyperlink r:id="rId388" w:history="1">
        <w:r>
          <w:rPr>
            <w:rFonts w:ascii="arial" w:eastAsia="arial" w:hAnsi="arial" w:cs="arial"/>
            <w:i/>
            <w:color w:val="0077CC"/>
            <w:sz w:val="20"/>
            <w:u w:val="single"/>
            <w:shd w:val="clear" w:color="auto" w:fill="FFFFFF"/>
            <w:lang w:val="en-US" w:eastAsia="en-US" w:bidi="ar-SA"/>
          </w:rPr>
          <w:t>2008 SCC 27</w:t>
        </w:r>
      </w:hyperlink>
      <w:r>
        <w:rPr>
          <w:rFonts w:ascii="arial" w:eastAsia="arial" w:hAnsi="arial" w:cs="arial"/>
          <w:color w:val="000000"/>
          <w:sz w:val="20"/>
          <w:lang w:val="en-US" w:eastAsia="en-US" w:bidi="ar-SA"/>
        </w:rPr>
        <w:t>, at para.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Thus, the first question is whether the pleadings support a duty of care owed by the Province to the plaintiff. The duty of care must be connected to the alleged breach and damage, of course.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plaintiff concedes that the asserted duty of care is novel. No cases have been cited in which a holder of a guiding territory certificate or registered trapline issued by the Province has established a duty of care by the Province to the holder to prevent loss caused by other activities expressly permitted by the Province on the same lands, nor in any similar or analogous circumstance.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In this case, the factors giving rise to the required relationship of proximity must arise out of the relevant statute, or here, the statutory scheme: </w:t>
      </w:r>
      <w:r>
        <w:rPr>
          <w:rFonts w:ascii="arial" w:eastAsia="arial" w:hAnsi="arial" w:cs="arial"/>
          <w:i/>
          <w:color w:val="000000"/>
          <w:sz w:val="20"/>
          <w:lang w:val="en-US" w:eastAsia="en-US" w:bidi="ar-SA"/>
        </w:rPr>
        <w:t>Cooper v. Hobart</w:t>
      </w:r>
      <w:r>
        <w:rPr>
          <w:rFonts w:ascii="arial" w:eastAsia="arial" w:hAnsi="arial" w:cs="arial"/>
          <w:color w:val="000000"/>
          <w:sz w:val="20"/>
          <w:lang w:val="en-US" w:eastAsia="en-US" w:bidi="ar-SA"/>
        </w:rPr>
        <w:t xml:space="preserve">, </w:t>
      </w:r>
      <w:hyperlink r:id="rId1075" w:history="1">
        <w:r>
          <w:rPr>
            <w:rFonts w:ascii="arial" w:eastAsia="arial" w:hAnsi="arial" w:cs="arial"/>
            <w:i/>
            <w:color w:val="0077CC"/>
            <w:sz w:val="20"/>
            <w:u w:val="single"/>
            <w:shd w:val="clear" w:color="auto" w:fill="FFFFFF"/>
            <w:lang w:val="en-US" w:eastAsia="en-US" w:bidi="ar-SA"/>
          </w:rPr>
          <w:t>2001 SCC 79</w:t>
        </w:r>
      </w:hyperlink>
      <w:r>
        <w:rPr>
          <w:rFonts w:ascii="arial" w:eastAsia="arial" w:hAnsi="arial" w:cs="arial"/>
          <w:color w:val="000000"/>
          <w:sz w:val="20"/>
          <w:lang w:val="en-US" w:eastAsia="en-US" w:bidi="ar-SA"/>
        </w:rPr>
        <w:t>, at paras. 30, 43.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The appropriate analysis is summarized in </w:t>
      </w:r>
      <w:r>
        <w:rPr>
          <w:rFonts w:ascii="arial" w:eastAsia="arial" w:hAnsi="arial" w:cs="arial"/>
          <w:i/>
          <w:color w:val="000000"/>
          <w:sz w:val="20"/>
          <w:lang w:val="en-US" w:eastAsia="en-US" w:bidi="ar-SA"/>
        </w:rPr>
        <w:t>Alberta v. Elder Advocates of Alberta Society</w:t>
      </w:r>
      <w:r>
        <w:rPr>
          <w:rFonts w:ascii="arial" w:eastAsia="arial" w:hAnsi="arial" w:cs="arial"/>
          <w:color w:val="000000"/>
          <w:sz w:val="20"/>
          <w:lang w:val="en-US" w:eastAsia="en-US" w:bidi="ar-SA"/>
        </w:rPr>
        <w:t xml:space="preserve">, </w:t>
      </w:r>
      <w:hyperlink r:id="rId1076" w:history="1">
        <w:r>
          <w:rPr>
            <w:rFonts w:ascii="arial" w:eastAsia="arial" w:hAnsi="arial" w:cs="arial"/>
            <w:i/>
            <w:color w:val="0077CC"/>
            <w:sz w:val="20"/>
            <w:u w:val="single"/>
            <w:shd w:val="clear" w:color="auto" w:fill="FFFFFF"/>
            <w:lang w:val="en-US" w:eastAsia="en-US" w:bidi="ar-SA"/>
          </w:rPr>
          <w:t>2011 SCC 24</w:t>
        </w:r>
      </w:hyperlink>
      <w:r>
        <w:rPr>
          <w:rFonts w:ascii="arial" w:eastAsia="arial" w:hAnsi="arial" w:cs="arial"/>
          <w:color w:val="000000"/>
          <w:sz w:val="20"/>
          <w:lang w:val="en-US" w:eastAsia="en-US" w:bidi="ar-SA"/>
        </w:rPr>
        <w:t>, at paras. 66-70: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66 The first and central question is whether the pleadings, assuming the facts alleged to be true, support a duty of care on Alberta to members of the plaintiff class. This requires us to determine first whether Alberta and the class members were in a relationship that gave rise to a prima facie duty of care, based on foreseeability and proximity. If a prima facie duty of care is established, the second step is to ask whether it is negated by policy considerations: See </w:t>
      </w:r>
      <w:r>
        <w:rPr>
          <w:rFonts w:ascii="arial" w:eastAsia="arial" w:hAnsi="arial" w:cs="arial"/>
          <w:i/>
          <w:color w:val="000000"/>
          <w:sz w:val="20"/>
          <w:lang w:val="en-US" w:eastAsia="en-US" w:bidi="ar-SA"/>
        </w:rPr>
        <w:t>Anns v. Merton London Borough Council</w:t>
      </w:r>
      <w:r>
        <w:rPr>
          <w:rFonts w:ascii="arial" w:eastAsia="arial" w:hAnsi="arial" w:cs="arial"/>
          <w:color w:val="000000"/>
          <w:sz w:val="20"/>
          <w:lang w:val="en-US" w:eastAsia="en-US" w:bidi="ar-SA"/>
        </w:rPr>
        <w:t xml:space="preserve">, [1978] A.C. 728 (H.L.); </w:t>
      </w:r>
      <w:r>
        <w:rPr>
          <w:rFonts w:ascii="arial" w:eastAsia="arial" w:hAnsi="arial" w:cs="arial"/>
          <w:i/>
          <w:color w:val="000000"/>
          <w:sz w:val="20"/>
          <w:lang w:val="en-US" w:eastAsia="en-US" w:bidi="ar-SA"/>
        </w:rPr>
        <w:t>City of Kamloops v. Nielsen</w:t>
      </w:r>
      <w:r>
        <w:rPr>
          <w:rFonts w:ascii="arial" w:eastAsia="arial" w:hAnsi="arial" w:cs="arial"/>
          <w:color w:val="000000"/>
          <w:sz w:val="20"/>
          <w:lang w:val="en-US" w:eastAsia="en-US" w:bidi="ar-SA"/>
        </w:rPr>
        <w:t xml:space="preserve">, </w:t>
      </w:r>
      <w:hyperlink r:id="rId244" w:history="1">
        <w:r>
          <w:rPr>
            <w:rFonts w:ascii="arial" w:eastAsia="arial" w:hAnsi="arial" w:cs="arial"/>
            <w:i/>
            <w:color w:val="0077CC"/>
            <w:sz w:val="20"/>
            <w:u w:val="single"/>
            <w:shd w:val="clear" w:color="auto" w:fill="FFFFFF"/>
            <w:lang w:val="en-US" w:eastAsia="en-US" w:bidi="ar-SA"/>
          </w:rPr>
          <w:t>[1984] 2 S.C.R. 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Cooper v. Hobart</w:t>
      </w:r>
      <w:r>
        <w:rPr>
          <w:rFonts w:ascii="arial" w:eastAsia="arial" w:hAnsi="arial" w:cs="arial"/>
          <w:color w:val="000000"/>
          <w:sz w:val="20"/>
          <w:lang w:val="en-US" w:eastAsia="en-US" w:bidi="ar-SA"/>
        </w:rPr>
        <w:t xml:space="preserve">, </w:t>
      </w:r>
      <w:hyperlink r:id="rId1075" w:history="1">
        <w:r>
          <w:rPr>
            <w:rFonts w:ascii="arial" w:eastAsia="arial" w:hAnsi="arial" w:cs="arial"/>
            <w:i/>
            <w:color w:val="0077CC"/>
            <w:sz w:val="20"/>
            <w:u w:val="single"/>
            <w:shd w:val="clear" w:color="auto" w:fill="FFFFFF"/>
            <w:lang w:val="en-US" w:eastAsia="en-US" w:bidi="ar-SA"/>
          </w:rPr>
          <w:t>2001 SCC 79</w:t>
        </w:r>
      </w:hyperlink>
      <w:r>
        <w:rPr>
          <w:rFonts w:ascii="arial" w:eastAsia="arial" w:hAnsi="arial" w:cs="arial"/>
          <w:color w:val="000000"/>
          <w:sz w:val="20"/>
          <w:lang w:val="en-US" w:eastAsia="en-US" w:bidi="ar-SA"/>
        </w:rPr>
        <w:t xml:space="preserve">, </w:t>
      </w:r>
      <w:hyperlink r:id="rId1075" w:history="1">
        <w:r>
          <w:rPr>
            <w:rFonts w:ascii="arial" w:eastAsia="arial" w:hAnsi="arial" w:cs="arial"/>
            <w:i/>
            <w:color w:val="0077CC"/>
            <w:sz w:val="20"/>
            <w:u w:val="single"/>
            <w:shd w:val="clear" w:color="auto" w:fill="FFFFFF"/>
            <w:lang w:val="en-US" w:eastAsia="en-US" w:bidi="ar-SA"/>
          </w:rPr>
          <w:t>[2001] 3 S.C.R. 537</w:t>
        </w:r>
      </w:hyperlink>
      <w:r>
        <w:rPr>
          <w:rFonts w:ascii="arial" w:eastAsia="arial" w:hAnsi="arial" w:cs="arial"/>
          <w:color w:val="000000"/>
          <w:sz w:val="20"/>
          <w:lang w:val="en-US" w:eastAsia="en-US" w:bidi="ar-SA"/>
        </w:rPr>
        <w:t xml:space="preserve">, at para. 30; and </w:t>
      </w:r>
      <w:r>
        <w:rPr>
          <w:rFonts w:ascii="arial" w:eastAsia="arial" w:hAnsi="arial" w:cs="arial"/>
          <w:i/>
          <w:color w:val="000000"/>
          <w:sz w:val="20"/>
          <w:lang w:val="en-US" w:eastAsia="en-US" w:bidi="ar-SA"/>
        </w:rPr>
        <w:t>Reference re Broome v. Prince Edward Island</w:t>
      </w:r>
      <w:r>
        <w:rPr>
          <w:rFonts w:ascii="arial" w:eastAsia="arial" w:hAnsi="arial" w:cs="arial"/>
          <w:color w:val="000000"/>
          <w:sz w:val="20"/>
          <w:lang w:val="en-US" w:eastAsia="en-US" w:bidi="ar-SA"/>
        </w:rPr>
        <w:t xml:space="preserve">, </w:t>
      </w:r>
      <w:hyperlink r:id="rId1077" w:history="1">
        <w:r>
          <w:rPr>
            <w:rFonts w:ascii="arial" w:eastAsia="arial" w:hAnsi="arial" w:cs="arial"/>
            <w:i/>
            <w:color w:val="0077CC"/>
            <w:sz w:val="20"/>
            <w:u w:val="single"/>
            <w:shd w:val="clear" w:color="auto" w:fill="FFFFFF"/>
            <w:lang w:val="en-US" w:eastAsia="en-US" w:bidi="ar-SA"/>
          </w:rPr>
          <w:t>2010 SCC 11</w:t>
        </w:r>
      </w:hyperlink>
      <w:r>
        <w:rPr>
          <w:rFonts w:ascii="arial" w:eastAsia="arial" w:hAnsi="arial" w:cs="arial"/>
          <w:color w:val="000000"/>
          <w:sz w:val="20"/>
          <w:lang w:val="en-US" w:eastAsia="en-US" w:bidi="ar-SA"/>
        </w:rPr>
        <w:t xml:space="preserve">, </w:t>
      </w:r>
      <w:hyperlink r:id="rId1077" w:history="1">
        <w:r>
          <w:rPr>
            <w:rFonts w:ascii="arial" w:eastAsia="arial" w:hAnsi="arial" w:cs="arial"/>
            <w:i/>
            <w:color w:val="0077CC"/>
            <w:sz w:val="20"/>
            <w:u w:val="single"/>
            <w:shd w:val="clear" w:color="auto" w:fill="FFFFFF"/>
            <w:lang w:val="en-US" w:eastAsia="en-US" w:bidi="ar-SA"/>
          </w:rPr>
          <w:t>[2010] 1 S.C.R. 360</w:t>
        </w:r>
      </w:hyperlink>
      <w:r>
        <w:rPr>
          <w:rFonts w:ascii="arial" w:eastAsia="arial" w:hAnsi="arial" w:cs="arial"/>
          <w:color w:val="000000"/>
          <w:sz w:val="20"/>
          <w:lang w:val="en-US" w:eastAsia="en-US" w:bidi="ar-SA"/>
        </w:rPr>
        <w:t>, at para. 14.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67 The claim raised in this case has not been previously recognized as giving rise to a duty of care. Therefore, we must examine whether it meets the foregoing requirements for imposing a duty of care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Childs v. Desormeaux</w:t>
      </w:r>
      <w:r>
        <w:rPr>
          <w:rFonts w:ascii="arial" w:eastAsia="arial" w:hAnsi="arial" w:cs="arial"/>
          <w:color w:val="000000"/>
          <w:sz w:val="20"/>
          <w:lang w:val="en-US" w:eastAsia="en-US" w:bidi="ar-SA"/>
        </w:rPr>
        <w:t xml:space="preserve">, </w:t>
      </w:r>
      <w:hyperlink r:id="rId393" w:history="1">
        <w:r>
          <w:rPr>
            <w:rFonts w:ascii="arial" w:eastAsia="arial" w:hAnsi="arial" w:cs="arial"/>
            <w:i/>
            <w:color w:val="0077CC"/>
            <w:sz w:val="20"/>
            <w:u w:val="single"/>
            <w:shd w:val="clear" w:color="auto" w:fill="FFFFFF"/>
            <w:lang w:val="en-US" w:eastAsia="en-US" w:bidi="ar-SA"/>
          </w:rPr>
          <w:t>2006 SCC 18</w:t>
        </w:r>
      </w:hyperlink>
      <w:r>
        <w:rPr>
          <w:rFonts w:ascii="arial" w:eastAsia="arial" w:hAnsi="arial" w:cs="arial"/>
          <w:color w:val="000000"/>
          <w:sz w:val="20"/>
          <w:lang w:val="en-US" w:eastAsia="en-US" w:bidi="ar-SA"/>
        </w:rPr>
        <w:t xml:space="preserve">, </w:t>
      </w:r>
      <w:hyperlink r:id="rId393" w:history="1">
        <w:r>
          <w:rPr>
            <w:rFonts w:ascii="arial" w:eastAsia="arial" w:hAnsi="arial" w:cs="arial"/>
            <w:i/>
            <w:color w:val="0077CC"/>
            <w:sz w:val="20"/>
            <w:u w:val="single"/>
            <w:shd w:val="clear" w:color="auto" w:fill="FFFFFF"/>
            <w:lang w:val="en-US" w:eastAsia="en-US" w:bidi="ar-SA"/>
          </w:rPr>
          <w:t>[2006] 1 S.C.R. 643</w:t>
        </w:r>
      </w:hyperlink>
      <w:r>
        <w:rPr>
          <w:rFonts w:ascii="arial" w:eastAsia="arial" w:hAnsi="arial" w:cs="arial"/>
          <w:color w:val="000000"/>
          <w:sz w:val="20"/>
          <w:lang w:val="en-US" w:eastAsia="en-US" w:bidi="ar-SA"/>
        </w:rPr>
        <w:t>, at para. 15.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68 In this case, as in </w:t>
      </w:r>
      <w:r>
        <w:rPr>
          <w:rFonts w:ascii="arial" w:eastAsia="arial" w:hAnsi="arial" w:cs="arial"/>
          <w:i/>
          <w:color w:val="000000"/>
          <w:sz w:val="20"/>
          <w:lang w:val="en-US" w:eastAsia="en-US" w:bidi="ar-SA"/>
        </w:rPr>
        <w:t>Broome</w:t>
      </w:r>
      <w:r>
        <w:rPr>
          <w:rFonts w:ascii="arial" w:eastAsia="arial" w:hAnsi="arial" w:cs="arial"/>
          <w:color w:val="000000"/>
          <w:sz w:val="20"/>
          <w:lang w:val="en-US" w:eastAsia="en-US" w:bidi="ar-SA"/>
        </w:rPr>
        <w:t xml:space="preserve">, the plaintiff class relies on provincial statutory obligations as the source of a private duty of care. The allegation, in essence, is that statutory and regulatory duties brought Alberta into a relationship of proximity with members of the class, whom it was reasonably foreseeable would be affected by failure to discharge these duties in a non-negligent manner. The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xml:space="preserve"> analysis applies to claims grounded in statutory duties. As the Court, per Cromwell J., stated in </w:t>
      </w:r>
      <w:r>
        <w:rPr>
          <w:rFonts w:ascii="arial" w:eastAsia="arial" w:hAnsi="arial" w:cs="arial"/>
          <w:i/>
          <w:color w:val="000000"/>
          <w:sz w:val="20"/>
          <w:lang w:val="en-US" w:eastAsia="en-US" w:bidi="ar-SA"/>
        </w:rPr>
        <w:t>Broome</w:t>
      </w:r>
      <w:r>
        <w:rPr>
          <w:rFonts w:ascii="arial" w:eastAsia="arial" w:hAnsi="arial" w:cs="arial"/>
          <w:color w:val="000000"/>
          <w:sz w:val="20"/>
          <w:lang w:val="en-US" w:eastAsia="en-US" w:bidi="ar-SA"/>
        </w:rPr>
        <w:t>, at para. 13:</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[13] The Anns/Kamloops ] test is the appropriate one even though the appellants mainly rely on statutory duties. Such duties do not generally, in and of themselves, give rise to private law duties of care. The Anns/Kamloops test determines whether public as well as private actors owe a private law duty of care to individuals enabling them to sue the public actors in a civil suit.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69 Determining whether a duty of care lies on the government proceeds by "review of the relevant powers and duties of the [government body] under the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xml:space="preserve">, at para. 45. See also </w:t>
      </w:r>
      <w:r>
        <w:rPr>
          <w:rFonts w:ascii="arial" w:eastAsia="arial" w:hAnsi="arial" w:cs="arial"/>
          <w:i/>
          <w:color w:val="000000"/>
          <w:sz w:val="20"/>
          <w:lang w:val="en-US" w:eastAsia="en-US" w:bidi="ar-SA"/>
        </w:rPr>
        <w:t>Broome</w:t>
      </w:r>
      <w:r>
        <w:rPr>
          <w:rFonts w:ascii="arial" w:eastAsia="arial" w:hAnsi="arial" w:cs="arial"/>
          <w:color w:val="000000"/>
          <w:sz w:val="20"/>
          <w:lang w:val="en-US" w:eastAsia="en-US" w:bidi="ar-SA"/>
        </w:rPr>
        <w:t xml:space="preserve">, at para. 20; </w:t>
      </w:r>
      <w:r>
        <w:rPr>
          <w:rFonts w:ascii="arial" w:eastAsia="arial" w:hAnsi="arial" w:cs="arial"/>
          <w:i/>
          <w:color w:val="000000"/>
          <w:sz w:val="20"/>
          <w:lang w:val="en-US" w:eastAsia="en-US" w:bidi="ar-SA"/>
        </w:rPr>
        <w:t>Syl Apps Secure Treatment Centre v. B.D.</w:t>
      </w:r>
      <w:r>
        <w:rPr>
          <w:rFonts w:ascii="arial" w:eastAsia="arial" w:hAnsi="arial" w:cs="arial"/>
          <w:color w:val="000000"/>
          <w:sz w:val="20"/>
          <w:lang w:val="en-US" w:eastAsia="en-US" w:bidi="ar-SA"/>
        </w:rPr>
        <w:t xml:space="preserve">, </w:t>
      </w:r>
      <w:hyperlink r:id="rId1078" w:history="1">
        <w:r>
          <w:rPr>
            <w:rFonts w:ascii="arial" w:eastAsia="arial" w:hAnsi="arial" w:cs="arial"/>
            <w:i/>
            <w:color w:val="0077CC"/>
            <w:sz w:val="20"/>
            <w:u w:val="single"/>
            <w:shd w:val="clear" w:color="auto" w:fill="FFFFFF"/>
            <w:lang w:val="en-US" w:eastAsia="en-US" w:bidi="ar-SA"/>
          </w:rPr>
          <w:t>2007 SCC 38</w:t>
        </w:r>
      </w:hyperlink>
      <w:r>
        <w:rPr>
          <w:rFonts w:ascii="arial" w:eastAsia="arial" w:hAnsi="arial" w:cs="arial"/>
          <w:color w:val="000000"/>
          <w:sz w:val="20"/>
          <w:lang w:val="en-US" w:eastAsia="en-US" w:bidi="ar-SA"/>
        </w:rPr>
        <w:t xml:space="preserve">, </w:t>
      </w:r>
      <w:hyperlink r:id="rId1078" w:history="1">
        <w:r>
          <w:rPr>
            <w:rFonts w:ascii="arial" w:eastAsia="arial" w:hAnsi="arial" w:cs="arial"/>
            <w:i/>
            <w:color w:val="0077CC"/>
            <w:sz w:val="20"/>
            <w:u w:val="single"/>
            <w:shd w:val="clear" w:color="auto" w:fill="FFFFFF"/>
            <w:lang w:val="en-US" w:eastAsia="en-US" w:bidi="ar-SA"/>
          </w:rPr>
          <w:t>[2007] 3 S.C.R. 83</w:t>
        </w:r>
      </w:hyperlink>
      <w:r>
        <w:rPr>
          <w:rFonts w:ascii="arial" w:eastAsia="arial" w:hAnsi="arial" w:cs="arial"/>
          <w:color w:val="000000"/>
          <w:sz w:val="20"/>
          <w:lang w:val="en-US" w:eastAsia="en-US" w:bidi="ar-SA"/>
        </w:rPr>
        <w:t>, at para. 27.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70 </w:t>
      </w:r>
      <w:r>
        <w:rPr>
          <w:rFonts w:ascii="arial" w:eastAsia="arial" w:hAnsi="arial" w:cs="arial"/>
          <w:color w:val="000000"/>
          <w:sz w:val="20"/>
          <w:u w:val="single"/>
          <w:lang w:val="en-US" w:eastAsia="en-US" w:bidi="ar-SA"/>
        </w:rPr>
        <w:t>In this case, the legislative scheme does not impose a duty on the Crown to act in relation to the class members with respect to the accommodation charges</w:t>
      </w:r>
      <w:r>
        <w:rPr>
          <w:rFonts w:ascii="arial" w:eastAsia="arial" w:hAnsi="arial" w:cs="arial"/>
          <w:color w:val="000000"/>
          <w:sz w:val="20"/>
          <w:lang w:val="en-US" w:eastAsia="en-US" w:bidi="ar-SA"/>
        </w:rPr>
        <w:t xml:space="preserve">. A review of the relevant provisions discloses a general duty on the Minister to provide insured health care services: Alberta Health Care Insurance Act, s. 3. However, the plaintiffs have failed to point to any duty to audit, supervise, monitor or administer the funds related to the accommodation charges in the provisions. ... This case is distinguishable from </w:t>
      </w:r>
      <w:r>
        <w:rPr>
          <w:rFonts w:ascii="arial" w:eastAsia="arial" w:hAnsi="arial" w:cs="arial"/>
          <w:i/>
          <w:color w:val="000000"/>
          <w:sz w:val="20"/>
          <w:lang w:val="en-US" w:eastAsia="en-US" w:bidi="ar-SA"/>
        </w:rPr>
        <w:t>Brewer Bros. v. Canada (Attorney General)</w:t>
      </w:r>
      <w:r>
        <w:rPr>
          <w:rFonts w:ascii="arial" w:eastAsia="arial" w:hAnsi="arial" w:cs="arial"/>
          <w:color w:val="000000"/>
          <w:sz w:val="20"/>
          <w:lang w:val="en-US" w:eastAsia="en-US" w:bidi="ar-SA"/>
        </w:rPr>
        <w:t xml:space="preserve">, </w:t>
      </w:r>
      <w:hyperlink r:id="rId1079" w:history="1">
        <w:r>
          <w:rPr>
            <w:rFonts w:ascii="arial" w:eastAsia="arial" w:hAnsi="arial" w:cs="arial"/>
            <w:i/>
            <w:color w:val="0077CC"/>
            <w:sz w:val="20"/>
            <w:u w:val="single"/>
            <w:shd w:val="clear" w:color="auto" w:fill="FFFFFF"/>
            <w:lang w:val="en-US" w:eastAsia="en-US" w:bidi="ar-SA"/>
          </w:rPr>
          <w:t>[1992] 1 F.C. 25</w:t>
        </w:r>
      </w:hyperlink>
      <w:r>
        <w:rPr>
          <w:rFonts w:ascii="arial" w:eastAsia="arial" w:hAnsi="arial" w:cs="arial"/>
          <w:color w:val="000000"/>
          <w:sz w:val="20"/>
          <w:lang w:val="en-US" w:eastAsia="en-US" w:bidi="ar-SA"/>
        </w:rPr>
        <w:t xml:space="preserve"> (C.A.), relied on by the plaintiffs, where the statute in question imposed on the public authority a positive duty to 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71 For these reasons, I conclude that the legislative scheme does not impose a duty of care on Alberta.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72 In the absence of a statutory duty, the fact that Alberta may have audited, supervised, monitored and generally administered the accommodation fees objected to does not create sufficient proximity to impose a prima facie duty of care.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73 I therefore conclude that, assuming the facts pleaded to be true,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is bound to fail at the first step of the Anns/Cooper inquiry. </w:t>
      </w:r>
      <w:r>
        <w:rPr>
          <w:rFonts w:ascii="arial" w:eastAsia="arial" w:hAnsi="arial" w:cs="arial"/>
          <w:color w:val="000000"/>
          <w:sz w:val="20"/>
          <w:u w:val="single"/>
          <w:lang w:val="en-US" w:eastAsia="en-US" w:bidi="ar-SA"/>
        </w:rPr>
        <w:t>Absent a statutory obligation to do the things that the plaintiffs claim were done negligently, the necessary relationship of proximity between Alberta and the claimants cannot be made out.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A preliminary difficulty with the plaintiff's pleadings lies in deciphering what is the allegedly negligent conduct complained of. As I have stated, given the lack of any specifics, I conclude that the claim relates to allowing logging activities in general. Reading generously, it may be inferred that is the scope or scale of the logging that the plaintiff objects to. The nature of the duty alleged, the manner in which the duty was breached (for example, by reference to some applicable standard of care), and the nature of the consequential loss are all unclear.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Leaving those difficulties aside for the moment, the first, most general question is whether the legislative scheme imposes a duty of care in favour of the plaintiff to protect his interests. The ANOCC makes no reference to any particular statutory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plaintiff has not pleaded and did not direct me to any other statutory provision which could support a duty of care on the part of the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The relevant statutory scheme requires the Minister to plan the use of forest and range resources of the government so that various activities and uses including timber harvesting and wildlife are "coordinated and integrated, in consultation and cooperation with other ministries and agencies of government and with the private sector..." (s. 4, </w:t>
      </w:r>
      <w:r>
        <w:rPr>
          <w:rFonts w:ascii="arial" w:eastAsia="arial" w:hAnsi="arial" w:cs="arial"/>
          <w:i/>
          <w:color w:val="000000"/>
          <w:sz w:val="20"/>
          <w:lang w:val="en-US" w:eastAsia="en-US" w:bidi="ar-SA"/>
        </w:rPr>
        <w:t>MFRA</w:t>
      </w:r>
      <w:r>
        <w:rPr>
          <w:rFonts w:ascii="arial" w:eastAsia="arial" w:hAnsi="arial" w:cs="arial"/>
          <w:color w:val="000000"/>
          <w:sz w:val="20"/>
          <w:lang w:val="en-US" w:eastAsia="en-US" w:bidi="ar-SA"/>
        </w:rPr>
        <w:t xml:space="preserve">). s. 5(1)(b) of the </w:t>
      </w:r>
      <w:r>
        <w:rPr>
          <w:rFonts w:ascii="arial" w:eastAsia="arial" w:hAnsi="arial" w:cs="arial"/>
          <w:i/>
          <w:color w:val="000000"/>
          <w:sz w:val="20"/>
          <w:lang w:val="en-US" w:eastAsia="en-US" w:bidi="ar-SA"/>
        </w:rPr>
        <w:t>FRPA</w:t>
      </w:r>
      <w:r>
        <w:rPr>
          <w:rFonts w:ascii="arial" w:eastAsia="arial" w:hAnsi="arial" w:cs="arial"/>
          <w:color w:val="000000"/>
          <w:sz w:val="20"/>
          <w:lang w:val="en-US" w:eastAsia="en-US" w:bidi="ar-SA"/>
        </w:rPr>
        <w:t xml:space="preserve"> requires every forest stewardship plan to specify "intended results or strategies" in relation to "objectives set by government" and "other objectives that are established under this Act and that pertain to all or part of the area subject to the plan." I reiterate here the summary set out in the Province's Notice of Application, at paragraphs 38 - 42, which I quoted in full above. The essence of these provisions is that the Minister will plan and balance uses, which may be competing uses, in such a way as to maximize overall benefits and utility in conformity with the policy decisions of government. While there is a reference in s. 4 of the </w:t>
      </w:r>
      <w:r>
        <w:rPr>
          <w:rFonts w:ascii="arial" w:eastAsia="arial" w:hAnsi="arial" w:cs="arial"/>
          <w:i/>
          <w:color w:val="000000"/>
          <w:sz w:val="20"/>
          <w:lang w:val="en-US" w:eastAsia="en-US" w:bidi="ar-SA"/>
        </w:rPr>
        <w:t>MFRA</w:t>
      </w:r>
      <w:r>
        <w:rPr>
          <w:rFonts w:ascii="arial" w:eastAsia="arial" w:hAnsi="arial" w:cs="arial"/>
          <w:color w:val="000000"/>
          <w:sz w:val="20"/>
          <w:lang w:val="en-US" w:eastAsia="en-US" w:bidi="ar-SA"/>
        </w:rPr>
        <w:t xml:space="preserve"> to "consultation" with the "private sector" there is no suggestion of a private law duty of care to protect any particular private sector party, or forest licensee. Indeed, imposition of a private law duty of care to protect the interest of one licensee or group of licensees to make planning or resource allocation decisions in a particular way is inconsistent with the scheme.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Wildlife Act</w:t>
      </w:r>
      <w:r>
        <w:rPr>
          <w:rFonts w:ascii="arial" w:eastAsia="arial" w:hAnsi="arial" w:cs="arial"/>
          <w:color w:val="000000"/>
          <w:sz w:val="20"/>
          <w:lang w:val="en-US" w:eastAsia="en-US" w:bidi="ar-SA"/>
        </w:rPr>
        <w:t xml:space="preserve"> is largely concerned with permits, licenses and regulation of hunting, trapping, and fishing activities. As noted that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provides for registration of traplines and issuance of guiding territory certificates. Nothing in that statute suggests a duty of care on the part of the Province to protect the commercial value of registered traplines or of guiding territory certificates, or the amount of wildlife that may be available to licensees for hunting or trapping. Section 2(1) states that ownership of all wildlife in British Columbia is vested in the government. Section 42(5) provides that registration of a trapline does not give the holder of the trapline any proprietary rights in wildlife, or restrict the rights of another person to hunt, or to capture wildlife if authorized by the regulations or a permit.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affidavit of the Timber Sales Manager, Mr. Ian Hamann, states that registration of a trapline gives the holder an exclusive right to trap within the boundaries of the trapline. However, the legislation does not so expressly stipulate. This point is not central, and was not argued.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In the event of a dispute as to priority of rights respecting a trapline, the regional manager may alter, eliminate or reassign all or part of a trapline: s. 45. Similarly, s. 67 provides that a guiding territory certificate does not give the holder any proprietary rights in wildlife or fish, or restrict the rights of a resident to hunt or fish. Guiding territory certificates have a limited duration, not to exceed 25 years: s. 59 (3). As noted, Mr. Chingee's guiding territory certificate was issued July 14, 2009 and expires July 14, 2019.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In summary, in my view the plaintiff has failed to plead any facts which could establish a duty of care on the part of the Province. The pleadings fail to set out facts which establish the required relationship of proximity.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On these pleadings, any forest or range licensee could presumably claim for damages based upon the overall consequence or effects of decisions of the Province. This consideration leads me to conclude that that imposition of a duty of care would also fail at the second branch of the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 applicants contend that the plaintiff's claims are for economic loss. The plaintiff argues that he holds interests in property which have suffered physical damage. I agree with the applicants. The trapline registrations and the guiding territory certificate do not constitute physical property which could be said to be damaged by the timber harvesting activities complained of. They are licences granting certain privileges, such as to set traps or to control guiding privileges within defined areas. The plaintiff has no proprietary interest in the wildlife itself. The pleadings indicate that the loss and damage complained of is to economic interests. The plaintiff's claims are for economic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Claims for economic loss must either (1) fit within a recognized duty of care category, or (2) establish a new duty of care: </w:t>
      </w:r>
      <w:r>
        <w:rPr>
          <w:rFonts w:ascii="arial" w:eastAsia="arial" w:hAnsi="arial" w:cs="arial"/>
          <w:i/>
          <w:color w:val="000000"/>
          <w:sz w:val="20"/>
          <w:lang w:val="en-US" w:eastAsia="en-US" w:bidi="ar-SA"/>
        </w:rPr>
        <w:t>Design Services Ltd. v. Canada</w:t>
      </w:r>
      <w:r>
        <w:rPr>
          <w:rFonts w:ascii="arial" w:eastAsia="arial" w:hAnsi="arial" w:cs="arial"/>
          <w:color w:val="000000"/>
          <w:sz w:val="20"/>
          <w:lang w:val="en-US" w:eastAsia="en-US" w:bidi="ar-SA"/>
        </w:rPr>
        <w:t xml:space="preserve">, </w:t>
      </w:r>
      <w:hyperlink r:id="rId1080" w:history="1">
        <w:r>
          <w:rPr>
            <w:rFonts w:ascii="arial" w:eastAsia="arial" w:hAnsi="arial" w:cs="arial"/>
            <w:i/>
            <w:color w:val="0077CC"/>
            <w:sz w:val="20"/>
            <w:u w:val="single"/>
            <w:shd w:val="clear" w:color="auto" w:fill="FFFFFF"/>
            <w:lang w:val="en-US" w:eastAsia="en-US" w:bidi="ar-SA"/>
          </w:rPr>
          <w:t>2008 SCC 22</w:t>
        </w:r>
      </w:hyperlink>
      <w:r>
        <w:rPr>
          <w:rFonts w:ascii="arial" w:eastAsia="arial" w:hAnsi="arial" w:cs="arial"/>
          <w:color w:val="000000"/>
          <w:sz w:val="20"/>
          <w:lang w:val="en-US" w:eastAsia="en-US" w:bidi="ar-SA"/>
        </w:rPr>
        <w:t>, at para. 2. The recognized categories are:</w:t>
      </w:r>
      <w:r>
        <w:rPr>
          <w:rFonts w:ascii="arial" w:eastAsia="arial" w:hAnsi="arial" w:cs="arial"/>
          <w:sz w:val="20"/>
          <w:lang w:val="en-US" w:eastAsia="en-US" w:bidi="ar-SA"/>
        </w:rPr>
        <w:cr/>
      </w:r>
    </w:p>
    <w:p>
      <w:pPr>
        <w:numPr>
          <w:numId w:val="6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independent liability of statutory public authorities;</w:t>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negligent misrepresentation;</w:t>
      </w:r>
    </w:p>
    <w:p>
      <w:pPr>
        <w:numPr>
          <w:numId w:val="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negligent performance of a service;</w:t>
      </w:r>
    </w:p>
    <w:p>
      <w:pPr>
        <w:numPr>
          <w:numId w:val="6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negligent supply of shoddy goods or structures;</w:t>
      </w:r>
    </w:p>
    <w:p>
      <w:pPr>
        <w:numPr>
          <w:numId w:val="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relational economic loss.</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Design Services</w:t>
      </w:r>
      <w:r>
        <w:rPr>
          <w:rFonts w:ascii="arial" w:eastAsia="arial" w:hAnsi="arial" w:cs="arial"/>
          <w:color w:val="000000"/>
          <w:sz w:val="20"/>
          <w:lang w:val="en-US" w:eastAsia="en-US" w:bidi="ar-SA"/>
        </w:rPr>
        <w:t xml:space="preserve">, para. 31, citing </w:t>
      </w:r>
      <w:r>
        <w:rPr>
          <w:rFonts w:ascii="arial" w:eastAsia="arial" w:hAnsi="arial" w:cs="arial"/>
          <w:i/>
          <w:color w:val="000000"/>
          <w:sz w:val="20"/>
          <w:lang w:val="en-US" w:eastAsia="en-US" w:bidi="ar-SA"/>
        </w:rPr>
        <w:t>Canadian National Railway Co. v. Norsk Pacific Steamship Co.</w:t>
      </w:r>
      <w:r>
        <w:rPr>
          <w:rFonts w:ascii="arial" w:eastAsia="arial" w:hAnsi="arial" w:cs="arial"/>
          <w:color w:val="000000"/>
          <w:sz w:val="20"/>
          <w:lang w:val="en-US" w:eastAsia="en-US" w:bidi="ar-SA"/>
        </w:rPr>
        <w:t xml:space="preserve">, </w:t>
      </w:r>
      <w:hyperlink r:id="rId1081" w:history="1">
        <w:r>
          <w:rPr>
            <w:rFonts w:ascii="arial" w:eastAsia="arial" w:hAnsi="arial" w:cs="arial"/>
            <w:i/>
            <w:color w:val="0077CC"/>
            <w:sz w:val="20"/>
            <w:u w:val="single"/>
            <w:shd w:val="clear" w:color="auto" w:fill="FFFFFF"/>
            <w:lang w:val="en-US" w:eastAsia="en-US" w:bidi="ar-SA"/>
          </w:rPr>
          <w:t>[1992] 1 S.C.R. 1021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The plaintiff's claims do not fall within any of these categories. The first category covers recognized governmental liability for such activities as enforcing by-laws, or inspection of homes or roadways. I have said previously that the plaintiff does not point to any similar or analogous case where liability has been imposed. Categories 2, 3 and 4 are obviously inapplicable. Relational economic loss involves circumstances where the defendant negligently causes personal injury or property damage to a third party. The plaintiff suffers pure economic loss by virtue of some relationship, usually contractual, it enjoys with the injured third party or the damaged property: </w:t>
      </w:r>
      <w:r>
        <w:rPr>
          <w:rFonts w:ascii="arial" w:eastAsia="arial" w:hAnsi="arial" w:cs="arial"/>
          <w:i/>
          <w:color w:val="000000"/>
          <w:sz w:val="20"/>
          <w:lang w:val="en-US" w:eastAsia="en-US" w:bidi="ar-SA"/>
        </w:rPr>
        <w:t>Design Services</w:t>
      </w:r>
      <w:r>
        <w:rPr>
          <w:rFonts w:ascii="arial" w:eastAsia="arial" w:hAnsi="arial" w:cs="arial"/>
          <w:color w:val="000000"/>
          <w:sz w:val="20"/>
          <w:lang w:val="en-US" w:eastAsia="en-US" w:bidi="ar-SA"/>
        </w:rPr>
        <w:t>, para. 33, 34. Here, there is no claim of injury or property damage to a third party. The only relevant third parties are the forestry defendants who are alleged to have caused the loss the plaintiff complained 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Thus, the plaintiff would be required to persuade the court that a new category of recovery for pure economic loss should be recognized. This requires the court to return once again to the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test as applied in Canadian law: </w:t>
      </w:r>
      <w:r>
        <w:rPr>
          <w:rFonts w:ascii="arial" w:eastAsia="arial" w:hAnsi="arial" w:cs="arial"/>
          <w:i/>
          <w:color w:val="000000"/>
          <w:sz w:val="20"/>
          <w:lang w:val="en-US" w:eastAsia="en-US" w:bidi="ar-SA"/>
        </w:rPr>
        <w:t>Design Services</w:t>
      </w:r>
      <w:r>
        <w:rPr>
          <w:rFonts w:ascii="arial" w:eastAsia="arial" w:hAnsi="arial" w:cs="arial"/>
          <w:color w:val="000000"/>
          <w:sz w:val="20"/>
          <w:lang w:val="en-US" w:eastAsia="en-US" w:bidi="ar-SA"/>
        </w:rPr>
        <w:t>, paras. 45-47. However I as I have already said, in my view the plaintiff is bound to fail in establishing a duty of care on that basis, in the circumstances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In summary, in my view the plaintiff is bound to fail in establishing a duty of care on the part of the Province in relation to his interests in the registered traplines or the guiding territory certificate.</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2. The claims in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against the forestry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 plaintiff's ANOCC does not set out a potentially viable basis for a duty of care on the part of the forestry defendants. It does not set out any conduct of the forestry defendants that could potentially support a conclusion that they breached a relevant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The only allegation that is made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forestry defendants is that their "harvesting activities" could and did cause damage to the plaintiff; ANOCC paras 53 - 57. Thus, the plaintiff alleges that the harvesting activities in and of themselves were the negligent conduct. As previously noted, there is no complaint of any specific conduct of any defendant forester or group of foresters. No distinction is made between their activities. All are sued merely for carrying out the logging activities they were specifically licensed to carry out by the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On these pleadings it is plain and obvious that the plaintiff will fail to establish a duty of care. There is no likelihood that a court would hold that the forestry defendants have a duty to refrain from logging activities they are authorized by the Province to conduct. As there is no pleading of a relevant standard of care, nor of breach of the standard, the claim is also bound to fail in relation to these elements as well.</w:t>
      </w:r>
      <w:r>
        <w:rPr>
          <w:rFonts w:ascii="arial" w:eastAsia="arial" w:hAnsi="arial" w:cs="arial"/>
          <w:sz w:val="20"/>
          <w:lang w:val="en-US" w:eastAsia="en-US" w:bidi="ar-SA"/>
        </w:rPr>
        <w:cr/>
      </w:r>
    </w:p>
    <w:p>
      <w:pPr>
        <w:numPr>
          <w:numId w:val="6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The Proposed Amendments - </w:t>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In an effort to cure these radical defects, as noted, on the final day of the hearing of these applications, and after the applicants had concluded their submissions, the plaintiff presented the proposed AANOCC. However, the amendments if permitted do not address the deficiencies.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ml:space="preserve">  The proposed amendments in relation to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claims are similar to those proposed in relation to nuisance, such as the reference to the Guide, and allegations of "unreasonable interference", failure to "accommodate, consult and consider" the interests of the plaintiff, failure to give 14 days' notice before commencement of harvesting, and clear-cutting. As I have stated, the plaintiff's proposed reference to "clear-cutting" the forest rather than using "other harvesting methods" is too vague to be meaningful.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Once again, beyond vague and conclusory statements, no facts are pleaded. There is no pleading connecting such failures to any specific consequence or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The Proposed AANOCC refers to ss. 76, 77 and 78 of the </w:t>
      </w:r>
      <w:r>
        <w:rPr>
          <w:rFonts w:ascii="arial" w:eastAsia="arial" w:hAnsi="arial" w:cs="arial"/>
          <w:i/>
          <w:color w:val="000000"/>
          <w:sz w:val="20"/>
          <w:lang w:val="en-US" w:eastAsia="en-US" w:bidi="ar-SA"/>
        </w:rPr>
        <w:t>Forest Act</w:t>
      </w:r>
      <w:r>
        <w:rPr>
          <w:rFonts w:ascii="arial" w:eastAsia="arial" w:hAnsi="arial" w:cs="arial"/>
          <w:color w:val="000000"/>
          <w:sz w:val="20"/>
          <w:lang w:val="en-US" w:eastAsia="en-US" w:bidi="ar-SA"/>
        </w:rPr>
        <w:t xml:space="preserve">. No specifics are pleaded in that regard. These provisions allow the Minister to suspend or cancel agreements such as the timber sales licences under which the forestry defendants carried out their logging activities, for such things as failure to perform obligations under the agreement or failure to comply with the requirements of the </w:t>
      </w:r>
      <w:r>
        <w:rPr>
          <w:rFonts w:ascii="arial" w:eastAsia="arial" w:hAnsi="arial" w:cs="arial"/>
          <w:i/>
          <w:color w:val="000000"/>
          <w:sz w:val="20"/>
          <w:lang w:val="en-US" w:eastAsia="en-US" w:bidi="ar-SA"/>
        </w:rPr>
        <w:t>Forest Act</w:t>
      </w:r>
      <w:r>
        <w:rPr>
          <w:rFonts w:ascii="arial" w:eastAsia="arial" w:hAnsi="arial" w:cs="arial"/>
          <w:color w:val="000000"/>
          <w:sz w:val="20"/>
          <w:lang w:val="en-US" w:eastAsia="en-US" w:bidi="ar-SA"/>
        </w:rPr>
        <w:t xml:space="preserve"> or the </w:t>
      </w:r>
      <w:r>
        <w:rPr>
          <w:rFonts w:ascii="arial" w:eastAsia="arial" w:hAnsi="arial" w:cs="arial"/>
          <w:i/>
          <w:color w:val="000000"/>
          <w:sz w:val="20"/>
          <w:lang w:val="en-US" w:eastAsia="en-US" w:bidi="ar-SA"/>
        </w:rPr>
        <w:t>FRPA</w:t>
      </w:r>
      <w:r>
        <w:rPr>
          <w:rFonts w:ascii="arial" w:eastAsia="arial" w:hAnsi="arial" w:cs="arial"/>
          <w:color w:val="000000"/>
          <w:sz w:val="20"/>
          <w:lang w:val="en-US" w:eastAsia="en-US" w:bidi="ar-SA"/>
        </w:rPr>
        <w:t xml:space="preserve"> or other statutes. Nothing in these provisions suggests the kind of duty the plaintiff would need to establish.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xml:space="preserve">  I reiterate that, as Chief Justice McLachlin emphasized in </w:t>
      </w:r>
      <w:r>
        <w:rPr>
          <w:rFonts w:ascii="arial" w:eastAsia="arial" w:hAnsi="arial" w:cs="arial"/>
          <w:i/>
          <w:color w:val="000000"/>
          <w:sz w:val="20"/>
          <w:lang w:val="en-US" w:eastAsia="en-US" w:bidi="ar-SA"/>
        </w:rPr>
        <w:t>R. v. Imperial Tobacco Canada Ltd</w:t>
      </w:r>
      <w:r>
        <w:rPr>
          <w:rFonts w:ascii="arial" w:eastAsia="arial" w:hAnsi="arial" w:cs="arial"/>
          <w:color w:val="000000"/>
          <w:sz w:val="20"/>
          <w:lang w:val="en-US" w:eastAsia="en-US" w:bidi="ar-SA"/>
        </w:rPr>
        <w:t xml:space="preserve">., </w:t>
      </w:r>
      <w:hyperlink r:id="rId448" w:history="1">
        <w:r>
          <w:rPr>
            <w:rFonts w:ascii="arial" w:eastAsia="arial" w:hAnsi="arial" w:cs="arial"/>
            <w:i/>
            <w:color w:val="0077CC"/>
            <w:sz w:val="20"/>
            <w:u w:val="single"/>
            <w:shd w:val="clear" w:color="auto" w:fill="FFFFFF"/>
            <w:lang w:val="en-US" w:eastAsia="en-US" w:bidi="ar-SA"/>
          </w:rPr>
          <w:t>2011 SCC 42</w:t>
        </w:r>
      </w:hyperlink>
      <w:r>
        <w:rPr>
          <w:rFonts w:ascii="arial" w:eastAsia="arial" w:hAnsi="arial" w:cs="arial"/>
          <w:color w:val="000000"/>
          <w:sz w:val="20"/>
          <w:lang w:val="en-US" w:eastAsia="en-US" w:bidi="ar-SA"/>
        </w:rPr>
        <w:t xml:space="preserve"> (CanLII) [</w:t>
      </w:r>
      <w:r>
        <w:rPr>
          <w:rFonts w:ascii="arial" w:eastAsia="arial" w:hAnsi="arial" w:cs="arial"/>
          <w:i/>
          <w:color w:val="000000"/>
          <w:sz w:val="20"/>
          <w:lang w:val="en-US" w:eastAsia="en-US" w:bidi="ar-SA"/>
        </w:rPr>
        <w:t>Imperial</w:t>
      </w:r>
      <w:r>
        <w:rPr>
          <w:rFonts w:ascii="arial" w:eastAsia="arial" w:hAnsi="arial" w:cs="arial"/>
          <w:color w:val="000000"/>
          <w:sz w:val="20"/>
          <w:lang w:val="en-US" w:eastAsia="en-US" w:bidi="ar-SA"/>
        </w:rPr>
        <w:t>], at para. 22, the plaintiff must plead the facts upon which it relies in making its claim. A claimant is not entitled to rely on the possibility that new facts may turn up as the case progresses. The facts pleaded are the firm basis upon which the possibility of success of the claim must be evaluated.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 Statutory Authority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The Province and 813 argue that as the ANOCC makes no specific allegation concerning the manner of timber harvesting, or breach of statutory authority or the terms of the tenures of the forester defendants, the claim can be characterized as a challenge to the act of timber harvesting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On that basis, the applicants contend that the claims are bound to fail based upon the defence of statutory authority.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xml:space="preserve">  In the context of nuisance, the onus is upon the defendant asserting the defence to establish clear and unambiguous statutory authority for the work, activity or conduct complained of, in the place where that work, activity or conduct takes place, and express or implied authority to cause a nuisance as the only reasonable inference from the statutory scheme: </w:t>
      </w:r>
      <w:r>
        <w:rPr>
          <w:rFonts w:ascii="arial" w:eastAsia="arial" w:hAnsi="arial" w:cs="arial"/>
          <w:i/>
          <w:color w:val="000000"/>
          <w:sz w:val="20"/>
          <w:lang w:val="en-US" w:eastAsia="en-US" w:bidi="ar-SA"/>
        </w:rPr>
        <w:t>Sutherland v. Canada (Attorney General)</w:t>
      </w:r>
      <w:r>
        <w:rPr>
          <w:rFonts w:ascii="arial" w:eastAsia="arial" w:hAnsi="arial" w:cs="arial"/>
          <w:color w:val="000000"/>
          <w:sz w:val="20"/>
          <w:lang w:val="en-US" w:eastAsia="en-US" w:bidi="ar-SA"/>
        </w:rPr>
        <w:t xml:space="preserve">, </w:t>
      </w:r>
      <w:hyperlink r:id="rId1082" w:history="1">
        <w:r>
          <w:rPr>
            <w:rFonts w:ascii="arial" w:eastAsia="arial" w:hAnsi="arial" w:cs="arial"/>
            <w:i/>
            <w:color w:val="0077CC"/>
            <w:sz w:val="20"/>
            <w:u w:val="single"/>
            <w:shd w:val="clear" w:color="auto" w:fill="FFFFFF"/>
            <w:lang w:val="en-US" w:eastAsia="en-US" w:bidi="ar-SA"/>
          </w:rPr>
          <w:t>2002 BCCA 416</w:t>
        </w:r>
      </w:hyperlink>
      <w:r>
        <w:rPr>
          <w:rFonts w:ascii="arial" w:eastAsia="arial" w:hAnsi="arial" w:cs="arial"/>
          <w:color w:val="000000"/>
          <w:sz w:val="20"/>
          <w:lang w:val="en-US" w:eastAsia="en-US" w:bidi="ar-SA"/>
        </w:rPr>
        <w:t>, at para. 118 [</w:t>
      </w:r>
      <w:r>
        <w:rPr>
          <w:rFonts w:ascii="arial" w:eastAsia="arial" w:hAnsi="arial" w:cs="arial"/>
          <w:i/>
          <w:color w:val="000000"/>
          <w:sz w:val="20"/>
          <w:lang w:val="en-US" w:eastAsia="en-US" w:bidi="ar-SA"/>
        </w:rPr>
        <w:t>Sutherland</w:t>
      </w:r>
      <w:r>
        <w:rPr>
          <w:rFonts w:ascii="arial" w:eastAsia="arial" w:hAnsi="arial" w:cs="arial"/>
          <w:color w:val="000000"/>
          <w:sz w:val="20"/>
          <w:lang w:val="en-US" w:eastAsia="en-US" w:bidi="ar-SA"/>
        </w:rPr>
        <w:t xml:space="preserve">]. The harm complained of must be the inevitable result of the exercise of the statutory authority: </w:t>
      </w:r>
      <w:r>
        <w:rPr>
          <w:rFonts w:ascii="arial" w:eastAsia="arial" w:hAnsi="arial" w:cs="arial"/>
          <w:i/>
          <w:color w:val="000000"/>
          <w:sz w:val="20"/>
          <w:lang w:val="en-US" w:eastAsia="en-US" w:bidi="ar-SA"/>
        </w:rPr>
        <w:t>Sutherland</w:t>
      </w:r>
      <w:r>
        <w:rPr>
          <w:rFonts w:ascii="arial" w:eastAsia="arial" w:hAnsi="arial" w:cs="arial"/>
          <w:color w:val="000000"/>
          <w:sz w:val="20"/>
          <w:lang w:val="en-US" w:eastAsia="en-US" w:bidi="ar-SA"/>
        </w:rPr>
        <w:t xml:space="preserve">, at paras. 63-67, 105; </w:t>
      </w:r>
      <w:r>
        <w:rPr>
          <w:rFonts w:ascii="arial" w:eastAsia="arial" w:hAnsi="arial" w:cs="arial"/>
          <w:i/>
          <w:color w:val="000000"/>
          <w:sz w:val="20"/>
          <w:lang w:val="en-US" w:eastAsia="en-US" w:bidi="ar-SA"/>
        </w:rPr>
        <w:t>Thomas</w:t>
      </w:r>
      <w:r>
        <w:rPr>
          <w:rFonts w:ascii="arial" w:eastAsia="arial" w:hAnsi="arial" w:cs="arial"/>
          <w:color w:val="000000"/>
          <w:sz w:val="20"/>
          <w:lang w:val="en-US" w:eastAsia="en-US" w:bidi="ar-SA"/>
        </w:rPr>
        <w:t>, at para. 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The difficulty with the application of this argument is that the claims for damage relate to the overall effect of all of the timber harvesting activities upon wildlife. The plaintiff has provided no specifics as to any particular activities that resulted in the alleged harm. It leaves the defendants in the position of being required to demonstrate both that all of the timber harvesting activities were specifically prescribed by statute and that they could not have been conducted in such a way as to avoid harming wildlife. Naturally, they have not attempted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xml:space="preserve">  As I have indicated, the statutory scheme is relevant to the issues of whether the plaintiff has pleaded a viable cause of action in nuisance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however. As I will explain, it is also relevant to the issue of abuse of process.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 The Claims in Breach of Fiduciary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The pleadings in the ANOCC relate to the contention that the plaintiff holds Trapline No. 1 "in part for or on behalf of the McLeod Lake Indian Band." Characteristically of these pleadings, the plaintiff also asserts that "in addition or in the alternative, all Aboriginal rights held by the McLeod Lake Indian Band in relation to the subject lands are exercised by the plaintiff or have been assigned to the plaintiff." The plaintiff claims to be entitled to assert the Band's rights in trapline No. 1. The plaintiff claims a breach of fiduciary duty on the part of the Province in failing to consult and accommodate the interests of the plaintiff and the Band, "prior to granting the timber harvesting licenses to the forestry defendants. There are no particulars or specifics of the failure, or the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As noted, however, Chief Derek Orr of the McLeod Lake Indian Band has sworn an affidavit in these proceedings in which he denies that the traplines are held in trust for the Band, and denies that the plaintiff has authority to pursue claims or act on behalf of the Band.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In response to the Proposed AANOCC, the plaintiff proposes to abandon the allegation that trapline No. 1 is held in trust for the Band or that the Band has granted him authority, consent or an assignment of Aboriginal rights. I take these allegations to have been abandoned. However the plaintiff proposes a broader claim, relating to all of the Lands as defined in the pleading (the guiding territory certificate and the registered trapline lands): "All aboriginal rights held by the McLeod Lake Indian Band are exercised by the plaintiff." No facts are pleaded which support this contention.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The Proposed AANOCC refers again to an obligation on the part of the Province to consult him "on behalf of the McLeod Lake Indian Band" before issuing the timber harvesting licenses.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xml:space="preserve">  Section 35(1) of the </w:t>
      </w:r>
      <w:r>
        <w:rPr>
          <w:rFonts w:ascii="arial" w:eastAsia="arial" w:hAnsi="arial" w:cs="arial"/>
          <w:i/>
          <w:color w:val="000000"/>
          <w:sz w:val="20"/>
          <w:lang w:val="en-US" w:eastAsia="en-US" w:bidi="ar-SA"/>
        </w:rPr>
        <w:t>Constitution Act</w:t>
      </w:r>
      <w:r>
        <w:rPr>
          <w:rFonts w:ascii="arial" w:eastAsia="arial" w:hAnsi="arial" w:cs="arial"/>
          <w:color w:val="000000"/>
          <w:sz w:val="20"/>
          <w:lang w:val="en-US" w:eastAsia="en-US" w:bidi="ar-SA"/>
        </w:rPr>
        <w:t>, 1982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existing aboriginal and treaty rights of the aboriginal peoples of Canada are hereby recognized and affirmed.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xml:space="preserve">  The Crown's duty to consult exists to protect the collective rights of Aboriginal peoples, and is therefore owed to the Aboriginal group that holds the s. 35 rights, which are collective in nature. But an Aboriginal group can authorize an individual or an organization to represent it for the purpose of asserting its s. 35 rights: </w:t>
      </w:r>
      <w:r>
        <w:rPr>
          <w:rFonts w:ascii="arial" w:eastAsia="arial" w:hAnsi="arial" w:cs="arial"/>
          <w:i/>
          <w:color w:val="000000"/>
          <w:sz w:val="20"/>
          <w:lang w:val="en-US" w:eastAsia="en-US" w:bidi="ar-SA"/>
        </w:rPr>
        <w:t>Behn v. Moulton Contracting Ltd.</w:t>
      </w:r>
      <w:r>
        <w:rPr>
          <w:rFonts w:ascii="arial" w:eastAsia="arial" w:hAnsi="arial" w:cs="arial"/>
          <w:color w:val="000000"/>
          <w:sz w:val="20"/>
          <w:lang w:val="en-US" w:eastAsia="en-US" w:bidi="ar-SA"/>
        </w:rPr>
        <w:t xml:space="preserve">, </w:t>
      </w:r>
      <w:hyperlink r:id="rId1067" w:history="1">
        <w:r>
          <w:rPr>
            <w:rFonts w:ascii="arial" w:eastAsia="arial" w:hAnsi="arial" w:cs="arial"/>
            <w:i/>
            <w:color w:val="0077CC"/>
            <w:sz w:val="20"/>
            <w:u w:val="single"/>
            <w:shd w:val="clear" w:color="auto" w:fill="FFFFFF"/>
            <w:lang w:val="en-US" w:eastAsia="en-US" w:bidi="ar-SA"/>
          </w:rPr>
          <w:t>2013 SCC 13</w:t>
        </w:r>
      </w:hyperlink>
      <w:r>
        <w:rPr>
          <w:rFonts w:ascii="arial" w:eastAsia="arial" w:hAnsi="arial" w:cs="arial"/>
          <w:color w:val="000000"/>
          <w:sz w:val="20"/>
          <w:lang w:val="en-US" w:eastAsia="en-US" w:bidi="ar-SA"/>
        </w:rPr>
        <w:t>, at para. 30 [</w:t>
      </w:r>
      <w:r>
        <w:rPr>
          <w:rFonts w:ascii="arial" w:eastAsia="arial" w:hAnsi="arial" w:cs="arial"/>
          <w:i/>
          <w:color w:val="000000"/>
          <w:sz w:val="20"/>
          <w:lang w:val="en-US" w:eastAsia="en-US" w:bidi="ar-SA"/>
        </w:rPr>
        <w:t>Behn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xml:space="preserve">  The Crown's duty to consult applies to the relevant Aboriginal group, even where the decision affects a trapline held by a member of the group: </w:t>
      </w:r>
      <w:r>
        <w:rPr>
          <w:rFonts w:ascii="arial" w:eastAsia="arial" w:hAnsi="arial" w:cs="arial"/>
          <w:i/>
          <w:color w:val="000000"/>
          <w:sz w:val="20"/>
          <w:lang w:val="en-US" w:eastAsia="en-US" w:bidi="ar-SA"/>
        </w:rPr>
        <w:t>Beckman v. Little Salmon/Carmacks First Nation</w:t>
      </w:r>
      <w:r>
        <w:rPr>
          <w:rFonts w:ascii="arial" w:eastAsia="arial" w:hAnsi="arial" w:cs="arial"/>
          <w:color w:val="000000"/>
          <w:sz w:val="20"/>
          <w:lang w:val="en-US" w:eastAsia="en-US" w:bidi="ar-SA"/>
        </w:rPr>
        <w:t xml:space="preserve">, </w:t>
      </w:r>
      <w:hyperlink r:id="rId1083" w:history="1">
        <w:r>
          <w:rPr>
            <w:rFonts w:ascii="arial" w:eastAsia="arial" w:hAnsi="arial" w:cs="arial"/>
            <w:i/>
            <w:color w:val="0077CC"/>
            <w:sz w:val="20"/>
            <w:u w:val="single"/>
            <w:shd w:val="clear" w:color="auto" w:fill="FFFFFF"/>
            <w:lang w:val="en-US" w:eastAsia="en-US" w:bidi="ar-SA"/>
          </w:rPr>
          <w:t>2010 SCC 53</w:t>
        </w:r>
      </w:hyperlink>
      <w:r>
        <w:rPr>
          <w:rFonts w:ascii="arial" w:eastAsia="arial" w:hAnsi="arial" w:cs="arial"/>
          <w:color w:val="000000"/>
          <w:sz w:val="20"/>
          <w:lang w:val="en-US" w:eastAsia="en-US" w:bidi="ar-SA"/>
        </w:rPr>
        <w:t>, at para. 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xml:space="preserve">  However I note that in </w:t>
      </w:r>
      <w:r>
        <w:rPr>
          <w:rFonts w:ascii="arial" w:eastAsia="arial" w:hAnsi="arial" w:cs="arial"/>
          <w:i/>
          <w:color w:val="000000"/>
          <w:sz w:val="20"/>
          <w:lang w:val="en-US" w:eastAsia="en-US" w:bidi="ar-SA"/>
        </w:rPr>
        <w:t>Behn</w:t>
      </w:r>
      <w:r>
        <w:rPr>
          <w:rFonts w:ascii="arial" w:eastAsia="arial" w:hAnsi="arial" w:cs="arial"/>
          <w:color w:val="000000"/>
          <w:sz w:val="20"/>
          <w:lang w:val="en-US" w:eastAsia="en-US" w:bidi="ar-SA"/>
        </w:rPr>
        <w:t>, the Supreme Court declined to decide whether the plaintiffs' individual hunting and trapping activities might provide a basis for claims of breach of treaty rights on their individual part, on a motion to strike.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xml:space="preserve">  The plaintiff has not pleaded facts which might raise a breach of Aboriginal or treaty rights. Unlike </w:t>
      </w:r>
      <w:r>
        <w:rPr>
          <w:rFonts w:ascii="arial" w:eastAsia="arial" w:hAnsi="arial" w:cs="arial"/>
          <w:i/>
          <w:color w:val="000000"/>
          <w:sz w:val="20"/>
          <w:lang w:val="en-US" w:eastAsia="en-US" w:bidi="ar-SA"/>
        </w:rPr>
        <w:t>Behn</w:t>
      </w:r>
      <w:r>
        <w:rPr>
          <w:rFonts w:ascii="arial" w:eastAsia="arial" w:hAnsi="arial" w:cs="arial"/>
          <w:color w:val="000000"/>
          <w:sz w:val="20"/>
          <w:lang w:val="en-US" w:eastAsia="en-US" w:bidi="ar-SA"/>
        </w:rPr>
        <w:t xml:space="preserve">, he has not pleaded a breach of treaty rights, or that the lands in question have traditionally been assigned to him by the Band. However, the relationship between the plaintiff and the Band in this respect is unclear to me, (and may perhaps be a matter of some controversy between them). In the circumstances, based upon the comments in </w:t>
      </w:r>
      <w:r>
        <w:rPr>
          <w:rFonts w:ascii="arial" w:eastAsia="arial" w:hAnsi="arial" w:cs="arial"/>
          <w:i/>
          <w:color w:val="000000"/>
          <w:sz w:val="20"/>
          <w:lang w:val="en-US" w:eastAsia="en-US" w:bidi="ar-SA"/>
        </w:rPr>
        <w:t>Behn</w:t>
      </w:r>
      <w:r>
        <w:rPr>
          <w:rFonts w:ascii="arial" w:eastAsia="arial" w:hAnsi="arial" w:cs="arial"/>
          <w:color w:val="000000"/>
          <w:sz w:val="20"/>
          <w:lang w:val="en-US" w:eastAsia="en-US" w:bidi="ar-SA"/>
        </w:rPr>
        <w:t>, I would not dismiss the claims of breach of Aboriginal rights on the ground of standing.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However, just as in </w:t>
      </w:r>
      <w:r>
        <w:rPr>
          <w:rFonts w:ascii="arial" w:eastAsia="arial" w:hAnsi="arial" w:cs="arial"/>
          <w:i/>
          <w:color w:val="000000"/>
          <w:sz w:val="20"/>
          <w:lang w:val="en-US" w:eastAsia="en-US" w:bidi="ar-SA"/>
        </w:rPr>
        <w:t>Behn</w:t>
      </w:r>
      <w:r>
        <w:rPr>
          <w:rFonts w:ascii="arial" w:eastAsia="arial" w:hAnsi="arial" w:cs="arial"/>
          <w:color w:val="000000"/>
          <w:sz w:val="20"/>
          <w:lang w:val="en-US" w:eastAsia="en-US" w:bidi="ar-SA"/>
        </w:rPr>
        <w:t>, to the extent the plaintiff is seeking to advance claims based upon Aboriginal or treaty rights, I consider the claims an abuse of process, and dismiss them on that ground, pursuant to Rule 9-5(1)(d).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 Collateral Attack and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The defendants argue that the claims should be struck as an abuse of process, in that they are in effect a collateral attack on administrative decisions to issue the TSLs. They argue that the plaintiff's remedy would have been to challenge the decisions to issue the TSLs by way of judicial review, rather than waiting until the activities authorized by the TSLs are completed, and then suing in tort.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The evidence shows that the plaintiff was given notice of the planned logging activities. He provided some comments during the planning stages, as he was invited to do. In general he did not object.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In November 2004, the Province sent a letter to the plaintiff inviting him to make his concerns known regarding a proposed Forest Stewardship Plan [FSP] for the area. A similar letter was sent July 4, 2006. The FSP was sent to him August 8, 2006. He received notice of an amendment to the FSP January 14, 2008. He was again advised that the amended FSP would be available for his review and comment for a period of 60 days. He attended the B.C. Timber Sales offices in Prince George for this purpose on January 24, 2008. He had no major complaints. He was advised that he would receive notice in due course of operating plans. He received notice of further amendments to the FSP on November 15, 2011. He received notices from the Province about proposed operating plans and harvesting activities on numerous occasions. Approximately 16 such notices are in evidence, spanning the period from December 28, 2007 to September 20, 2014. On August 25, 2009 and January 5, 2011, Mr. Chingee met with staff of B.C. Timber Sales (Province of B.C.) and discussed various concerns about timber harvesting activities. There is no evidence that the concerns he expressed were not dealt with to his satisfaction. He received numerous letters from BC Timber Sales of proposed TSLs prior to their issuance. Approximately 22 such letters are in evidence, dated from April 20, 2009 to February 18, 2014. One such letter refers to TSL A84919, eventually issued to 819, which advised him that harvesting was anticipated to commence in 2011. Finally, as noted, 813 sent a letter to the plaintiff dated July 11, 2012 in which he was advised that logging activities in relation to TSL A84919 were anticipated to commence during the week of July 16, 2012. There is no evidence of any complaint by the plaintiff in response to that communication.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In his affidavit in response to the applications the plaintiff does not specifically deny any of this. He states "As an Elder and Hereditary Chief of the Tsekehne People I was not consulted regarding these impacts to My Guiding Territory and My Trapping Territory." He also states that he feels the concerns he expressed to the Province were not being heard and addressed. He states that he was prepared to accommodate harvesting up to a point, and was not asking the Province not to grant timber licenses and harvesting permits entirely, but merely did not want to see the whole area clear-cut. He does not deny that he never objected to the issuance of the TSLs in any formal sense.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The TSL of 813 in evidence and the other example TSL in evidence both contain what I take to be standard TSL terms allowing the Timber Sales Manager to vary or suspend the licence if a court determines that activities under the TSL will infringe an Aboriginal right or title, or a treaty right, or grants an injunction. As Mr. Chingee did not bring legal proceedings to challenge the issuance of any TSL or the activities under any TSL on the basis of asserted Aboriginal or treaty rights at any time, these provisions were never triggered.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xml:space="preserve">  Here, the plaintiff does not attack the validity of the TSLs. He expressly concedes their validity. This demonstrates a level of consistency, inasmuch as the plaintiff himself bases his claim on statutory licenses. His claim is in tort. In that sense the circumstances are more akin to those in </w:t>
      </w:r>
      <w:r>
        <w:rPr>
          <w:rFonts w:ascii="arial" w:eastAsia="arial" w:hAnsi="arial" w:cs="arial"/>
          <w:i/>
          <w:color w:val="000000"/>
          <w:sz w:val="20"/>
          <w:lang w:val="en-US" w:eastAsia="en-US" w:bidi="ar-SA"/>
        </w:rPr>
        <w:t>Thomas</w:t>
      </w:r>
      <w:r>
        <w:rPr>
          <w:rFonts w:ascii="arial" w:eastAsia="arial" w:hAnsi="arial" w:cs="arial"/>
          <w:color w:val="000000"/>
          <w:sz w:val="20"/>
          <w:lang w:val="en-US" w:eastAsia="en-US" w:bidi="ar-SA"/>
        </w:rPr>
        <w:t>. I do not consider that the doctrine of collateral attack is applicable.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xml:space="preserve">  However, the claims are an abuse of process in the larger sense. Mr. Chingee was notified not only of the FSP, but also the operational plans and the issuance of the specific TSLs he now complains of. The evidence is that he was amply consulted and raised few concerns. Even if that were not the case, he waited until the TSLs were issued and the lands harvested before bringing these proceedings. By the time the proceedings were commenced, nothing could be done to accommodate any general or specific concerns he might have raised. The question of whether Mr. Chingee has standing to make claims of Aboriginal or treaty rights could have been dealt with long ago. Instead, having made no complaint, he now sues, seeking compensatory damages, and arguing in effect that too much logging has been allowed. The circumstances are analogous to </w:t>
      </w:r>
      <w:r>
        <w:rPr>
          <w:rFonts w:ascii="arial" w:eastAsia="arial" w:hAnsi="arial" w:cs="arial"/>
          <w:i/>
          <w:color w:val="000000"/>
          <w:sz w:val="20"/>
          <w:lang w:val="en-US" w:eastAsia="en-US" w:bidi="ar-SA"/>
        </w:rPr>
        <w:t>Behn</w:t>
      </w:r>
      <w:r>
        <w:rPr>
          <w:rFonts w:ascii="arial" w:eastAsia="arial" w:hAnsi="arial" w:cs="arial"/>
          <w:color w:val="000000"/>
          <w:sz w:val="20"/>
          <w:lang w:val="en-US" w:eastAsia="en-US" w:bidi="ar-SA"/>
        </w:rPr>
        <w:t>, where on behalf of the court Mr. Justice LeBel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42 In my opinion, the Behns' acts amount to an abuse of process. The Behns clearly objected to the validity of the Authorizations on the grounds that the Authorizations infringed their treaty rights and that the Crown had breached its duty to consult. On the face of the record, whereas they now claim to have standing to raise these issues, the Behns did not seek to resolve the issue of standing, nor did they contest the validity of the Authorizations by legal means when they were issued. They did not raise their concerns with Moulton after the Authorizations were issued. Instead, without any warning, they set up a camp that blocked access to the logging sites assigned to Moulton. By doing so, the Behns put Moulton in the position of having either to go to court or to forgo harvesting timber pursuant to the Authorizations it had received after having incurred substantial costs to start its operations. To allow the Behns to raise their defence based on treaty rights and on a breach of the duty to consult at this point would be tantamount to condoning self-help remedies and would bring the administration of justice into disrepute. It would also amount to a repudiation of the duty of mutual good faith that animates the discharge of the Crown's constitutional duty to consult First Nations. The doctrine of abuse of process applies, and the appellants cannot raise a breach of their treaty rights and of the duty to consult as a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Mr. Chingee has initiated legal proceedings rather than resorting to self-help remedies as did the Behns. However the other concerns referred to by LeBel J. apply. The lack of timely complaint is in my view particularly significant in the context of the statutory scheme, which is designed to balance competing interests and to allow interested parties to provide input into the decision-making process at relevant stages. To instead allow Mr. Chingee to stand by and then to make after the fact wholesale claims for damages would be an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 REMEDY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xml:space="preserve">  In relation to the nuisance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claims the plaintiff has failed to plead a reasonable claim within meaning of Rule 9-5 (1)(a) of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This is not a case where the pleadings contain a defect or defects that could be cured by amendment. The plaintiff already made extensive amendments in the ANOCC. Careful consideration of the Proposed AANOCC shows that the defects are fundamental and not curable by amendment.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The claims are also an abuse of process. This applies to all three causes of action pleaded. Thus, in all of the circumstances, the appropriate remedy is dismissal of the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The applicants applied for summary dismissal of the claims under Rule 9-6 (Summary Judgment) in the alternative to their applications under Rule 9-5(1) (a) and (d). As the claims are dismissed under Rule 9-5(1), there is no need for me to consider the summary dismissal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The applications of the Province and 813 are allowed, and the claims made against them are dismissed, with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F.E. VERHOEVEN J.</w:t>
      </w:r>
      <w:r>
        <w:rPr>
          <w:rFonts w:ascii="arial" w:eastAsia="arial" w:hAnsi="arial" w:cs="arial"/>
          <w:sz w:val="20"/>
          <w:lang w:val="en-US" w:eastAsia="en-US" w:bidi="ar-SA"/>
        </w:rPr>
        <w:cr/>
      </w:r>
    </w:p>
    <w:p>
      <w:pPr>
        <w:spacing w:line="260" w:lineRule="atLeast"/>
        <w:ind w:left="2520"/>
        <w:rPr>
          <w:rFonts w:ascii="arial" w:eastAsia="arial" w:hAnsi="arial" w:cs="arial"/>
          <w:sz w:val="20"/>
          <w:lang w:val="en-US" w:eastAsia="en-US" w:bidi="ar-SA"/>
        </w:rPr>
      </w:pPr>
      <w:r>
        <w:rPr>
          <w:rFonts w:ascii="arial" w:eastAsia="arial" w:hAnsi="arial" w:cs="arial"/>
          <w:color w:val="000000"/>
          <w:sz w:val="20"/>
          <w:lang w:val="en-US" w:eastAsia="en-US" w:bidi="ar-SA"/>
        </w:rPr>
        <w:t>* * *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 Schedule 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u w:val="single"/>
          <w:lang w:val="en-US" w:eastAsia="en-US" w:bidi="ar-SA"/>
        </w:rPr>
        <w:t>AMENDED</w:t>
      </w:r>
      <w:r>
        <w:rPr>
          <w:rFonts w:ascii="arial" w:eastAsia="arial" w:hAnsi="arial" w:cs="arial"/>
          <w:b/>
          <w:color w:val="000000"/>
          <w:sz w:val="20"/>
          <w:lang w:val="en-US" w:eastAsia="en-US" w:bidi="ar-SA"/>
        </w:rPr>
        <w:t xml:space="preserve"> NOTICE OF CIVIL CLAIM</w:t>
      </w:r>
    </w:p>
    <w:p>
      <w:pPr>
        <w:spacing w:before="120" w:line="260" w:lineRule="atLeast"/>
        <w:ind w:left="1440"/>
        <w:rPr>
          <w:rFonts w:ascii="arial" w:eastAsia="arial" w:hAnsi="arial" w:cs="arial"/>
          <w:sz w:val="20"/>
          <w:lang w:val="en-US" w:eastAsia="en-US" w:bidi="ar-SA"/>
        </w:rPr>
      </w:pPr>
      <w:r>
        <w:rPr>
          <w:rFonts w:ascii="arial" w:eastAsia="arial" w:hAnsi="arial" w:cs="arial"/>
          <w:i/>
          <w:color w:val="000000"/>
          <w:sz w:val="20"/>
          <w:lang w:val="en-US" w:eastAsia="en-US" w:bidi="ar-SA"/>
        </w:rPr>
        <w:t>[Rule 22-3 of the Supreme Court Civil Rules applies to all forms.]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Claim of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Part 1: STATEMENT OF FACTS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Background</w:t>
      </w:r>
      <w:r>
        <w:rPr>
          <w:rFonts w:ascii="arial" w:eastAsia="arial" w:hAnsi="arial" w:cs="arial"/>
          <w:sz w:val="20"/>
          <w:lang w:val="en-US" w:eastAsia="en-US" w:bidi="ar-SA"/>
        </w:rPr>
        <w:cr/>
      </w:r>
    </w:p>
    <w:p>
      <w:pPr>
        <w:numPr>
          <w:numId w:val="6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Harry Chingee, is a businessman, who resides in Prince George, British Columbia.</w:t>
      </w:r>
    </w:p>
    <w:p>
      <w:pPr>
        <w:numPr>
          <w:numId w:val="6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 Her Majesty the Queen in right of the Province of British Columbia ("the Crown"), represents the government of British Columbia pursuant to Section 7 of the </w:t>
      </w:r>
      <w:r>
        <w:rPr>
          <w:rFonts w:ascii="arial" w:eastAsia="arial" w:hAnsi="arial" w:cs="arial"/>
          <w:i/>
          <w:color w:val="000000"/>
          <w:sz w:val="20"/>
          <w:lang w:val="en-US" w:eastAsia="en-US" w:bidi="ar-SA"/>
        </w:rPr>
        <w:t>Crown Proceedings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89</w:t>
      </w:r>
      <w:r>
        <w:rPr>
          <w:rFonts w:ascii="arial" w:eastAsia="arial" w:hAnsi="arial" w:cs="arial"/>
          <w:color w:val="000000"/>
          <w:sz w:val="20"/>
          <w:lang w:val="en-US" w:eastAsia="en-US" w:bidi="ar-SA"/>
        </w:rPr>
        <w:t>.</w:t>
      </w:r>
    </w:p>
    <w:p>
      <w:pPr>
        <w:numPr>
          <w:numId w:val="70"/>
        </w:numPr>
        <w:tabs>
          <w:tab w:val="num" w:pos="1120"/>
          <w:tab w:val="clear" w:pos="1480"/>
        </w:tabs>
        <w:spacing w:before="120" w:line="24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 Canadian Forest Products Ltd., is a company incorporated pursuant to the laws of British Columbia.] </w:t>
      </w:r>
      <w:r>
        <w:rPr>
          <w:rFonts w:ascii="arial" w:eastAsia="arial" w:hAnsi="arial" w:cs="arial"/>
          <w:color w:val="000000"/>
          <w:sz w:val="18"/>
          <w:lang w:val="en-US" w:eastAsia="en-US" w:bidi="ar-SA"/>
        </w:rPr>
        <w:t>[Editor's note: Text in brackets is struck out in the original.]</w:t>
      </w:r>
    </w:p>
    <w:p>
      <w:pPr>
        <w:numPr>
          <w:numId w:val="7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 Conifex Mackenzie Forest Products-lnc-is-a-eompany incorporated pursuan to the laws of British Columbia] </w:t>
      </w:r>
      <w:r>
        <w:rPr>
          <w:rFonts w:ascii="arial" w:eastAsia="arial" w:hAnsi="arial" w:cs="arial"/>
          <w:color w:val="000000"/>
          <w:sz w:val="18"/>
          <w:lang w:val="en-US" w:eastAsia="en-US" w:bidi="ar-SA"/>
        </w:rPr>
        <w:t>[Editor's note: Text in brackets is struck out in the original.]</w:t>
      </w:r>
      <w:r>
        <w:rPr>
          <w:rFonts w:ascii="arial" w:eastAsia="arial" w:hAnsi="arial" w:cs="arial"/>
          <w:color w:val="000000"/>
          <w:sz w:val="20"/>
          <w:lang w:val="en-US" w:eastAsia="en-US" w:bidi="ar-SA"/>
        </w:rPr>
        <w:t>?</w:t>
      </w:r>
    </w:p>
    <w:p>
      <w:pPr>
        <w:numPr>
          <w:numId w:val="72"/>
        </w:numPr>
        <w:tabs>
          <w:tab w:val="num" w:pos="1120"/>
          <w:tab w:val="clear" w:pos="1480"/>
        </w:tabs>
        <w:spacing w:before="120" w:line="24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 Lakeland Mills-Ltd., is a company incorporated pursuant to the laws of British Columbia:] </w:t>
      </w:r>
      <w:r>
        <w:rPr>
          <w:rFonts w:ascii="arial" w:eastAsia="arial" w:hAnsi="arial" w:cs="arial"/>
          <w:color w:val="000000"/>
          <w:sz w:val="18"/>
          <w:lang w:val="en-US" w:eastAsia="en-US" w:bidi="ar-SA"/>
        </w:rPr>
        <w:t>[Editor's note: Text in brackets is struck out in the original.]</w:t>
      </w:r>
    </w:p>
    <w:p>
      <w:pPr>
        <w:numPr>
          <w:numId w:val="73"/>
        </w:numPr>
        <w:tabs>
          <w:tab w:val="num" w:pos="1120"/>
          <w:tab w:val="clear" w:pos="1480"/>
        </w:tabs>
        <w:spacing w:before="120" w:line="24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 Mackenzie Fiber Management Corporation, is a company incorporated- pursuant to tho laws of British Columbia].- </w:t>
      </w:r>
      <w:r>
        <w:rPr>
          <w:rFonts w:ascii="arial" w:eastAsia="arial" w:hAnsi="arial" w:cs="arial"/>
          <w:color w:val="000000"/>
          <w:sz w:val="18"/>
          <w:lang w:val="en-US" w:eastAsia="en-US" w:bidi="ar-SA"/>
        </w:rPr>
        <w:t>[Editor's note: Text in brackets is struck out in the original.]</w:t>
      </w:r>
    </w:p>
    <w:p>
      <w:pPr>
        <w:numPr>
          <w:numId w:val="74"/>
        </w:numPr>
        <w:tabs>
          <w:tab w:val="num" w:pos="1120"/>
          <w:tab w:val="clear" w:pos="1480"/>
        </w:tabs>
        <w:spacing w:before="120" w:line="24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 Winton Global Lumber Ltd., is a company-incorporated pursuant to the laws of British Columbia.] </w:t>
      </w:r>
      <w:r>
        <w:rPr>
          <w:rFonts w:ascii="arial" w:eastAsia="arial" w:hAnsi="arial" w:cs="arial"/>
          <w:color w:val="000000"/>
          <w:sz w:val="18"/>
          <w:lang w:val="en-US" w:eastAsia="en-US" w:bidi="ar-SA"/>
        </w:rPr>
        <w:t>[Editor's note: Text in brackets is struck out in the original.]</w:t>
      </w:r>
    </w:p>
    <w:p>
      <w:pPr>
        <w:numPr>
          <w:numId w:val="7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550031 BC Ltd., is a company incorporated pursuant to the laws of British Columbia.</w:t>
      </w:r>
    </w:p>
    <w:p>
      <w:pPr>
        <w:numPr>
          <w:numId w:val="7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813090 BC Ltd., is a company incorporated pursuant to the laws of British Columbia.</w:t>
      </w:r>
    </w:p>
    <w:p>
      <w:pPr>
        <w:numPr>
          <w:numId w:val="7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Dig Deep Ventures Ltd., is a company incorporated pursuant to the laws of British Columbia.</w:t>
      </w:r>
    </w:p>
    <w:p>
      <w:pPr>
        <w:numPr>
          <w:numId w:val="78"/>
        </w:numPr>
        <w:tabs>
          <w:tab w:val="num" w:pos="1120"/>
          <w:tab w:val="clear" w:pos="1480"/>
        </w:tabs>
        <w:spacing w:before="120" w:line="24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 Dollar Saver Lumber Ltd., is a company-incorporated-pursuant to the laws of British Columbia.] </w:t>
      </w:r>
      <w:r>
        <w:rPr>
          <w:rFonts w:ascii="arial" w:eastAsia="arial" w:hAnsi="arial" w:cs="arial"/>
          <w:color w:val="000000"/>
          <w:sz w:val="18"/>
          <w:lang w:val="en-US" w:eastAsia="en-US" w:bidi="ar-SA"/>
        </w:rPr>
        <w:t>[Editor's note: Text in brackets is struck out in the original.]</w:t>
      </w:r>
    </w:p>
    <w:p>
      <w:pPr>
        <w:numPr>
          <w:numId w:val="79"/>
        </w:numPr>
        <w:spacing w:before="120" w:line="24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 Duz Cho Logging Ltd.&gt; is-a-company incorporated pursuant to the laws of British Columbia.] </w:t>
      </w:r>
      <w:r>
        <w:rPr>
          <w:rFonts w:ascii="arial" w:eastAsia="arial" w:hAnsi="arial" w:cs="arial"/>
          <w:color w:val="000000"/>
          <w:sz w:val="18"/>
          <w:lang w:val="en-US" w:eastAsia="en-US" w:bidi="ar-SA"/>
        </w:rPr>
        <w:t>[Editor's note: Text in brackets is struck out in the original.]</w:t>
      </w:r>
    </w:p>
    <w:p>
      <w:pPr>
        <w:numPr>
          <w:numId w:val="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EKO Logging Ltd., is a company incorporated pursuant to the laws of British Columbia.</w:t>
      </w:r>
    </w:p>
    <w:p>
      <w:pPr>
        <w:numPr>
          <w:numId w:val="8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JEM Industries Inc., is a company incorporated pursuant to the laws of British Columbia.</w:t>
      </w:r>
    </w:p>
    <w:p>
      <w:pPr>
        <w:numPr>
          <w:numId w:val="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J.V.-Logging Ltd, is a company incorporated pursuant to the laws of British' Columbia.</w:t>
      </w:r>
    </w:p>
    <w:p>
      <w:pPr>
        <w:numPr>
          <w:numId w:val="8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M.G. Logging and Sons Ltd., is a company incorporated pursuant to the laws of British Columbia.</w:t>
      </w:r>
    </w:p>
    <w:p>
      <w:pPr>
        <w:numPr>
          <w:numId w:val="8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McLeod Lake Indian Band, is an Indian Band registered pursuant to the Indian Act as Band No. and is represented by its Chief and Council.</w:t>
      </w:r>
    </w:p>
    <w:p>
      <w:pPr>
        <w:numPr>
          <w:numId w:val="8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MJM Forestry Ltd., is a company incorporated pursuant to the laws of British Columbia.</w:t>
      </w:r>
    </w:p>
    <w:p>
      <w:pPr>
        <w:numPr>
          <w:numId w:val="8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SDN Forest Ventures Inc., is a company incorporated pursuant to the laws of British Columbia.</w:t>
      </w:r>
    </w:p>
    <w:p>
      <w:pPr>
        <w:numPr>
          <w:numId w:val="8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Treeco Timber Corp., is a company incorporated pursuant to the laws of British Columbia.</w:t>
      </w:r>
    </w:p>
    <w:p>
      <w:pPr>
        <w:numPr>
          <w:numId w:val="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Timberspan Wood Products Inc., is a company incorporated pursuant to the laws of British Columbia.</w:t>
      </w:r>
    </w:p>
    <w:p>
      <w:pPr>
        <w:numPr>
          <w:numId w:val="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Wayne Telford is a logger who resides in or around Prince George, British Columbia.</w:t>
      </w:r>
    </w:p>
    <w:p>
      <w:pPr>
        <w:numPr>
          <w:numId w:val="9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Loris Bedetti, is a logger who resides in or around Prince George, British Columbia.</w:t>
      </w:r>
    </w:p>
    <w:p>
      <w:pPr>
        <w:numPr>
          <w:numId w:val="9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Arnold Bremner, is a logger who resides in or around Prince George, British Columbia.</w:t>
      </w:r>
    </w:p>
    <w:p>
      <w:pPr>
        <w:numPr>
          <w:numId w:val="9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2nd through 24th Defendants shall be collectively referred to as the Defendant Foresters.</w:t>
      </w:r>
    </w:p>
    <w:p>
      <w:pPr>
        <w:numPr>
          <w:numId w:val="9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At all material times, the Plaintiff is and was the holder of Guiding Territory Certificate No. 700023 (the "Guiding Certificate"), issued by the Crown pursuant to the </w:t>
      </w:r>
      <w:r>
        <w:rPr>
          <w:rFonts w:ascii="arial" w:eastAsia="arial" w:hAnsi="arial" w:cs="arial"/>
          <w:i/>
          <w:color w:val="000000"/>
          <w:sz w:val="20"/>
          <w:lang w:val="en-US" w:eastAsia="en-US" w:bidi="ar-SA"/>
        </w:rPr>
        <w:t>Wildlife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488</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Wildlife Act").</w:t>
      </w:r>
    </w:p>
    <w:p>
      <w:pPr>
        <w:numPr>
          <w:numId w:val="9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At all material times, the Plaintiff is and was the holder of a Registered Trapline, Registration No. TR0716T011 (the "Trapline No. 1"), issued by the Crown pursuant to the </w:t>
      </w:r>
      <w:r>
        <w:rPr>
          <w:rFonts w:ascii="arial" w:eastAsia="arial" w:hAnsi="arial" w:cs="arial"/>
          <w:i/>
          <w:color w:val="000000"/>
          <w:sz w:val="20"/>
          <w:lang w:val="en-US" w:eastAsia="en-US" w:bidi="ar-SA"/>
        </w:rPr>
        <w:t>Wildlife 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27.1 </w:t>
      </w:r>
      <w:r>
        <w:rPr>
          <w:rFonts w:ascii="arial" w:eastAsia="arial" w:hAnsi="arial" w:cs="arial"/>
          <w:color w:val="000000"/>
          <w:sz w:val="20"/>
          <w:u w:val="single"/>
          <w:lang w:val="en-US" w:eastAsia="en-US" w:bidi="ar-SA"/>
        </w:rPr>
        <w:t>In the alternative, at all material times the Plaintiff is and was the holder of TraplineNo. 1 as a trustee for the benefit of McLeod Lake Indian Band and Frederick Inyallie and holds his interest on trust for the said beneficiaries.</w:t>
      </w:r>
    </w:p>
    <w:p>
      <w:pPr>
        <w:numPr>
          <w:numId w:val="9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At all material times, the Plaintiff and Wesley Chingee are and were the holders of a Registered Trapline, Registration No. TR0723T006 (the Trapline No. 2"), issued by the Crown pursuant to the [</w:t>
      </w:r>
      <w:r>
        <w:rPr>
          <w:rFonts w:ascii="arial" w:eastAsia="arial" w:hAnsi="arial" w:cs="arial"/>
          <w:i/>
          <w:color w:val="000000"/>
          <w:sz w:val="20"/>
          <w:lang w:val="en-US" w:eastAsia="en-US" w:bidi="ar-SA"/>
        </w:rPr>
        <w:t>Wildlife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28.1 </w:t>
      </w:r>
      <w:r>
        <w:rPr>
          <w:rFonts w:ascii="arial" w:eastAsia="arial" w:hAnsi="arial" w:cs="arial"/>
          <w:color w:val="000000"/>
          <w:sz w:val="20"/>
          <w:u w:val="single"/>
          <w:lang w:val="en-US" w:eastAsia="en-US" w:bidi="ar-SA"/>
        </w:rPr>
        <w:t>In the alternative, at all material times, the Plaintiff is and was the holder of Trapline No. 2 as a trustee for the benefit of Jim Chingee and Wesley Chingee and holds his interest on trust for the said beneficiaries.</w:t>
      </w:r>
    </w:p>
    <w:p>
      <w:pPr>
        <w:numPr>
          <w:numId w:val="9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At all material times, the Crown was the owner of the lands subject to the Guiding Certificate and the two Traplines (the "Lands").</w:t>
      </w:r>
    </w:p>
    <w:p>
      <w:pPr>
        <w:numPr>
          <w:numId w:val="1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all material times, the Crown operated and continues to operate B.C. Timber Sales to manage the sale of Crown timber on Crown Lands.</w:t>
      </w:r>
    </w:p>
    <w:p>
      <w:pPr>
        <w:numPr>
          <w:numId w:val="1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all material times, the Defendant Foresters were the holders of timber licenses and/or other forms of forestry tenures permitting them to enter upon the Lands and remove various stands of timber.</w:t>
      </w:r>
    </w:p>
    <w:p>
      <w:pPr>
        <w:numPr>
          <w:numId w:val="1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all material times, some or all of the Defendant Foresters also carried on various other forestry activities in relation to the Lands, including but not limited to pest control, road constructions and maintenance.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Claim in Nuisance</w:t>
      </w:r>
      <w:r>
        <w:rPr>
          <w:rFonts w:ascii="arial" w:eastAsia="arial" w:hAnsi="arial" w:cs="arial"/>
          <w:sz w:val="20"/>
          <w:lang w:val="en-US" w:eastAsia="en-US" w:bidi="ar-SA"/>
        </w:rPr>
        <w:cr/>
      </w:r>
    </w:p>
    <w:p>
      <w:pPr>
        <w:numPr>
          <w:numId w:val="1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At all material times, the Plaintiff was the legal and beneficial owner of all of the rights which were attached to the Guiding Certificate including, </w:t>
      </w:r>
      <w:r>
        <w:rPr>
          <w:rFonts w:ascii="arial" w:eastAsia="arial" w:hAnsi="arial" w:cs="arial"/>
          <w:color w:val="000000"/>
          <w:sz w:val="20"/>
          <w:u w:val="single"/>
          <w:lang w:val="en-US" w:eastAsia="en-US" w:bidi="ar-SA"/>
        </w:rPr>
        <w:t>but not limited to the right to obtain a guiding license thus permitting the Plaintiff</w:t>
      </w:r>
      <w:r>
        <w:rPr>
          <w:rFonts w:ascii="arial" w:eastAsia="arial" w:hAnsi="arial" w:cs="arial"/>
          <w:color w:val="000000"/>
          <w:sz w:val="20"/>
          <w:lang w:val="en-US" w:eastAsia="en-US" w:bidi="ar-SA"/>
        </w:rPr>
        <w:t xml:space="preserve"> to enter upon the Lands for the purposes of guiding and the right to profit from his guiding.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33.1 </w:t>
      </w:r>
      <w:r>
        <w:rPr>
          <w:rFonts w:ascii="arial" w:eastAsia="arial" w:hAnsi="arial" w:cs="arial"/>
          <w:color w:val="000000"/>
          <w:sz w:val="20"/>
          <w:u w:val="single"/>
          <w:lang w:val="en-US" w:eastAsia="en-US" w:bidi="ar-SA"/>
        </w:rPr>
        <w:t>At all material times, the Plaintiff was the legal and beneficial owner of all the rights which attach to the guiding licenses granted to him by the Crown.</w:t>
      </w:r>
    </w:p>
    <w:p>
      <w:pPr>
        <w:numPr>
          <w:numId w:val="1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Guiding Certificate granted the Plaintiff exclusive rights over the guiding privileges described in the certificate on the Lands.</w:t>
      </w:r>
    </w:p>
    <w:p>
      <w:pPr>
        <w:numPr>
          <w:numId w:val="1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all material times, the Plaintiff was the legal and beneficial owner of all of the rights which were attached to the two Traplines including, but not limited to the exclusive right to enter upon the Lands for the purposes of trapping and the right to profit from his trapping.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35.1 </w:t>
      </w:r>
      <w:r>
        <w:rPr>
          <w:rFonts w:ascii="arial" w:eastAsia="arial" w:hAnsi="arial" w:cs="arial"/>
          <w:color w:val="000000"/>
          <w:sz w:val="20"/>
          <w:u w:val="single"/>
          <w:lang w:val="en-US" w:eastAsia="en-US" w:bidi="ar-SA"/>
        </w:rPr>
        <w:t>In the alternative, at all material times, as trustee, the Plaintiff was the legal owner of all of the rights which were attached to the two Traplines including, but not limited to the exclusive right to enter upon the Lands for the purposes of trapping and the right to profit from his trapping.</w:t>
      </w:r>
    </w:p>
    <w:p>
      <w:pPr>
        <w:numPr>
          <w:numId w:val="1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premises, the rights possessed by the Plaintiff as the holder of the Guiding Certificate and/or the Traplines constitute a profit a prendre in favour of the Plaintiff.</w:t>
      </w:r>
    </w:p>
    <w:p>
      <w:pPr>
        <w:numPr>
          <w:numId w:val="1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alternative, the rights possessed by the Plaintiff as the holder of the Guiding Certificate and/or the Traplines constitute property rights owned exclusively by the Plaintiff which granted the Plaintiff a substantial degree of use and occupation over the Lands.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37.1 </w:t>
      </w:r>
      <w:r>
        <w:rPr>
          <w:rFonts w:ascii="arial" w:eastAsia="arial" w:hAnsi="arial" w:cs="arial"/>
          <w:color w:val="000000"/>
          <w:sz w:val="20"/>
          <w:u w:val="single"/>
          <w:lang w:val="en-US" w:eastAsia="en-US" w:bidi="ar-SA"/>
        </w:rPr>
        <w:t>In the further alternative, the rights possessed by the Plaintiff as the holder of the Guiding Certificate and/or the Traplines constitute a right to use the Lands.</w:t>
      </w:r>
    </w:p>
    <w:p>
      <w:pPr>
        <w:numPr>
          <w:numId w:val="1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value of the profit a prendre or other property or contractual rights possessed by the Plaintiff is dependent in whole or in part on the availability of game for hunting and trapping, the vitality of the forest, and the amount of forested area on the Lands.</w:t>
      </w:r>
    </w:p>
    <w:p>
      <w:pPr>
        <w:numPr>
          <w:numId w:val="1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From July 2009 to the present time, the Crown has from time to time and continuously throughout the period granted cutting licenses to the Defendant Foresters permitting them the right to enter upon and remove timber from the Lands.</w:t>
      </w:r>
    </w:p>
    <w:p>
      <w:pPr>
        <w:numPr>
          <w:numId w:val="1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From July 2009 to the present time, the Defendant Foresters have from time to time and continuously throughout the period entered upon and removed timber from the Lands. The particulars are as follows: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w:t>
      </w:r>
      <w:r>
        <w:rPr>
          <w:rFonts w:ascii="arial" w:eastAsia="arial" w:hAnsi="arial" w:cs="arial"/>
          <w:color w:val="000000"/>
          <w:sz w:val="18"/>
          <w:lang w:val="en-US" w:eastAsia="en-US" w:bidi="ar-SA"/>
        </w:rPr>
        <w:t>[Editor's note: Text in brackets is struck out in the original.]</w:t>
      </w:r>
      <w:r>
        <w:rPr>
          <w:rFonts w:ascii="arial" w:eastAsia="arial" w:hAnsi="arial" w:cs="arial"/>
          <w:color w:val="000000"/>
          <w:sz w:val="20"/>
          <w:lang w:val="en-US" w:eastAsia="en-US" w:bidi="ar-SA"/>
        </w:rPr>
        <w:t xml:space="preserve"> --Since 2010-and ongoing throughout the period up to-and including the-date of-this action, the Defendant, Canadian Forest Products Ltd, has entered upon and' removed timber from various ports of the Lands including but not limited to that part of the Lands subject to-TFL 30.-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Since 2010-and ongoing throughout the period up to and including the date of this action, the Defendants, Winton Global Lumber Ltd and Lakeland Mills Ltd, hove entered upon and-removed-timber from various parts of the Lands including but not limited to the lands referred to as the "Winton Global and Lakeland Mills operating areas".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 Since 2019-and ongoing throughout the period up to and including the-date of this action, the-Defendant, Conifex Mackenzie Forest Products Inertias entered upon and removed timber from various parts of the Lands.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 Since 2010 and ongoing throughout the period up to and including the date of this action, the Defendant, Mackenzie Fibre Management Corporation, has entered upon and removed timber from various parts of the Lands including-but not limited to that part of the Lands subject to FLTC A87345.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 Since 2008 and ongoing throughout the period up to and including the date of this action, the Defendants, Duz Cho Logging Ltd and McLeod Lake Indian Band, have entered upon and removed-timber from various parts-of the-Lands including but not limited to-that part-of the Lands subject to TFL 30.'</w:t>
      </w:r>
    </w:p>
    <w:p>
      <w:pPr>
        <w:numPr>
          <w:numId w:val="1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Between March 25, 2010, and June 25, 2013, the Defendant, EKO Logging Ltd, entered upon and removed timber from that part of the Lands subject to TSL A85802.</w:t>
      </w:r>
    </w:p>
    <w:p>
      <w:pPr>
        <w:numPr>
          <w:numId w:val="1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Between July 22, 2010, and </w:t>
      </w:r>
      <w:r>
        <w:rPr>
          <w:rFonts w:ascii="arial" w:eastAsia="arial" w:hAnsi="arial" w:cs="arial"/>
          <w:color w:val="000000"/>
          <w:sz w:val="20"/>
          <w:u w:val="single"/>
          <w:lang w:val="en-US" w:eastAsia="en-US" w:bidi="ar-SA"/>
        </w:rPr>
        <w:t>Mav 4. 2011,</w:t>
      </w:r>
      <w:r>
        <w:rPr>
          <w:rFonts w:ascii="arial" w:eastAsia="arial" w:hAnsi="arial" w:cs="arial"/>
          <w:color w:val="000000"/>
          <w:sz w:val="20"/>
          <w:lang w:val="en-US" w:eastAsia="en-US" w:bidi="ar-SA"/>
        </w:rPr>
        <w:t xml:space="preserve"> the Defendant, Wayne Graham Telford, entered upon and removed timber from that part of the Lands subject to TSL A84867.</w:t>
      </w:r>
    </w:p>
    <w:p>
      <w:pPr>
        <w:numPr>
          <w:numId w:val="1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1 </w:t>
      </w:r>
      <w:r>
        <w:rPr>
          <w:rFonts w:ascii="arial" w:eastAsia="arial" w:hAnsi="arial" w:cs="arial"/>
          <w:color w:val="000000"/>
          <w:sz w:val="20"/>
          <w:u w:val="single"/>
          <w:lang w:val="en-US" w:eastAsia="en-US" w:bidi="ar-SA"/>
        </w:rPr>
        <w:t>After Mav 4. 2011, and continuing to the present, the Defendant. Hartwood Holdings Ltd. has entered upon and removed timber from that part of the Lands subject to TSL A84867.</w:t>
      </w:r>
    </w:p>
    <w:p>
      <w:pPr>
        <w:numPr>
          <w:numId w:val="1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Between October 21, 2011, and October 11, 2012, the Defendant, 0813090 BC Ltd, entered upon and removed timber from that part of the Lands subject to TSL A84919.</w:t>
      </w:r>
    </w:p>
    <w:p>
      <w:pPr>
        <w:numPr>
          <w:numId w:val="1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Since December 19, 2011, the Defendant, 550031 BC Ltd, entered upon and removed timber from that part of the Lands subject to TSL A87623.</w:t>
      </w:r>
    </w:p>
    <w:p>
      <w:pPr>
        <w:numPr>
          <w:numId w:val="1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Between March 31, 2010 and March 30, 2012, the Defendant, Loris Bedetti, entered upon and removed timber from that part of the Lands subject to TSL A84362,</w:t>
      </w:r>
    </w:p>
    <w:p>
      <w:pPr>
        <w:numPr>
          <w:numId w:val="1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Between April 9, 2010 and May 8, 2012, the Defendant, Arnold Joseph Bremner, entered upon and removed timber from that part of the Lands subject to TSL A84865.</w:t>
      </w:r>
    </w:p>
    <w:p>
      <w:pPr>
        <w:numPr>
          <w:numId w:val="1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Between January 4, 2011, and July 3, 2012, the Defendant, Treeco Timber Corp, entered upon and removed timber from that part of the Lands subject to TSL A85832.</w:t>
      </w:r>
    </w:p>
    <w:p>
      <w:pPr>
        <w:numPr>
          <w:numId w:val="1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Between March 17, 2010 and March 16, 2012, the Defendant, Dig Deep Ventures Inc., entered upon and removed timber from that part of the Lands subject to TSL A84864.</w:t>
      </w:r>
    </w:p>
    <w:p>
      <w:pPr>
        <w:numPr>
          <w:numId w:val="1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Between April 27, 2011 and December 13, 2012, the Defendant, Dig Deep Ventures Inc., entered upon and removed timber from that part of the Lands subject to TSL A87613.</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n.1 </w:t>
      </w:r>
      <w:r>
        <w:rPr>
          <w:rFonts w:ascii="arial" w:eastAsia="arial" w:hAnsi="arial" w:cs="arial"/>
          <w:color w:val="000000"/>
          <w:sz w:val="20"/>
          <w:u w:val="single"/>
          <w:lang w:val="en-US" w:eastAsia="en-US" w:bidi="ar-SA"/>
        </w:rPr>
        <w:t>After December 13. 2012, the Defendant MJM Forestry Ltd entered upon and removed timber from that part of the Lands subject to TSL A87613.</w:t>
      </w:r>
    </w:p>
    <w:p>
      <w:pPr>
        <w:numPr>
          <w:numId w:val="1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Between March 17, 2011 and March 16, 2013, the Defendant, Dig Deep Ventures Inc, entered upon and removed timber from that part of the Lands subject to TSL A84488.</w:t>
      </w:r>
    </w:p>
    <w:p>
      <w:pPr>
        <w:numPr>
          <w:numId w:val="1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Between December 2, 2011 and May 1, 2013, the Defendant, Timberspan Wood Products Inc, entered upon and removed timber from that part of the Lands subject to TSL A88372.</w:t>
      </w:r>
    </w:p>
    <w:p>
      <w:pPr>
        <w:numPr>
          <w:numId w:val="1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Between January 27, 2011, and July 26, 2012, the Defendant, JEM Industries Inc, entered upon and removed timber from that part of the Lands subject to TSL A88218.</w:t>
      </w:r>
    </w:p>
    <w:p>
      <w:pPr>
        <w:numPr>
          <w:numId w:val="1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Between October 18, 2010, and November 17, 2012, the Defendant, MJM Forestry Ltd, entered upon and removed timber from that part of the Lands subject to TSL A85833.</w:t>
      </w:r>
    </w:p>
    <w:p>
      <w:pPr>
        <w:numPr>
          <w:numId w:val="1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Since November 2, 2012, the Defendant, M,G. Logging &amp;Sons Ltd, has entered upon and removed timber from that part of the Lands subject to TSL A88847.</w:t>
      </w:r>
    </w:p>
    <w:p>
      <w:pPr>
        <w:numPr>
          <w:numId w:val="1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Since January 8, 2013, the Defendant, M.G. Logging &amp; Sons Ltd, has entered upon and removed timber from that part of the Lands subject to TSL A88559.</w:t>
      </w:r>
    </w:p>
    <w:p>
      <w:pPr>
        <w:numPr>
          <w:numId w:val="1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Since 2013, the Defendant, J.V. Logging Ltd, has entered upon and removed timber from that part of the Lands subject to TSL A88473.</w:t>
      </w:r>
    </w:p>
    <w:p>
      <w:pPr>
        <w:numPr>
          <w:numId w:val="1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Between December 1, 2010 and </w:t>
      </w:r>
      <w:r>
        <w:rPr>
          <w:rFonts w:ascii="arial" w:eastAsia="arial" w:hAnsi="arial" w:cs="arial"/>
          <w:color w:val="000000"/>
          <w:sz w:val="20"/>
          <w:u w:val="single"/>
          <w:lang w:val="en-US" w:eastAsia="en-US" w:bidi="ar-SA"/>
        </w:rPr>
        <w:t>March 24, 2011,</w:t>
      </w:r>
      <w:r>
        <w:rPr>
          <w:rFonts w:ascii="arial" w:eastAsia="arial" w:hAnsi="arial" w:cs="arial"/>
          <w:color w:val="000000"/>
          <w:sz w:val="20"/>
          <w:lang w:val="en-US" w:eastAsia="en-US" w:bidi="ar-SA"/>
        </w:rPr>
        <w:t xml:space="preserve"> the Defendant, SDN Forest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Ventures Inc., entered upon and removed timber from that part of the Lands subject to TSL A86214.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v.1 </w:t>
      </w:r>
      <w:r>
        <w:rPr>
          <w:rFonts w:ascii="arial" w:eastAsia="arial" w:hAnsi="arial" w:cs="arial"/>
          <w:color w:val="000000"/>
          <w:sz w:val="20"/>
          <w:u w:val="single"/>
          <w:lang w:val="en-US" w:eastAsia="en-US" w:bidi="ar-SA"/>
        </w:rPr>
        <w:t>After March 24. 2011 and continuing through to the present, the Defendant, All Wood Fibre Ltd has entered upon and removed timber from that part of the Lands subject to TSL A86214.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W-Since July 15, 2011/the Defendant Dollar Saver Lumber Ltd, has entered upon and removed timber from that port of the Lands subject to TSL A84917.</w:t>
      </w:r>
    </w:p>
    <w:p>
      <w:pPr>
        <w:numPr>
          <w:numId w:val="1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Although the Crown </w:t>
      </w:r>
      <w:r>
        <w:rPr>
          <w:rFonts w:ascii="arial" w:eastAsia="arial" w:hAnsi="arial" w:cs="arial"/>
          <w:color w:val="000000"/>
          <w:sz w:val="20"/>
          <w:u w:val="single"/>
          <w:lang w:val="en-US" w:eastAsia="en-US" w:bidi="ar-SA"/>
        </w:rPr>
        <w:t>purported to act</w:t>
      </w:r>
      <w:r>
        <w:rPr>
          <w:rFonts w:ascii="arial" w:eastAsia="arial" w:hAnsi="arial" w:cs="arial"/>
          <w:color w:val="000000"/>
          <w:sz w:val="20"/>
          <w:lang w:val="en-US" w:eastAsia="en-US" w:bidi="ar-SA"/>
        </w:rPr>
        <w:t xml:space="preserve"> pursuant to statutory authority in granting timber licenses to the Defendant Foresters, the Crown exceeded this statutory authority. In particular, </w:t>
      </w:r>
      <w:r>
        <w:rPr>
          <w:rFonts w:ascii="arial" w:eastAsia="arial" w:hAnsi="arial" w:cs="arial"/>
          <w:color w:val="000000"/>
          <w:sz w:val="20"/>
          <w:u w:val="single"/>
          <w:lang w:val="en-US" w:eastAsia="en-US" w:bidi="ar-SA"/>
        </w:rPr>
        <w:t>the Crown has authority to grant timber licenses; but by implication of the statutory regime permitting the use of Crown lands and Crown resources by various licensees the Crown cannot not grant such licenses without accommodation, consultation and consideration of the proprietary and other interests of other license holders using the same lands, including the Plaintiff's proprietary and other interests in relation to the Lands that are the subject of this proceeding or. in the alternative, without requiring accommodation, consultation and consideration of the proprietary and other interests of other license holders using the same lands, including the Plaintiff's proprietary and other interests in relation to the Lands that are the subject of this proceeding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40.1 </w:t>
      </w:r>
      <w:r>
        <w:rPr>
          <w:rFonts w:ascii="arial" w:eastAsia="arial" w:hAnsi="arial" w:cs="arial"/>
          <w:color w:val="000000"/>
          <w:sz w:val="20"/>
          <w:u w:val="single"/>
          <w:lang w:val="en-US" w:eastAsia="en-US" w:bidi="ar-SA"/>
        </w:rPr>
        <w:t>The Crown permitted the Defendant Foresters to enter upon and remove timber from the Lands without accommodation, consultation and consideration of the Plaintiff's proprietary and other interests, or without requiring accommodation, consultation and consideration the consideration of the Plaintiff's proprietary and other interests</w:t>
      </w:r>
    </w:p>
    <w:p>
      <w:pPr>
        <w:numPr>
          <w:numId w:val="1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By permitting the Defendant Foresters to enter upon and remove timber from the Lands without accommodation, consultation and consideration of the Plaintiff's proprietary and other interests, or without requiring accommodation, consultation and consideration the consideration of the Plaintiff's proprietary and other interests, the Crown has unreasonably or unlawfully interfered with and injured the Plaintiff's profit a prendre, other property rights, or right to use the Lands and has interrupted and substantially interfered with the Plaintiff's business interests associated with those rights and the right to use the Lands.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42.1 </w:t>
      </w:r>
      <w:r>
        <w:rPr>
          <w:rFonts w:ascii="arial" w:eastAsia="arial" w:hAnsi="arial" w:cs="arial"/>
          <w:color w:val="000000"/>
          <w:sz w:val="20"/>
          <w:u w:val="single"/>
          <w:lang w:val="en-US" w:eastAsia="en-US" w:bidi="ar-SA"/>
        </w:rPr>
        <w:t>Furthermore, and in the alternative, the Crown by its actions described above has effectively extinguished the proprietary and other rights of the Plaintiff without lawful authority to do so.</w:t>
      </w:r>
    </w:p>
    <w:p>
      <w:pPr>
        <w:numPr>
          <w:numId w:val="1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Although the Defendant Foresters entered upon and removed timber from the Lands pursuant to timber licenses which were validly granted to them by the Crown, </w:t>
      </w:r>
      <w:r>
        <w:rPr>
          <w:rFonts w:ascii="arial" w:eastAsia="arial" w:hAnsi="arial" w:cs="arial"/>
          <w:i/>
          <w:color w:val="000000"/>
          <w:sz w:val="20"/>
          <w:lang w:val="en-US" w:eastAsia="en-US" w:bidi="ar-SA"/>
        </w:rPr>
        <w:t>the Defendants Foresters did so without accommodation, consultation or consideration of the Plaintiff or the Plaintiff's proprietary and other interests.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43.1 </w:t>
      </w:r>
      <w:r>
        <w:rPr>
          <w:rFonts w:ascii="arial" w:eastAsia="arial" w:hAnsi="arial" w:cs="arial"/>
          <w:color w:val="000000"/>
          <w:sz w:val="20"/>
          <w:u w:val="single"/>
          <w:lang w:val="en-US" w:eastAsia="en-US" w:bidi="ar-SA"/>
        </w:rPr>
        <w:t>Furthermore, the Defendant Foresters while carrying out the activities permitted by license, have reduced the wildlife on the Lands, compromised the vitality of the forest on the Lands and reduced the amount of forested area on the Lands.</w:t>
      </w:r>
    </w:p>
    <w:p>
      <w:pPr>
        <w:numPr>
          <w:numId w:val="1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Furthermore</w:t>
      </w:r>
      <w:r>
        <w:rPr>
          <w:rFonts w:ascii="arial" w:eastAsia="arial" w:hAnsi="arial" w:cs="arial"/>
          <w:color w:val="000000"/>
          <w:sz w:val="20"/>
          <w:lang w:val="en-US" w:eastAsia="en-US" w:bidi="ar-SA"/>
        </w:rPr>
        <w:t xml:space="preserve">, while conducting their business activities, the Defendant Foresters have </w:t>
      </w:r>
      <w:r>
        <w:rPr>
          <w:rFonts w:ascii="arial" w:eastAsia="arial" w:hAnsi="arial" w:cs="arial"/>
          <w:color w:val="000000"/>
          <w:sz w:val="20"/>
          <w:u w:val="single"/>
          <w:lang w:val="en-US" w:eastAsia="en-US" w:bidi="ar-SA"/>
        </w:rPr>
        <w:t>unreasonably and unlawfully</w:t>
      </w:r>
      <w:r>
        <w:rPr>
          <w:rFonts w:ascii="arial" w:eastAsia="arial" w:hAnsi="arial" w:cs="arial"/>
          <w:color w:val="000000"/>
          <w:sz w:val="20"/>
          <w:lang w:val="en-US" w:eastAsia="en-US" w:bidi="ar-SA"/>
        </w:rPr>
        <w:t xml:space="preserve"> interfered with the Plaintiff's two Traplines.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44.1 </w:t>
      </w:r>
      <w:r>
        <w:rPr>
          <w:rFonts w:ascii="arial" w:eastAsia="arial" w:hAnsi="arial" w:cs="arial"/>
          <w:color w:val="000000"/>
          <w:sz w:val="20"/>
          <w:u w:val="single"/>
          <w:lang w:val="en-US" w:eastAsia="en-US" w:bidi="ar-SA"/>
        </w:rPr>
        <w:t>The authority granted to the Defendant Foresters to enter upon and remove timber from the Lands did not permit them to enter upon the Lands and remove timber from the lands and conduct their otherwise licensed activities on the Lands without accommodation of consultation of and consideration of the Plaintiff's proprietary and other interest and in such a wayFF as to unreasonably interfere with the Plaintiff's proprietary and other interests.</w:t>
      </w:r>
    </w:p>
    <w:p>
      <w:pPr>
        <w:numPr>
          <w:numId w:val="1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By their actions, the Defendant Foresters have </w:t>
      </w:r>
      <w:r>
        <w:rPr>
          <w:rFonts w:ascii="arial" w:eastAsia="arial" w:hAnsi="arial" w:cs="arial"/>
          <w:color w:val="000000"/>
          <w:sz w:val="20"/>
          <w:u w:val="single"/>
          <w:lang w:val="en-US" w:eastAsia="en-US" w:bidi="ar-SA"/>
        </w:rPr>
        <w:t>unreasonably and unlawfully</w:t>
      </w:r>
      <w:r>
        <w:rPr>
          <w:rFonts w:ascii="arial" w:eastAsia="arial" w:hAnsi="arial" w:cs="arial"/>
          <w:color w:val="000000"/>
          <w:sz w:val="20"/>
          <w:lang w:val="en-US" w:eastAsia="en-US" w:bidi="ar-SA"/>
        </w:rPr>
        <w:t xml:space="preserve"> interfered with and injured the Plaintiff's profit a prendre, </w:t>
      </w:r>
      <w:r>
        <w:rPr>
          <w:rFonts w:ascii="arial" w:eastAsia="arial" w:hAnsi="arial" w:cs="arial"/>
          <w:color w:val="000000"/>
          <w:sz w:val="20"/>
          <w:u w:val="single"/>
          <w:lang w:val="en-US" w:eastAsia="en-US" w:bidi="ar-SA"/>
        </w:rPr>
        <w:t>other property rights, or right to use the Lands</w:t>
      </w:r>
      <w:r>
        <w:rPr>
          <w:rFonts w:ascii="arial" w:eastAsia="arial" w:hAnsi="arial" w:cs="arial"/>
          <w:color w:val="000000"/>
          <w:sz w:val="20"/>
          <w:lang w:val="en-US" w:eastAsia="en-US" w:bidi="ar-SA"/>
        </w:rPr>
        <w:t xml:space="preserve"> and have interrupted and substantially interfered with the Plaintiff's business interests associated with those rights </w:t>
      </w:r>
      <w:r>
        <w:rPr>
          <w:rFonts w:ascii="arial" w:eastAsia="arial" w:hAnsi="arial" w:cs="arial"/>
          <w:color w:val="000000"/>
          <w:sz w:val="20"/>
          <w:u w:val="single"/>
          <w:lang w:val="en-US" w:eastAsia="en-US" w:bidi="ar-SA"/>
        </w:rPr>
        <w:t>and the right to use the Lands.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45.1 </w:t>
      </w:r>
      <w:r>
        <w:rPr>
          <w:rFonts w:ascii="arial" w:eastAsia="arial" w:hAnsi="arial" w:cs="arial"/>
          <w:color w:val="000000"/>
          <w:sz w:val="20"/>
          <w:u w:val="single"/>
          <w:lang w:val="en-US" w:eastAsia="en-US" w:bidi="ar-SA"/>
        </w:rPr>
        <w:t>Furthermore, and in the alternative, the Defendant Foresters by their actions have effectively extinguished the proprietary and other rights of the Plaintiff without lawful authority to do so.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45.2 </w:t>
      </w:r>
      <w:r>
        <w:rPr>
          <w:rFonts w:ascii="arial" w:eastAsia="arial" w:hAnsi="arial" w:cs="arial"/>
          <w:color w:val="000000"/>
          <w:sz w:val="20"/>
          <w:u w:val="single"/>
          <w:lang w:val="en-US" w:eastAsia="en-US" w:bidi="ar-SA"/>
        </w:rPr>
        <w:t>The Crown, being the owner of the Lands subject to the Guiding Certificates, the two Traplines and the various timber licenses granted to the Defendant Foresters, knew or ought to have known or ought to have reasonably foreseen that the activities of the Defendant Foresters, If permitted by the Crown, could substantially interfere with the Plaintiff's profit a prendre, other property rights, or right to use the Lands and has interrupted and substantially interfered with the Plaintiff's business interests associated with those rights and the Plaintiff's right to use the Lands.</w:t>
      </w:r>
    </w:p>
    <w:p>
      <w:pPr>
        <w:numPr>
          <w:numId w:val="1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premises, the Crown and Defendant Foresters have unreasonably and substantially interfered with the profit a prendre, </w:t>
      </w:r>
      <w:r>
        <w:rPr>
          <w:rFonts w:ascii="arial" w:eastAsia="arial" w:hAnsi="arial" w:cs="arial"/>
          <w:color w:val="000000"/>
          <w:sz w:val="20"/>
          <w:u w:val="single"/>
          <w:lang w:val="en-US" w:eastAsia="en-US" w:bidi="ar-SA"/>
        </w:rPr>
        <w:t>other property rights, or right of the Plaintiff to use the Lands</w:t>
      </w:r>
      <w:r>
        <w:rPr>
          <w:rFonts w:ascii="arial" w:eastAsia="arial" w:hAnsi="arial" w:cs="arial"/>
          <w:color w:val="000000"/>
          <w:sz w:val="20"/>
          <w:lang w:val="en-US" w:eastAsia="en-US" w:bidi="ar-SA"/>
        </w:rPr>
        <w:t xml:space="preserve"> and have thereby committed a nuisance </w:t>
      </w:r>
      <w:r>
        <w:rPr>
          <w:rFonts w:ascii="arial" w:eastAsia="arial" w:hAnsi="arial" w:cs="arial"/>
          <w:color w:val="000000"/>
          <w:sz w:val="20"/>
          <w:u w:val="single"/>
          <w:lang w:val="en-US" w:eastAsia="en-US" w:bidi="ar-SA"/>
        </w:rPr>
        <w:t>and/or other unlawful acts</w:t>
      </w:r>
      <w:r>
        <w:rPr>
          <w:rFonts w:ascii="arial" w:eastAsia="arial" w:hAnsi="arial" w:cs="arial"/>
          <w:color w:val="000000"/>
          <w:sz w:val="20"/>
          <w:lang w:val="en-US" w:eastAsia="en-US" w:bidi="ar-SA"/>
        </w:rPr>
        <w:t xml:space="preserve"> in relation to the Plaintiff's profit a prendre, </w:t>
      </w:r>
      <w:r>
        <w:rPr>
          <w:rFonts w:ascii="arial" w:eastAsia="arial" w:hAnsi="arial" w:cs="arial"/>
          <w:color w:val="000000"/>
          <w:sz w:val="20"/>
          <w:u w:val="single"/>
          <w:lang w:val="en-US" w:eastAsia="en-US" w:bidi="ar-SA"/>
        </w:rPr>
        <w:t>other property rights or right to use the Lands.</w:t>
      </w:r>
    </w:p>
    <w:p>
      <w:pPr>
        <w:numPr>
          <w:numId w:val="1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a result of the ongoing nuisances and other unlawful acts created by and caused by the Crown and the Defendant Foresters, the Plaintiff has suffered loss and damage.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Claim in </w:t>
      </w:r>
      <w:r>
        <w:rPr>
          <w:rFonts w:ascii="arial" w:eastAsia="arial" w:hAnsi="arial" w:cs="arial"/>
          <w:b/>
          <w:i/>
          <w:color w:val="000000"/>
          <w:sz w:val="20"/>
          <w:u w:val="single"/>
          <w:lang w:val="en-US" w:eastAsia="en-US" w:bidi="ar-SA"/>
        </w:rPr>
        <w:t>Negligence</w:t>
      </w:r>
    </w:p>
    <w:p>
      <w:pPr>
        <w:numPr>
          <w:numId w:val="17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addition, the Crown</w:t>
      </w:r>
      <w:r>
        <w:rPr>
          <w:rFonts w:ascii="arial" w:eastAsia="arial" w:hAnsi="arial" w:cs="arial"/>
          <w:color w:val="000000"/>
          <w:sz w:val="20"/>
          <w:u w:val="single"/>
          <w:lang w:val="en-US" w:eastAsia="en-US" w:bidi="ar-SA"/>
        </w:rPr>
        <w:t>, its agents and its servants,</w:t>
      </w:r>
      <w:r>
        <w:rPr>
          <w:rFonts w:ascii="arial" w:eastAsia="arial" w:hAnsi="arial" w:cs="arial"/>
          <w:color w:val="000000"/>
          <w:sz w:val="20"/>
          <w:lang w:val="en-US" w:eastAsia="en-US" w:bidi="ar-SA"/>
        </w:rPr>
        <w:t xml:space="preserve"> knew or ought to have known that the harvesting activities of the Defendant Foresters which were permitted by the Crown could cause damage to the Plaintiff and the business interests of the Plaintiff.</w:t>
      </w:r>
    </w:p>
    <w:p>
      <w:pPr>
        <w:numPr>
          <w:numId w:val="17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Moreover, the damage that could result from the harvesting activities of the Defendant Foresters was a reasonably foreseeable consequence of such activities.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49.1 </w:t>
      </w:r>
      <w:r>
        <w:rPr>
          <w:rFonts w:ascii="arial" w:eastAsia="arial" w:hAnsi="arial" w:cs="arial"/>
          <w:color w:val="000000"/>
          <w:sz w:val="20"/>
          <w:u w:val="single"/>
          <w:lang w:val="en-US" w:eastAsia="en-US" w:bidi="ar-SA"/>
        </w:rPr>
        <w:t>The potential damage to the Plaintiff's interests caused by use of the lands by other tenure holders such as the Defendant Foresters was so clearly apparent that the Crown has itself published policies relating to the management of resource conflicts between tenure holders.</w:t>
      </w:r>
    </w:p>
    <w:p>
      <w:pPr>
        <w:numPr>
          <w:numId w:val="1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premises, the Crown</w:t>
      </w:r>
      <w:r>
        <w:rPr>
          <w:rFonts w:ascii="arial" w:eastAsia="arial" w:hAnsi="arial" w:cs="arial"/>
          <w:color w:val="000000"/>
          <w:sz w:val="20"/>
          <w:u w:val="single"/>
          <w:lang w:val="en-US" w:eastAsia="en-US" w:bidi="ar-SA"/>
        </w:rPr>
        <w:t>, its agents and its servants,</w:t>
      </w:r>
      <w:r>
        <w:rPr>
          <w:rFonts w:ascii="arial" w:eastAsia="arial" w:hAnsi="arial" w:cs="arial"/>
          <w:color w:val="000000"/>
          <w:sz w:val="20"/>
          <w:lang w:val="en-US" w:eastAsia="en-US" w:bidi="ar-SA"/>
        </w:rPr>
        <w:t xml:space="preserve"> owed a duty of care to the Plaintiff to take all reasonable steps to ensure that the Plaintiff and the business interests of the Plaintiff were not harmed by the Defendant Foresters' harvesting activities.</w:t>
      </w:r>
    </w:p>
    <w:p>
      <w:pPr>
        <w:numPr>
          <w:numId w:val="1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Crown, </w:t>
      </w:r>
      <w:r>
        <w:rPr>
          <w:rFonts w:ascii="arial" w:eastAsia="arial" w:hAnsi="arial" w:cs="arial"/>
          <w:color w:val="000000"/>
          <w:sz w:val="20"/>
          <w:u w:val="single"/>
          <w:lang w:val="en-US" w:eastAsia="en-US" w:bidi="ar-SA"/>
        </w:rPr>
        <w:t>its agents and servants,</w:t>
      </w:r>
      <w:r>
        <w:rPr>
          <w:rFonts w:ascii="arial" w:eastAsia="arial" w:hAnsi="arial" w:cs="arial"/>
          <w:color w:val="000000"/>
          <w:sz w:val="20"/>
          <w:lang w:val="en-US" w:eastAsia="en-US" w:bidi="ar-SA"/>
        </w:rPr>
        <w:t xml:space="preserve"> failed to take reasonable steps to ensure that the Plaintiff and the business interests of the Plaintiff were not harmed by the harvesting activities of the Defendant Foresters.</w:t>
      </w:r>
    </w:p>
    <w:p>
      <w:pPr>
        <w:numPr>
          <w:numId w:val="1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Crown</w:t>
      </w:r>
      <w:r>
        <w:rPr>
          <w:rFonts w:ascii="arial" w:eastAsia="arial" w:hAnsi="arial" w:cs="arial"/>
          <w:color w:val="000000"/>
          <w:sz w:val="20"/>
          <w:u w:val="single"/>
          <w:lang w:val="en-US" w:eastAsia="en-US" w:bidi="ar-SA"/>
        </w:rPr>
        <w:t>, its agents and servants,</w:t>
      </w:r>
      <w:r>
        <w:rPr>
          <w:rFonts w:ascii="arial" w:eastAsia="arial" w:hAnsi="arial" w:cs="arial"/>
          <w:color w:val="000000"/>
          <w:sz w:val="20"/>
          <w:lang w:val="en-US" w:eastAsia="en-US" w:bidi="ar-SA"/>
        </w:rPr>
        <w:t xml:space="preserve"> has caused and continues to cause damage to the Plaintiff and the business interests of the Plaintiff. In particular, as a result of the harvesting activities of the Defendant Foresters, the lands subject to the Guiding Certificate and two Traplines and the business interests of the Plaintiff have diminished in their value.</w:t>
      </w:r>
    </w:p>
    <w:p>
      <w:pPr>
        <w:numPr>
          <w:numId w:val="1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Each of the Defendant Foresters individually also knew, or ought to have known, </w:t>
      </w:r>
      <w:r>
        <w:rPr>
          <w:rFonts w:ascii="arial" w:eastAsia="arial" w:hAnsi="arial" w:cs="arial"/>
          <w:color w:val="000000"/>
          <w:sz w:val="20"/>
          <w:u w:val="single"/>
          <w:lang w:val="en-US" w:eastAsia="en-US" w:bidi="ar-SA"/>
        </w:rPr>
        <w:t>or ought to have reasonably known</w:t>
      </w:r>
      <w:r>
        <w:rPr>
          <w:rFonts w:ascii="arial" w:eastAsia="arial" w:hAnsi="arial" w:cs="arial"/>
          <w:color w:val="000000"/>
          <w:sz w:val="20"/>
          <w:lang w:val="en-US" w:eastAsia="en-US" w:bidi="ar-SA"/>
        </w:rPr>
        <w:t xml:space="preserve"> that their harvesting activities could cause damage to the Plaintiff and the business interests of the Plaintiff.</w:t>
      </w:r>
    </w:p>
    <w:p>
      <w:pPr>
        <w:numPr>
          <w:numId w:val="1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Moreover, the damage that could result from their harvesting activities was a reasonable foreseeable consequence of their harvesting activities.</w:t>
      </w:r>
    </w:p>
    <w:p>
      <w:pPr>
        <w:numPr>
          <w:numId w:val="17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premises, each of the Defendant Foresters individually owed a duty of care to the Plaintiff to take ail reasonable steps to ensure that the Plaintiff and the business interests of the Plaintiff were not harmed by their harvesting activities.</w:t>
      </w:r>
    </w:p>
    <w:p>
      <w:pPr>
        <w:numPr>
          <w:numId w:val="1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Each of the Defendant Foresters individually failed to take all reasonable steps to ensure that the Plaintiff and the business activities of the Plaintiff were not harmed by their harvesting activities.</w:t>
      </w:r>
    </w:p>
    <w:p>
      <w:pPr>
        <w:numPr>
          <w:numId w:val="1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each of the Defendant Foresters individually has caused and continues to cause damage to the Plaintiff and the business interests of the Plaintiff. In particular, as a result of the harvesting activities of the Defendant Foresters individually, the lands subject to the Guiding Certificate and two Traplines and the business interests of the Plaintiff have diminished in their value.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Claim in Breach of Contract</w:t>
      </w:r>
    </w:p>
    <w:p>
      <w:pPr>
        <w:numPr>
          <w:numId w:val="1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The license agreements granted to the Plaintiff by the Crown necessarily contained an implied contractual duty of good faith on the part of the Crown not to act in such a way that its acts would defeat the very purpose and objective of the license agreements.</w:t>
      </w:r>
    </w:p>
    <w:p>
      <w:pPr>
        <w:numPr>
          <w:numId w:val="18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The Crown failed to perform this contractual duty when it granted timber harvest licenses to the Defendant Foresters. In particular, the Crown breached this duty as follows:</w:t>
      </w:r>
    </w:p>
    <w:p>
      <w:pPr>
        <w:numPr>
          <w:numId w:val="1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by granting licenses to the Defendant Foresters without consideration of the rights and interests of the Plaintiff and by allowing them to cut all the timber and render the land unusable for the Plaintiff.</w:t>
      </w:r>
    </w:p>
    <w:p>
      <w:pPr>
        <w:numPr>
          <w:numId w:val="183"/>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by granting licenses to the Defendant Foresters without regulating other users of the Lands in such a wav as to reasonably protect the interests of the Plaintiff and to reasonably prevent fundamental, substantial, and irreparable harm to the property rights and business interests of the Plaintiff including but not limited to his right to use of the land.</w:t>
      </w:r>
    </w:p>
    <w:p>
      <w:pPr>
        <w:numPr>
          <w:numId w:val="184"/>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By granting licenses to the Defendant Foresters without taking reasonable steps to ensure that the other tenure holders using the same Lands, including but not limited to the Defendant Foresters, would consult with and accommodate the rights and interests of the Plaintiff.</w:t>
      </w:r>
    </w:p>
    <w:p>
      <w:pPr>
        <w:numPr>
          <w:numId w:val="18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By granting licenses to the Defendant Foresters without requiring compensation for the destruction and substantial interference of the Plaintiffs property rights and right to use the land.</w:t>
      </w:r>
    </w:p>
    <w:p>
      <w:pPr>
        <w:numPr>
          <w:numId w:val="18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As a result of the Crown's breach of contract, the Plaintiff has suffered and will suffer loss and damage including but not limited to loss of income and loss of suitable guiding and trapping territory.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Claim for Breach of Fiduciary Duty</w:t>
      </w:r>
    </w:p>
    <w:p>
      <w:pPr>
        <w:numPr>
          <w:numId w:val="18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By consent of the McLeod Lake Indian Band, the Plaintiff holds Trapline No. 1 in part for and on behalf of the McLeod Lake Indian Band and has been granted the right to exercise the band's rights in relation to the territory subject to this trapline.</w:t>
      </w:r>
    </w:p>
    <w:p>
      <w:pPr>
        <w:numPr>
          <w:numId w:val="1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In addition or in the alternative, all aboriginal rights held by the McLeod Lake Indian Band in relation to the subject lands are exercised by the Plaintiff or have been assigned to the Plaintiff.</w:t>
      </w:r>
    </w:p>
    <w:p>
      <w:pPr>
        <w:numPr>
          <w:numId w:val="1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In the premises, the Plaintiff has a vested interest in the protection of the rights accruing to the McLeod Lake Indian Band giving the Plaintiff the right to assert rights on behalf of the McLeod Lake Indian Band.</w:t>
      </w:r>
    </w:p>
    <w:p>
      <w:pPr>
        <w:numPr>
          <w:numId w:val="19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At all material times, the Crown knew or ought to have known that the Plaintiff held Trapline No. 1 in trust for the McLeod Lake Indian Band and has been granted the right to exercise the band's rights in relation to the territory subject to the trapline.</w:t>
      </w:r>
    </w:p>
    <w:p>
      <w:pPr>
        <w:numPr>
          <w:numId w:val="19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At all material times, the Crown knew or ought to have known that all aboriginal rights held by the McLeod Lake Indian Band in relation the subject lands are exercised by the Plaintiff or have been assigned to the Plaintiff.</w:t>
      </w:r>
    </w:p>
    <w:p>
      <w:pPr>
        <w:numPr>
          <w:numId w:val="19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In the premises, the Crown had a duty or an obligation, or both, to meaningfully consult the Plaintiff on behalf of the McLeod Lake Indian Band prior to granting timber harvesting licenses to the Defendant Foresters.</w:t>
      </w:r>
    </w:p>
    <w:p>
      <w:pPr>
        <w:numPr>
          <w:numId w:val="19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The Crown has failed to undertake any consultation prior to granting the timber harvesting licenses.</w:t>
      </w:r>
    </w:p>
    <w:p>
      <w:pPr>
        <w:numPr>
          <w:numId w:val="19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In the circumstances, the Crown has breached its duties to both the Plaintiff and the McLeod Lake Indian Band.</w:t>
      </w:r>
    </w:p>
    <w:p>
      <w:pPr>
        <w:numPr>
          <w:numId w:val="19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The Crown's breach of fiduciary duty has caused loss and damage to the Plaintiff and to the McLeod Lake Indian Band.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Part 2: RELIEF SOUGHT</w:t>
      </w:r>
    </w:p>
    <w:p>
      <w:pPr>
        <w:numPr>
          <w:numId w:val="19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claims general damages.</w:t>
      </w:r>
    </w:p>
    <w:p>
      <w:pPr>
        <w:numPr>
          <w:numId w:val="19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claims special damages.</w:t>
      </w:r>
    </w:p>
    <w:p>
      <w:pPr>
        <w:numPr>
          <w:numId w:val="19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claims interest pursuant to the </w:t>
      </w:r>
      <w:r>
        <w:rPr>
          <w:rFonts w:ascii="arial" w:eastAsia="arial" w:hAnsi="arial" w:cs="arial"/>
          <w:i/>
          <w:color w:val="000000"/>
          <w:sz w:val="20"/>
          <w:lang w:val="en-US" w:eastAsia="en-US" w:bidi="ar-SA"/>
        </w:rPr>
        <w:t>Court Order Interest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w:t>
      </w:r>
    </w:p>
    <w:p>
      <w:pPr>
        <w:numPr>
          <w:numId w:val="19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claims costs.</w:t>
      </w:r>
    </w:p>
    <w:p>
      <w:pPr>
        <w:numPr>
          <w:numId w:val="20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Such other relief as this Honorable Court may deem just in the circumstances.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Part 3: LEGAL BASIS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The Plaintiff relies on </w:t>
      </w:r>
      <w:r>
        <w:rPr>
          <w:rFonts w:ascii="arial" w:eastAsia="arial" w:hAnsi="arial" w:cs="arial"/>
          <w:color w:val="000000"/>
          <w:sz w:val="20"/>
          <w:u w:val="single"/>
          <w:lang w:val="en-US" w:eastAsia="en-US" w:bidi="ar-SA"/>
        </w:rPr>
        <w:t>the laws of equity</w:t>
      </w:r>
      <w:r>
        <w:rPr>
          <w:rFonts w:ascii="arial" w:eastAsia="arial" w:hAnsi="arial" w:cs="arial"/>
          <w:color w:val="000000"/>
          <w:sz w:val="20"/>
          <w:lang w:val="en-US" w:eastAsia="en-US" w:bidi="ar-SA"/>
        </w:rPr>
        <w:t>, and the</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common law </w:t>
      </w:r>
      <w:r>
        <w:rPr>
          <w:rFonts w:ascii="arial" w:eastAsia="arial" w:hAnsi="arial" w:cs="arial"/>
          <w:color w:val="000000"/>
          <w:sz w:val="20"/>
          <w:u w:val="single"/>
          <w:lang w:val="en-US" w:eastAsia="en-US" w:bidi="ar-SA"/>
        </w:rPr>
        <w:t>of torts, contract, and aboriginal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 SCHEDULE B</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Amended February ___, 2016</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Pursuant to an Order of Justice __________</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Made on February ____, 2016</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Form 1</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(Rule 3-1(1))</w:t>
      </w:r>
      <w:r>
        <w:rPr>
          <w:rFonts w:ascii="arial" w:eastAsia="arial" w:hAnsi="arial" w:cs="arial"/>
          <w:sz w:val="20"/>
          <w:lang w:val="en-US" w:eastAsia="en-US" w:bidi="ar-SA"/>
        </w:rPr>
        <w:cr/>
      </w: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File No. 1343188</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Prince George Registry</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THE SUPREME COURT OF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Between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Harry Chingee</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w:t>
      </w:r>
      <w:r>
        <w:rPr>
          <w:rFonts w:ascii="arial" w:eastAsia="arial" w:hAnsi="arial" w:cs="arial"/>
          <w:sz w:val="20"/>
          <w:lang w:val="en-US" w:eastAsia="en-US" w:bidi="ar-SA"/>
        </w:rPr>
        <w:cr/>
      </w:r>
    </w:p>
    <w:p>
      <w:pPr>
        <w:numPr>
          <w:numId w:val="20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Her Majesty the Queen in Right of the Province of British Columbia;</w:t>
      </w:r>
    </w:p>
    <w:p>
      <w:pPr>
        <w:spacing w:before="120" w:line="24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 Canadian Forest Products Ltd] </w:t>
      </w:r>
      <w:r>
        <w:rPr>
          <w:rFonts w:ascii="arial" w:eastAsia="arial" w:hAnsi="arial" w:cs="arial"/>
          <w:color w:val="000000"/>
          <w:sz w:val="18"/>
          <w:lang w:val="en-US" w:eastAsia="en-US" w:bidi="ar-SA"/>
        </w:rPr>
        <w:t>[Editor's note: Text in brackets is struck out in the original.]</w:t>
      </w:r>
    </w:p>
    <w:p>
      <w:pPr>
        <w:numPr>
          <w:numId w:val="202"/>
        </w:numPr>
        <w:spacing w:before="120" w:line="24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Conifex Mackenzie Forest Products Inc.] </w:t>
      </w:r>
      <w:r>
        <w:rPr>
          <w:rFonts w:ascii="arial" w:eastAsia="arial" w:hAnsi="arial" w:cs="arial"/>
          <w:color w:val="000000"/>
          <w:sz w:val="18"/>
          <w:lang w:val="en-US" w:eastAsia="en-US" w:bidi="ar-SA"/>
        </w:rPr>
        <w:t>[Editor's note: Text in brackets is struck out in the original.]</w:t>
      </w:r>
    </w:p>
    <w:p>
      <w:pPr>
        <w:spacing w:before="120" w:line="24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 Lakeland Mills Ltd] </w:t>
      </w:r>
      <w:r>
        <w:rPr>
          <w:rFonts w:ascii="arial" w:eastAsia="arial" w:hAnsi="arial" w:cs="arial"/>
          <w:color w:val="000000"/>
          <w:sz w:val="18"/>
          <w:lang w:val="en-US" w:eastAsia="en-US" w:bidi="ar-SA"/>
        </w:rPr>
        <w:t>[Editor's note: Text in brackets is struck out in the original.]</w:t>
      </w:r>
    </w:p>
    <w:p>
      <w:pPr>
        <w:spacing w:before="120" w:line="24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 Mackenzie Fiber Management Corp.] </w:t>
      </w:r>
      <w:r>
        <w:rPr>
          <w:rFonts w:ascii="arial" w:eastAsia="arial" w:hAnsi="arial" w:cs="arial"/>
          <w:color w:val="000000"/>
          <w:sz w:val="18"/>
          <w:lang w:val="en-US" w:eastAsia="en-US" w:bidi="ar-SA"/>
        </w:rPr>
        <w:t>[Editor's note: Text in brackets is struck out in the original.]</w:t>
      </w:r>
    </w:p>
    <w:p>
      <w:pPr>
        <w:spacing w:before="120" w:line="24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 Winton Global Lumber Ltd] </w:t>
      </w:r>
      <w:r>
        <w:rPr>
          <w:rFonts w:ascii="arial" w:eastAsia="arial" w:hAnsi="arial" w:cs="arial"/>
          <w:color w:val="000000"/>
          <w:sz w:val="18"/>
          <w:lang w:val="en-US" w:eastAsia="en-US" w:bidi="ar-SA"/>
        </w:rPr>
        <w:t>[Editor's note: Text in brackets is struck out in the original.]</w:t>
      </w:r>
    </w:p>
    <w:p>
      <w:pPr>
        <w:numPr>
          <w:numId w:val="20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813090 BC Ltd.;</w:t>
      </w:r>
    </w:p>
    <w:p>
      <w:pPr>
        <w:numPr>
          <w:numId w:val="20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550031 BC Ltd.;</w:t>
      </w:r>
    </w:p>
    <w:p>
      <w:pPr>
        <w:numPr>
          <w:numId w:val="20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Dig Deep Ventures Ltd.;</w:t>
      </w:r>
    </w:p>
    <w:p>
      <w:pPr>
        <w:spacing w:before="120" w:line="24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 Dollar Saver Lumber Ltd.;] </w:t>
      </w:r>
      <w:r>
        <w:rPr>
          <w:rFonts w:ascii="arial" w:eastAsia="arial" w:hAnsi="arial" w:cs="arial"/>
          <w:color w:val="000000"/>
          <w:sz w:val="18"/>
          <w:lang w:val="en-US" w:eastAsia="en-US" w:bidi="ar-SA"/>
        </w:rPr>
        <w:t>[Editor's note: Text in brackets is struck out in the original.]</w:t>
      </w:r>
    </w:p>
    <w:p>
      <w:pPr>
        <w:spacing w:before="120" w:line="24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 Duz Cho Logging Ltd;] </w:t>
      </w:r>
      <w:r>
        <w:rPr>
          <w:rFonts w:ascii="arial" w:eastAsia="arial" w:hAnsi="arial" w:cs="arial"/>
          <w:color w:val="000000"/>
          <w:sz w:val="18"/>
          <w:lang w:val="en-US" w:eastAsia="en-US" w:bidi="ar-SA"/>
        </w:rPr>
        <w:t>[Editor's note: Text in brackets is struck out in the original.]</w:t>
      </w:r>
    </w:p>
    <w:p>
      <w:pPr>
        <w:numPr>
          <w:numId w:val="20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EKO Logging Ltd.;</w:t>
      </w:r>
    </w:p>
    <w:p>
      <w:pPr>
        <w:numPr>
          <w:numId w:val="20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JEM Industries Inc.;</w:t>
      </w:r>
    </w:p>
    <w:p>
      <w:pPr>
        <w:numPr>
          <w:numId w:val="20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J.V. Logging Ltd.;</w:t>
      </w:r>
    </w:p>
    <w:p>
      <w:pPr>
        <w:numPr>
          <w:numId w:val="20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M.G. Logging and Sons Ltd.;</w:t>
      </w:r>
    </w:p>
    <w:p>
      <w:pPr>
        <w:numPr>
          <w:numId w:val="210"/>
        </w:numPr>
        <w:spacing w:before="120" w:line="24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Chief and Council of McLeod Lake Indian Band and McLeod Lake Indian Band;] </w:t>
      </w:r>
      <w:r>
        <w:rPr>
          <w:rFonts w:ascii="arial" w:eastAsia="arial" w:hAnsi="arial" w:cs="arial"/>
          <w:color w:val="000000"/>
          <w:sz w:val="18"/>
          <w:lang w:val="en-US" w:eastAsia="en-US" w:bidi="ar-SA"/>
        </w:rPr>
        <w:t>[Editor's note: Text in brackets is struck out in the original.]</w:t>
      </w:r>
    </w:p>
    <w:p>
      <w:pPr>
        <w:numPr>
          <w:numId w:val="2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MJM Forestry Ltd.;</w:t>
      </w:r>
    </w:p>
    <w:p>
      <w:pPr>
        <w:numPr>
          <w:numId w:val="2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SDN Forest Ventures Inc.;</w:t>
      </w:r>
    </w:p>
    <w:p>
      <w:pPr>
        <w:numPr>
          <w:numId w:val="2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Treeco Timber Corp.;</w:t>
      </w:r>
    </w:p>
    <w:p>
      <w:pPr>
        <w:numPr>
          <w:numId w:val="2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Timberspan Wood Products Inc.;</w:t>
      </w:r>
    </w:p>
    <w:p>
      <w:pPr>
        <w:spacing w:before="120" w:line="24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[(13) Wayne Telford;] </w:t>
      </w:r>
      <w:r>
        <w:rPr>
          <w:rFonts w:ascii="arial" w:eastAsia="arial" w:hAnsi="arial" w:cs="arial"/>
          <w:color w:val="000000"/>
          <w:sz w:val="18"/>
          <w:lang w:val="en-US" w:eastAsia="en-US" w:bidi="ar-SA"/>
        </w:rPr>
        <w:t>[Editor's note: Text in brackets is struck out in the original.]</w:t>
      </w:r>
    </w:p>
    <w:p>
      <w:pPr>
        <w:numPr>
          <w:numId w:val="2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Loris Bedetti; and</w:t>
      </w:r>
    </w:p>
    <w:p>
      <w:pPr>
        <w:numPr>
          <w:numId w:val="2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Arnold Bremner</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Defendant(s)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u w:val="single"/>
          <w:lang w:val="en-US" w:eastAsia="en-US" w:bidi="ar-SA"/>
        </w:rPr>
        <w:t>AMENDED AMENDED</w:t>
      </w:r>
      <w:r>
        <w:rPr>
          <w:rFonts w:ascii="arial" w:eastAsia="arial" w:hAnsi="arial" w:cs="arial"/>
          <w:color w:val="000000"/>
          <w:sz w:val="20"/>
          <w:lang w:val="en-US" w:eastAsia="en-US" w:bidi="ar-SA"/>
        </w:rPr>
        <w:t xml:space="preserve"> NOTICE OF CIVIL CLAIM</w:t>
      </w:r>
    </w:p>
    <w:p>
      <w:pPr>
        <w:spacing w:before="120" w:line="260" w:lineRule="atLeast"/>
        <w:ind w:left="1440"/>
        <w:rPr>
          <w:rFonts w:ascii="arial" w:eastAsia="arial" w:hAnsi="arial" w:cs="arial"/>
          <w:sz w:val="20"/>
          <w:lang w:val="en-US" w:eastAsia="en-US" w:bidi="ar-SA"/>
        </w:rPr>
      </w:pPr>
      <w:r>
        <w:rPr>
          <w:rFonts w:ascii="arial" w:eastAsia="arial" w:hAnsi="arial" w:cs="arial"/>
          <w:i/>
          <w:color w:val="000000"/>
          <w:sz w:val="20"/>
          <w:lang w:val="en-US" w:eastAsia="en-US" w:bidi="ar-SA"/>
        </w:rPr>
        <w:t>[Rule 22-3 of the Supreme Court Civil Rules applies to all forms.]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This action has been started by the plaintiff(s) for the relief set out in part 2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If you intend to respond to this action, you or your lawyer must</w:t>
      </w:r>
      <w:r>
        <w:rPr>
          <w:rFonts w:ascii="arial" w:eastAsia="arial" w:hAnsi="arial" w:cs="arial"/>
          <w:sz w:val="20"/>
          <w:lang w:val="en-US" w:eastAsia="en-US" w:bidi="ar-SA"/>
        </w:rPr>
        <w:cr/>
      </w:r>
    </w:p>
    <w:p>
      <w:pPr>
        <w:numPr>
          <w:numId w:val="2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file a response to civil claim in Form 2 in the above-named registry of this court within the time for response to civil claim described below, and</w:t>
      </w:r>
    </w:p>
    <w:p>
      <w:pPr>
        <w:numPr>
          <w:numId w:val="2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serve a copy of the filed response to civil claim on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If you intend to make a counterclaim, you or your lawyer must</w:t>
      </w:r>
      <w:r>
        <w:rPr>
          <w:rFonts w:ascii="arial" w:eastAsia="arial" w:hAnsi="arial" w:cs="arial"/>
          <w:sz w:val="20"/>
          <w:lang w:val="en-US" w:eastAsia="en-US" w:bidi="ar-SA"/>
        </w:rPr>
        <w:cr/>
      </w:r>
    </w:p>
    <w:p>
      <w:pPr>
        <w:numPr>
          <w:numId w:val="2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file a response to civil claim in Form 2 and a counterclaim in Form 3 in the above-named registry of this court within the time for response to civil claim described below, and</w:t>
      </w:r>
    </w:p>
    <w:p>
      <w:pPr>
        <w:numPr>
          <w:numId w:val="2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serve a copy of the filed response to civil claim and counterclaim on the plaintiff and on any new parties named in the counterclaim.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JUDGMENT AGAINST YOU MAY BE MADE IF YOU FAIL to file the response to civil claim within the time for response to civil claim described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Time for response to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 response to civil claim must be filed and served on the plaintiff(s),</w:t>
      </w:r>
      <w:r>
        <w:rPr>
          <w:rFonts w:ascii="arial" w:eastAsia="arial" w:hAnsi="arial" w:cs="arial"/>
          <w:sz w:val="20"/>
          <w:lang w:val="en-US" w:eastAsia="en-US" w:bidi="ar-SA"/>
        </w:rPr>
        <w:cr/>
      </w:r>
    </w:p>
    <w:p>
      <w:pPr>
        <w:numPr>
          <w:numId w:val="2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you were served with the notice of civil claim anywhere in Canada, within 21 days after that service,</w:t>
      </w:r>
    </w:p>
    <w:p>
      <w:pPr>
        <w:numPr>
          <w:numId w:val="2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you were served with the notice of civil claim anywhere in the United States of America, within 35 days after that service,</w:t>
      </w:r>
    </w:p>
    <w:p>
      <w:pPr>
        <w:numPr>
          <w:numId w:val="2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you were served with the notice of civil claim anywhere else, within 49 days after that service, or</w:t>
      </w:r>
    </w:p>
    <w:p>
      <w:pPr>
        <w:numPr>
          <w:numId w:val="2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time for response to civil claim has been set by order of the court, within that time.</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Claim of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Part 1: STATEMENT OF FACTS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Background</w:t>
      </w:r>
      <w:r>
        <w:rPr>
          <w:rFonts w:ascii="arial" w:eastAsia="arial" w:hAnsi="arial" w:cs="arial"/>
          <w:sz w:val="20"/>
          <w:lang w:val="en-US" w:eastAsia="en-US" w:bidi="ar-SA"/>
        </w:rPr>
        <w:cr/>
      </w:r>
    </w:p>
    <w:p>
      <w:pPr>
        <w:numPr>
          <w:numId w:val="2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Harry Chingee, is a businessman, who resides in [Prince George] </w:t>
      </w:r>
      <w:r>
        <w:rPr>
          <w:rFonts w:ascii="arial" w:eastAsia="arial" w:hAnsi="arial" w:cs="arial"/>
          <w:color w:val="000000"/>
          <w:sz w:val="18"/>
          <w:lang w:val="en-US" w:eastAsia="en-US" w:bidi="ar-SA"/>
        </w:rPr>
        <w:t>[Editor's note: Text in brackets is struck out in the original.]</w:t>
      </w:r>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McLeod Lake</w:t>
      </w:r>
      <w:r>
        <w:rPr>
          <w:rFonts w:ascii="arial" w:eastAsia="arial" w:hAnsi="arial" w:cs="arial"/>
          <w:color w:val="000000"/>
          <w:sz w:val="20"/>
          <w:lang w:val="en-US" w:eastAsia="en-US" w:bidi="ar-SA"/>
        </w:rPr>
        <w:t>, British Columbia.</w:t>
      </w:r>
    </w:p>
    <w:p>
      <w:pPr>
        <w:numPr>
          <w:numId w:val="2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 Her Majesty the Queen in right of the Province of British Columbia ("the Crown"), represents the government of British Columbia pursuant to Section 7 of the </w:t>
      </w:r>
      <w:r>
        <w:rPr>
          <w:rFonts w:ascii="arial" w:eastAsia="arial" w:hAnsi="arial" w:cs="arial"/>
          <w:i/>
          <w:color w:val="000000"/>
          <w:sz w:val="20"/>
          <w:lang w:val="en-US" w:eastAsia="en-US" w:bidi="ar-SA"/>
        </w:rPr>
        <w:t>Crown Proceedings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89</w:t>
      </w:r>
      <w:r>
        <w:rPr>
          <w:rFonts w:ascii="arial" w:eastAsia="arial" w:hAnsi="arial" w:cs="arial"/>
          <w:color w:val="000000"/>
          <w:sz w:val="20"/>
          <w:lang w:val="en-US" w:eastAsia="en-US" w:bidi="ar-SA"/>
        </w:rPr>
        <w:t>.</w:t>
      </w:r>
    </w:p>
    <w:p>
      <w:pPr>
        <w:spacing w:before="120" w:line="24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 The Defendant, Canadian Forest Products Ltd., is a company incorporated pursuant to the laws of British Columbia.] </w:t>
      </w:r>
      <w:r>
        <w:rPr>
          <w:rFonts w:ascii="arial" w:eastAsia="arial" w:hAnsi="arial" w:cs="arial"/>
          <w:color w:val="000000"/>
          <w:sz w:val="18"/>
          <w:lang w:val="en-US" w:eastAsia="en-US" w:bidi="ar-SA"/>
        </w:rPr>
        <w:t>[Editor's note: Text in brackets is struck out in the original.]</w:t>
      </w:r>
    </w:p>
    <w:p>
      <w:pPr>
        <w:spacing w:before="120" w:line="24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 The Defendant, Conifex Mackenzie Forest Products Inc., is a company incorporated pursuant to the laws of British Columbia.] </w:t>
      </w:r>
      <w:r>
        <w:rPr>
          <w:rFonts w:ascii="arial" w:eastAsia="arial" w:hAnsi="arial" w:cs="arial"/>
          <w:color w:val="000000"/>
          <w:sz w:val="18"/>
          <w:lang w:val="en-US" w:eastAsia="en-US" w:bidi="ar-SA"/>
        </w:rPr>
        <w:t>[Editor's note: Text in brackets is struck out in the original.]</w:t>
      </w:r>
    </w:p>
    <w:p>
      <w:pPr>
        <w:spacing w:before="120" w:line="24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 The Defendant, Lakeland Mills Ltd., is a company incorporated pursuant to the laws of British Columbia.] </w:t>
      </w:r>
      <w:r>
        <w:rPr>
          <w:rFonts w:ascii="arial" w:eastAsia="arial" w:hAnsi="arial" w:cs="arial"/>
          <w:color w:val="000000"/>
          <w:sz w:val="18"/>
          <w:lang w:val="en-US" w:eastAsia="en-US" w:bidi="ar-SA"/>
        </w:rPr>
        <w:t>[Editor's note: Text in brackets is struck out in the original.]</w:t>
      </w:r>
    </w:p>
    <w:p>
      <w:pPr>
        <w:spacing w:before="120" w:line="24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 The Defendant, Mackenzie Fiber Management Corporation, is a company incorporated pursuant to the laws of British Columbia.] </w:t>
      </w:r>
      <w:r>
        <w:rPr>
          <w:rFonts w:ascii="arial" w:eastAsia="arial" w:hAnsi="arial" w:cs="arial"/>
          <w:color w:val="000000"/>
          <w:sz w:val="18"/>
          <w:lang w:val="en-US" w:eastAsia="en-US" w:bidi="ar-SA"/>
        </w:rPr>
        <w:t>[Editor's note: Text in brackets is struck out in the original.]</w:t>
      </w:r>
    </w:p>
    <w:p>
      <w:pPr>
        <w:spacing w:before="120" w:line="24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 The Defendant, Winton Global Lumber Ltd., is a company incorporated pursuant to the laws of British Columbia.] </w:t>
      </w:r>
      <w:r>
        <w:rPr>
          <w:rFonts w:ascii="arial" w:eastAsia="arial" w:hAnsi="arial" w:cs="arial"/>
          <w:color w:val="000000"/>
          <w:sz w:val="18"/>
          <w:lang w:val="en-US" w:eastAsia="en-US" w:bidi="ar-SA"/>
        </w:rPr>
        <w:t>[Editor's note: Text in brackets is struck out in the original.]</w:t>
      </w:r>
    </w:p>
    <w:p>
      <w:pPr>
        <w:numPr>
          <w:numId w:val="2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550031 BC Ltd., is a company incorporated pursuant to the laws of British Columbia.</w:t>
      </w:r>
    </w:p>
    <w:p>
      <w:pPr>
        <w:numPr>
          <w:numId w:val="2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813090 BC Ltd., is a company incorporated pursuant to the laws of British Columbia.</w:t>
      </w:r>
    </w:p>
    <w:p>
      <w:pPr>
        <w:numPr>
          <w:numId w:val="2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Dig Deep Ventures Ltd., is a company incorporated pursuant to the laws of British Columbia.</w:t>
      </w:r>
    </w:p>
    <w:p>
      <w:pPr>
        <w:spacing w:before="120" w:line="24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 The Defendant, Dollar Saver Lumber Ltd., is a company incorporated pursuant to the laws of British Columbia.] </w:t>
      </w:r>
      <w:r>
        <w:rPr>
          <w:rFonts w:ascii="arial" w:eastAsia="arial" w:hAnsi="arial" w:cs="arial"/>
          <w:color w:val="000000"/>
          <w:sz w:val="18"/>
          <w:lang w:val="en-US" w:eastAsia="en-US" w:bidi="ar-SA"/>
        </w:rPr>
        <w:t>[Editor's note: Text in brackets is struck out in the original.]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 The Defendant, Duz Cho Logging Ltd., is a company incorporated pursuant to the laws of British Columbia.] [EditorÔÇÖs note: Text in brackets is struck out in the original.]</w:t>
      </w:r>
    </w:p>
    <w:p>
      <w:pPr>
        <w:numPr>
          <w:numId w:val="2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EKO Logging Ltd., is a company incorporated pursuant to the laws of British Columbia.</w:t>
      </w:r>
    </w:p>
    <w:p>
      <w:pPr>
        <w:numPr>
          <w:numId w:val="2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JEM Industries Inc., is a company incorporated pursuant to the laws of British Columbia.</w:t>
      </w:r>
    </w:p>
    <w:p>
      <w:pPr>
        <w:spacing w:before="120" w:line="24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 The] Defendant, [J.V. Logging Ltd, is a company incorporated pursuant to the laws of British Columbia.] </w:t>
      </w:r>
      <w:r>
        <w:rPr>
          <w:rFonts w:ascii="arial" w:eastAsia="arial" w:hAnsi="arial" w:cs="arial"/>
          <w:color w:val="000000"/>
          <w:sz w:val="18"/>
          <w:lang w:val="en-US" w:eastAsia="en-US" w:bidi="ar-SA"/>
        </w:rPr>
        <w:t>[Editor's note: Text in brackets is struck out in the original.]</w:t>
      </w:r>
    </w:p>
    <w:p>
      <w:pPr>
        <w:numPr>
          <w:numId w:val="2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M.G. Logging and Sons Ltd., is a company incorporated pursuant to the laws of British Columbia.</w:t>
      </w:r>
    </w:p>
    <w:p>
      <w:pPr>
        <w:spacing w:before="120" w:line="24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[17. The Defendant, McLeod Lake Indian Band, is an Indian Band registered pursuant to the Indian Act as Band No. and is represented by its Chief and Council.] </w:t>
      </w:r>
      <w:r>
        <w:rPr>
          <w:rFonts w:ascii="arial" w:eastAsia="arial" w:hAnsi="arial" w:cs="arial"/>
          <w:color w:val="000000"/>
          <w:sz w:val="18"/>
          <w:lang w:val="en-US" w:eastAsia="en-US" w:bidi="ar-SA"/>
        </w:rPr>
        <w:t>[Editor's note: Text in brackets is struck out in the original.]</w:t>
      </w:r>
    </w:p>
    <w:p>
      <w:pPr>
        <w:numPr>
          <w:numId w:val="2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MJM Forestry Ltd., is a company incorporated pursuant to the laws of British Columbia.</w:t>
      </w:r>
    </w:p>
    <w:p>
      <w:pPr>
        <w:numPr>
          <w:numId w:val="2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SDN Forest Ventures Inc., is a company incorporated pursuant to the laws of British Columbia.</w:t>
      </w:r>
    </w:p>
    <w:p>
      <w:pPr>
        <w:numPr>
          <w:numId w:val="2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Treeco Timber Corp., is a company incorporated pursuant to the laws of British Columbia.</w:t>
      </w:r>
    </w:p>
    <w:p>
      <w:pPr>
        <w:numPr>
          <w:numId w:val="2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Timberspan Wood Products Inc., is a company incorporated pursuant to the laws of British Columbia.</w:t>
      </w:r>
    </w:p>
    <w:p>
      <w:pPr>
        <w:spacing w:before="120" w:line="24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[22. The Defendant, Wayne Telford is a logger who resides in or around Prince George, British Columbia.] </w:t>
      </w:r>
      <w:r>
        <w:rPr>
          <w:rFonts w:ascii="arial" w:eastAsia="arial" w:hAnsi="arial" w:cs="arial"/>
          <w:color w:val="000000"/>
          <w:sz w:val="18"/>
          <w:lang w:val="en-US" w:eastAsia="en-US" w:bidi="ar-SA"/>
        </w:rPr>
        <w:t>[Editor's note: Text in brackets is struck out in the original.]</w:t>
      </w:r>
    </w:p>
    <w:p>
      <w:pPr>
        <w:numPr>
          <w:numId w:val="2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Loris Bedetti, is a logger who resides in or around Prince George, British Columbia.</w:t>
      </w:r>
    </w:p>
    <w:p>
      <w:pPr>
        <w:numPr>
          <w:numId w:val="2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Arnold Bremner, is a logger who resides in or around Prince George, British Columbia.</w:t>
      </w:r>
    </w:p>
    <w:p>
      <w:pPr>
        <w:numPr>
          <w:numId w:val="2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2nd through </w:t>
      </w:r>
      <w:r>
        <w:rPr>
          <w:rFonts w:ascii="arial" w:eastAsia="arial" w:hAnsi="arial" w:cs="arial"/>
          <w:color w:val="000000"/>
          <w:sz w:val="20"/>
          <w:u w:val="single"/>
          <w:lang w:val="en-US" w:eastAsia="en-US" w:bidi="ar-SA"/>
        </w:rPr>
        <w:t>15th</w:t>
      </w:r>
      <w:r>
        <w:rPr>
          <w:rFonts w:ascii="arial" w:eastAsia="arial" w:hAnsi="arial" w:cs="arial"/>
          <w:color w:val="000000"/>
          <w:sz w:val="20"/>
          <w:lang w:val="en-US" w:eastAsia="en-US" w:bidi="ar-SA"/>
        </w:rPr>
        <w:t xml:space="preserve"> Defendants shall be collectively referred to as the Defendant Foresters.</w:t>
      </w:r>
    </w:p>
    <w:p>
      <w:pPr>
        <w:numPr>
          <w:numId w:val="2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At all material times, the Plaintiff is and was the holder of Guiding Territory Certificate No. 700023 (the "Guiding Certificate"), issued by the Crown pursuant to the </w:t>
      </w:r>
      <w:r>
        <w:rPr>
          <w:rFonts w:ascii="arial" w:eastAsia="arial" w:hAnsi="arial" w:cs="arial"/>
          <w:i/>
          <w:color w:val="000000"/>
          <w:sz w:val="20"/>
          <w:lang w:val="en-US" w:eastAsia="en-US" w:bidi="ar-SA"/>
        </w:rPr>
        <w:t>Wildlife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488</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Wildlife Act</w:t>
      </w:r>
      <w:r>
        <w:rPr>
          <w:rFonts w:ascii="arial" w:eastAsia="arial" w:hAnsi="arial" w:cs="arial"/>
          <w:color w:val="000000"/>
          <w:sz w:val="20"/>
          <w:lang w:val="en-US" w:eastAsia="en-US" w:bidi="ar-SA"/>
        </w:rPr>
        <w:t>").</w:t>
      </w:r>
    </w:p>
    <w:p>
      <w:pPr>
        <w:numPr>
          <w:numId w:val="2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At all material times, the Plaintiff is and was the holder of a Registered Trapline, Registration No. TR0716T011 (the "Trapline No. 1"), issued by the Crown pursuant to the </w:t>
      </w:r>
      <w:r>
        <w:rPr>
          <w:rFonts w:ascii="arial" w:eastAsia="arial" w:hAnsi="arial" w:cs="arial"/>
          <w:i/>
          <w:color w:val="000000"/>
          <w:sz w:val="20"/>
          <w:lang w:val="en-US" w:eastAsia="en-US" w:bidi="ar-SA"/>
        </w:rPr>
        <w:t>Wildlife Act</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27.1 </w:t>
      </w:r>
      <w:r>
        <w:rPr>
          <w:rFonts w:ascii="arial" w:eastAsia="arial" w:hAnsi="arial" w:cs="arial"/>
          <w:color w:val="000000"/>
          <w:sz w:val="20"/>
          <w:u w:val="single"/>
          <w:lang w:val="en-US" w:eastAsia="en-US" w:bidi="ar-SA"/>
        </w:rPr>
        <w:t>In the alternative, at all material times, the Plaintiff is and was the holder of Trapline No. 1 as a trustee for the benefit of McLeod Lake Indian Band and Frederick Inyallie and holds his interest on trust for the said beneficiaries.</w:t>
      </w:r>
    </w:p>
    <w:p>
      <w:pPr>
        <w:numPr>
          <w:numId w:val="2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At all material times, the Plaintiff and Wesley Chingee are and were the holders of a Registered Trapline, Registration No. TR0723T006 (the Trapline No. 2"), issued by the Crown pursuant to the </w:t>
      </w:r>
      <w:r>
        <w:rPr>
          <w:rFonts w:ascii="arial" w:eastAsia="arial" w:hAnsi="arial" w:cs="arial"/>
          <w:i/>
          <w:color w:val="000000"/>
          <w:sz w:val="20"/>
          <w:lang w:val="en-US" w:eastAsia="en-US" w:bidi="ar-SA"/>
        </w:rPr>
        <w:t>Wildlife Act</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28.1 </w:t>
      </w:r>
      <w:r>
        <w:rPr>
          <w:rFonts w:ascii="arial" w:eastAsia="arial" w:hAnsi="arial" w:cs="arial"/>
          <w:color w:val="000000"/>
          <w:sz w:val="20"/>
          <w:u w:val="single"/>
          <w:lang w:val="en-US" w:eastAsia="en-US" w:bidi="ar-SA"/>
        </w:rPr>
        <w:t>In the alternative, at all material times, the Plaintiff is and was the holder of Trapline No. 2 as a trustee for the benefit of Jim Chingee and Wesley Chingee and holds his interest on trust for the said beneficiaries.</w:t>
      </w:r>
    </w:p>
    <w:p>
      <w:pPr>
        <w:numPr>
          <w:numId w:val="2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all material times, the Crown was the owner of the lands subject to the Guiding Certificate and the two Traplines (the "Lands").</w:t>
      </w:r>
    </w:p>
    <w:p>
      <w:pPr>
        <w:numPr>
          <w:numId w:val="2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At all material times, the Crown operated and continues to operate B.C. Timber Sales to manage the sale of Crown timber on [Crown Lands] </w:t>
      </w:r>
      <w:r>
        <w:rPr>
          <w:rFonts w:ascii="arial" w:eastAsia="arial" w:hAnsi="arial" w:cs="arial"/>
          <w:color w:val="000000"/>
          <w:sz w:val="18"/>
          <w:lang w:val="en-US" w:eastAsia="en-US" w:bidi="ar-SA"/>
        </w:rPr>
        <w:t>[Editor's note: Text in brackets is struck out in the original.]</w:t>
      </w:r>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the Lands</w:t>
      </w:r>
      <w:r>
        <w:rPr>
          <w:rFonts w:ascii="arial" w:eastAsia="arial" w:hAnsi="arial" w:cs="arial"/>
          <w:color w:val="000000"/>
          <w:sz w:val="20"/>
          <w:lang w:val="en-US" w:eastAsia="en-US" w:bidi="ar-SA"/>
        </w:rPr>
        <w:t>.</w:t>
      </w:r>
    </w:p>
    <w:p>
      <w:pPr>
        <w:numPr>
          <w:numId w:val="2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all material times, the Defendant Foresters were the holders of timber licenses and/or other forms of forestry tenures permitting them to enter upon the Lands and remove various stands of timber.</w:t>
      </w:r>
    </w:p>
    <w:p>
      <w:pPr>
        <w:numPr>
          <w:numId w:val="2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all material times, some or all of the Defendant Foresters also carried on various other forestry activities in relation to the Lands, including but not limited to pest control, road constructions and maintenance.</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The Claim in Nuisance </w:t>
      </w:r>
      <w:r>
        <w:rPr>
          <w:rFonts w:ascii="arial" w:eastAsia="arial" w:hAnsi="arial" w:cs="arial"/>
          <w:color w:val="000000"/>
          <w:sz w:val="20"/>
          <w:u w:val="single"/>
          <w:lang w:val="en-US" w:eastAsia="en-US" w:bidi="ar-SA"/>
        </w:rPr>
        <w:t>and Trespass</w:t>
      </w:r>
      <w:r>
        <w:rPr>
          <w:rFonts w:ascii="arial" w:eastAsia="arial" w:hAnsi="arial" w:cs="arial"/>
          <w:sz w:val="20"/>
          <w:lang w:val="en-US" w:eastAsia="en-US" w:bidi="ar-SA"/>
        </w:rPr>
        <w:cr/>
      </w:r>
    </w:p>
    <w:p>
      <w:pPr>
        <w:numPr>
          <w:numId w:val="2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At all material times, the Plaintiff was the legal and beneficial owner of all of the rights which were attached to the Guiding Certificate including, </w:t>
      </w:r>
      <w:r>
        <w:rPr>
          <w:rFonts w:ascii="arial" w:eastAsia="arial" w:hAnsi="arial" w:cs="arial"/>
          <w:color w:val="000000"/>
          <w:sz w:val="20"/>
          <w:u w:val="single"/>
          <w:lang w:val="en-US" w:eastAsia="en-US" w:bidi="ar-SA"/>
        </w:rPr>
        <w:t>but not limited to the right to obtain a guiding license thus permitting the Plaintiff</w:t>
      </w:r>
      <w:r>
        <w:rPr>
          <w:rFonts w:ascii="arial" w:eastAsia="arial" w:hAnsi="arial" w:cs="arial"/>
          <w:color w:val="000000"/>
          <w:sz w:val="20"/>
          <w:lang w:val="en-US" w:eastAsia="en-US" w:bidi="ar-SA"/>
        </w:rPr>
        <w:t xml:space="preserve"> to enter upon the Lands for the purposes of guiding and the right to profit from his guiding.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33.1 </w:t>
      </w:r>
      <w:r>
        <w:rPr>
          <w:rFonts w:ascii="arial" w:eastAsia="arial" w:hAnsi="arial" w:cs="arial"/>
          <w:color w:val="000000"/>
          <w:sz w:val="20"/>
          <w:u w:val="single"/>
          <w:lang w:val="en-US" w:eastAsia="en-US" w:bidi="ar-SA"/>
        </w:rPr>
        <w:t>At all material times, the Plaintiff was the legal and beneficial owner of all the rights which attach to the guiding licenses granted to him by the Crown.</w:t>
      </w:r>
    </w:p>
    <w:p>
      <w:pPr>
        <w:numPr>
          <w:numId w:val="2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Guiding Certificate granted the Plaintiff exclusive rights over the guiding privileges described in the certificate on the Lands.</w:t>
      </w:r>
    </w:p>
    <w:p>
      <w:pPr>
        <w:numPr>
          <w:numId w:val="2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all material times, the Plaintiff was the legal and beneficial owner of all of the rights which were attached to the two Traplines including, but not limited to the exclusive right to enter upon the Lands for the purposes of trapping and the right to profit from his trapping.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35.1 </w:t>
      </w:r>
      <w:r>
        <w:rPr>
          <w:rFonts w:ascii="arial" w:eastAsia="arial" w:hAnsi="arial" w:cs="arial"/>
          <w:color w:val="000000"/>
          <w:sz w:val="20"/>
          <w:u w:val="single"/>
          <w:lang w:val="en-US" w:eastAsia="en-US" w:bidi="ar-SA"/>
        </w:rPr>
        <w:t>In the alternative, at all material times, as trustee, the Plaintiff was the legal owner of all of the rights which were attached to the two Traplines including, but not limited to the exclusive right to enter upon the Lands for the purposes of trapping and the right to profit from his trapping.</w:t>
      </w:r>
    </w:p>
    <w:p>
      <w:pPr>
        <w:numPr>
          <w:numId w:val="2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premises, the rights possessed by the Plaintiff as the holder of the Guiding Certificate and/or the Traplines constitute a profit a prendre in favour of the Plaintiff.</w:t>
      </w:r>
    </w:p>
    <w:p>
      <w:pPr>
        <w:numPr>
          <w:numId w:val="2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alternative, the rights possessed by the Plaintiff as the holder of the Guiding Certificate and/or the Traplines constitute property rights owned exclusively by the Plaintiff which granted the Plaintiff a substantial degree of use and occupation over the Lands.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37.1 </w:t>
      </w:r>
      <w:r>
        <w:rPr>
          <w:rFonts w:ascii="arial" w:eastAsia="arial" w:hAnsi="arial" w:cs="arial"/>
          <w:color w:val="000000"/>
          <w:sz w:val="20"/>
          <w:u w:val="single"/>
          <w:lang w:val="en-US" w:eastAsia="en-US" w:bidi="ar-SA"/>
        </w:rPr>
        <w:t>In the further alternative, the rights possessed by the Plaintiff as the holder of the Guiding Certificate and/or the Traplines constitute a right to use and substantially occupy the Lands.</w:t>
      </w:r>
    </w:p>
    <w:p>
      <w:pPr>
        <w:numPr>
          <w:numId w:val="2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value of the profit a prendre or other property </w:t>
      </w:r>
      <w:r>
        <w:rPr>
          <w:rFonts w:ascii="arial" w:eastAsia="arial" w:hAnsi="arial" w:cs="arial"/>
          <w:color w:val="000000"/>
          <w:sz w:val="20"/>
          <w:u w:val="single"/>
          <w:lang w:val="en-US" w:eastAsia="en-US" w:bidi="ar-SA"/>
        </w:rPr>
        <w:t>or contractual</w:t>
      </w:r>
      <w:r>
        <w:rPr>
          <w:rFonts w:ascii="arial" w:eastAsia="arial" w:hAnsi="arial" w:cs="arial"/>
          <w:color w:val="000000"/>
          <w:sz w:val="20"/>
          <w:lang w:val="en-US" w:eastAsia="en-US" w:bidi="ar-SA"/>
        </w:rPr>
        <w:t xml:space="preserve"> rights possessed by the Plaintiff is dependent in whole or in part on the availability of game for hunting and trapping, the vitality of the forest, and the amount of forested area on the Lands.</w:t>
      </w:r>
    </w:p>
    <w:p>
      <w:pPr>
        <w:numPr>
          <w:numId w:val="2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From July 2009 to the present time, the Crown has from time to time and continuously throughout the period granted cutting licenses to the Defendant Foresters permitting them the right to enter upon and remove timber from the Lands.</w:t>
      </w:r>
    </w:p>
    <w:p>
      <w:pPr>
        <w:numPr>
          <w:numId w:val="2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From July 2009 to the present time, the Defendant Foresters have from time to time and continuously throughout the period entered upon and removed timber from the Lands. The particulars are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xml:space="preserve">Since 2010 and ongoing throughout the period up to and including the date of this action, the Defendant, Canadian Forest Products Ltd, has entered upon and removed timber from various parts of the Lands including but not limited to that part of the Lands subject to TFL 30.] </w:t>
            </w:r>
          </w:p>
          <w:p>
            <w:pPr>
              <w:spacing w:line="24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[Editor's note: Text in brackets is struck out in the original.]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xml:space="preserve">Since 2010 and ongoing throughout the period up to and including the date of this action, the Defendants, Winton Global Lumber Ltd and Lakeland Mills Ltd, have entered upon and removed timber from various parts of the Lands including but not limited to the lands referred to as the "Winton Global and Lakeland Mills operating areas".] </w:t>
            </w:r>
          </w:p>
          <w:p>
            <w:pPr>
              <w:spacing w:line="24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[Editor's note: Text in brackets is struck out in the original.]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xml:space="preserve">Since 2010 and ongoing throughout the period up to and including the date of this action, the Defendant, Conifex Mackenzie Forest Products Inc, has entered upon and removed timber from various parts of the Lands.] </w:t>
            </w:r>
          </w:p>
          <w:p>
            <w:pPr>
              <w:spacing w:line="24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[Editor's note: Text in brackets is struck out in the original.]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xml:space="preserve">Since 2010 and ongoing throughout the period up to and including the date of this action, the Defendant, Mackenzie Fibre Management Corporation, has entered upon and removed timber from various parts of the Lands including but not limited to that part of the Lands subject to FLTC A87345.] </w:t>
            </w:r>
          </w:p>
          <w:p>
            <w:pPr>
              <w:spacing w:line="24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[Editor's note: Text in brackets is struck out in the original.]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xml:space="preserve">Since 2008 and ongoing throughout the period up to and including the date of this action, the Defendants, Duz Cho Logging Ltd and McLeod Lake Indian Band, have entered upon and removed timber from various parts of the Lands including but not limited to that part of the Lands subject to TFL 30.] </w:t>
            </w:r>
          </w:p>
          <w:p>
            <w:pPr>
              <w:spacing w:line="24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[Editor's note: Text in brackets is struck out in the original.]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2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Between March 25, 2010, and June 25, 2013, the Defendant, EKO Logging Ltd, entered upon and removed timber from that part of the Lands subject to TSL A85802.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[g.</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Between July 22, 2010, and </w:t>
            </w:r>
            <w:r>
              <w:rPr>
                <w:rFonts w:ascii="arial" w:eastAsia="arial" w:hAnsi="arial" w:cs="arial"/>
                <w:color w:val="000000"/>
                <w:sz w:val="18"/>
                <w:u w:val="single"/>
                <w:lang w:val="en-US" w:eastAsia="en-US" w:bidi="ar-SA"/>
              </w:rPr>
              <w:t>May 4, 2011</w:t>
            </w:r>
            <w:r>
              <w:rPr>
                <w:rFonts w:ascii="arial" w:eastAsia="arial" w:hAnsi="arial" w:cs="arial"/>
                <w:color w:val="000000"/>
                <w:sz w:val="18"/>
                <w:lang w:val="en-US" w:eastAsia="en-US" w:bidi="ar-SA"/>
              </w:rPr>
              <w:t xml:space="preserve">, the Defendant, Wayne Graham Telford, entered upon and removed timber from that part of the Lands subject to TSL A84867.] </w:t>
            </w:r>
          </w:p>
          <w:p>
            <w:pPr>
              <w:spacing w:line="24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[Editor's note: Text in brackets is struck out in the original.]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[g.1</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After May 4, 2011, and continuing to the present, the Defendant, Hartwood Holdings Ltd, has entered upon and removed timber from that part of the Lands subject to TSL A84867.</w:t>
            </w:r>
            <w:r>
              <w:rPr>
                <w:rFonts w:ascii="arial" w:eastAsia="arial" w:hAnsi="arial" w:cs="arial"/>
                <w:color w:val="000000"/>
                <w:sz w:val="18"/>
                <w:lang w:val="en-US" w:eastAsia="en-US" w:bidi="ar-SA"/>
              </w:rPr>
              <w:t xml:space="preserve">] </w:t>
            </w:r>
          </w:p>
          <w:p>
            <w:pPr>
              <w:spacing w:line="24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[Editor's note: Text in brackets is struck out in the original.]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2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Between October 21, 2011, and October 11, 2012, the Defendant, 0813090 BC Ltd, entered upon and removed timber from that part of the Lands subject to TSL A84919.</w:t>
      </w:r>
    </w:p>
    <w:p>
      <w:pPr>
        <w:numPr>
          <w:numId w:val="2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Since December 19, 2011, the Defendant, 550031 BC Ltd, entered upon and removed timber from that part of the Lands subject to TSL A87623.</w:t>
      </w:r>
    </w:p>
    <w:p>
      <w:pPr>
        <w:numPr>
          <w:numId w:val="2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Between March 31, 2010 and March 30, 2012, the Defendant, Loris Bedetti, entered upon and removed timber from that part of the Lands subject to TSL A84362.</w:t>
      </w:r>
    </w:p>
    <w:p>
      <w:pPr>
        <w:numPr>
          <w:numId w:val="2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Between April 9, 2010 and May 8, 2012, the Defendant, Arnold Joseph Bremner, entered upon and removed timber from that part of the Lands subject to TSL A84865.</w:t>
      </w:r>
    </w:p>
    <w:p>
      <w:pPr>
        <w:numPr>
          <w:numId w:val="2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Between January 4, 2011, and July 3, 2012, the Defendant, Treeco Timber Corp, entered upon and removed timber from that part of the Lands subject to TSL A85832.</w:t>
      </w:r>
    </w:p>
    <w:p>
      <w:pPr>
        <w:numPr>
          <w:numId w:val="2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Between March 17, 2010 and March 16, 2012, the Defendant, Dig Deep Ventures Inc, entered upon and removed timber from that part of the Lands subject to TSL A84864.</w:t>
      </w:r>
    </w:p>
    <w:p>
      <w:pPr>
        <w:numPr>
          <w:numId w:val="2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Between April 27, 2011 and December 13, 2012, the Defendant, Dig Deep Ventures Inc, entered upon and removed timber from that part of the Lands subject to TSL A87613.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n.1</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After December 13, 2012, the Defendant MJM Forestry Ltd entered upon and removed timber from that part of the Lands subject to TSL A87613.</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2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Between March 17, 2011 and March 16, 2013, the Defendant, Dig Deep Ventures Inc, entered upon and removed timber from that part of the Lands subject to TSL A84488.</w:t>
      </w:r>
    </w:p>
    <w:p>
      <w:pPr>
        <w:numPr>
          <w:numId w:val="2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Between December 2, 2011 and May 1, 2013, the Defendant, Timberspan Wood Products Inc, entered upon and removed timber from that part of the Lands subject to TSL A88372.</w:t>
      </w:r>
    </w:p>
    <w:p>
      <w:pPr>
        <w:numPr>
          <w:numId w:val="2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Between January 27, 2011, and July 26, 2012, the Defendant, JEM Industries Inc, entered upon and removed timber from that part of the Lands subject to TSL A88218.</w:t>
      </w:r>
    </w:p>
    <w:p>
      <w:pPr>
        <w:numPr>
          <w:numId w:val="2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Between October 18, 2010, and November 17, 2012, the Defendant, MJM Forestry Ltd, entered upon and removed timber from that part of the Lands subject to TSL A85833.</w:t>
      </w:r>
    </w:p>
    <w:p>
      <w:pPr>
        <w:numPr>
          <w:numId w:val="2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Since November 2, 2012, the Defendant, M.G. Logging &amp; Sons Ltd, has entered upon and removed timber from that part of the Lands subject to TSL A88847.</w:t>
      </w:r>
    </w:p>
    <w:p>
      <w:pPr>
        <w:numPr>
          <w:numId w:val="2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Since January 8, 2013, the Defendant, M.G. Logging &amp; Sons Ltd, has entered upon and removed timber from that part of the Lands subject to TSL A88559.</w:t>
      </w:r>
    </w:p>
    <w:p>
      <w:pPr>
        <w:numPr>
          <w:numId w:val="2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Since 2013, the Defendant, J.V. Logging Ltd, has entered upon and removed timber from that part of the Lands subject to TSL A88473.</w:t>
      </w:r>
    </w:p>
    <w:p>
      <w:pPr>
        <w:numPr>
          <w:numId w:val="27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Between December 1, 2010 and </w:t>
      </w:r>
      <w:r>
        <w:rPr>
          <w:rFonts w:ascii="arial" w:eastAsia="arial" w:hAnsi="arial" w:cs="arial"/>
          <w:color w:val="000000"/>
          <w:sz w:val="20"/>
          <w:u w:val="single"/>
          <w:lang w:val="en-US" w:eastAsia="en-US" w:bidi="ar-SA"/>
        </w:rPr>
        <w:t>March 24, 2011</w:t>
      </w:r>
      <w:r>
        <w:rPr>
          <w:rFonts w:ascii="arial" w:eastAsia="arial" w:hAnsi="arial" w:cs="arial"/>
          <w:color w:val="000000"/>
          <w:sz w:val="20"/>
          <w:lang w:val="en-US" w:eastAsia="en-US" w:bidi="ar-SA"/>
        </w:rPr>
        <w:t>, the Defendant, SDN Forest Ventures Inc, entered upon and removed timber from that part of the Lands subject to TSL A86214.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v.1</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r>
              <w:rPr>
                <w:rFonts w:ascii="arial" w:eastAsia="arial" w:hAnsi="arial" w:cs="arial"/>
                <w:color w:val="000000"/>
                <w:sz w:val="18"/>
                <w:u w:val="single"/>
                <w:lang w:val="en-US" w:eastAsia="en-US" w:bidi="ar-SA"/>
              </w:rPr>
              <w:t>After March 24, 2011 and continuing through to the present, the Defendant, All-Wood Fibre Ltd has entered upon and removed timber from that part of the Lands subject to TSL A86214.</w:t>
            </w:r>
            <w:r>
              <w:rPr>
                <w:rFonts w:ascii="arial" w:eastAsia="arial" w:hAnsi="arial" w:cs="arial"/>
                <w:color w:val="000000"/>
                <w:sz w:val="18"/>
                <w:lang w:val="en-US" w:eastAsia="en-US" w:bidi="ar-SA"/>
              </w:rPr>
              <w:t xml:space="preserve">] </w:t>
            </w:r>
          </w:p>
          <w:p>
            <w:pPr>
              <w:spacing w:line="24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[Editor's note: Text in brackets is struck out in the original.]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xml:space="preserve">Since July 15, 2011, the Defendant, Dollar Saver Lumber Ltd, has entered upon and removed timber from that part of the Lands subject to TSL A84917.] </w:t>
            </w:r>
          </w:p>
          <w:p>
            <w:pPr>
              <w:spacing w:line="24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[Editor's note: Text in brackets is struck out in the original.]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271"/>
        </w:numPr>
        <w:spacing w:before="120" w:line="24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[Although] The Crown [</w:t>
      </w:r>
      <w:r>
        <w:rPr>
          <w:rFonts w:ascii="arial" w:eastAsia="arial" w:hAnsi="arial" w:cs="arial"/>
          <w:color w:val="000000"/>
          <w:sz w:val="20"/>
          <w:u w:val="single"/>
          <w:lang w:val="en-US" w:eastAsia="en-US" w:bidi="ar-SA"/>
        </w:rPr>
        <w:t>purported to act</w:t>
      </w:r>
      <w:r>
        <w:rPr>
          <w:rFonts w:ascii="arial" w:eastAsia="arial" w:hAnsi="arial" w:cs="arial"/>
          <w:color w:val="000000"/>
          <w:sz w:val="20"/>
          <w:lang w:val="en-US" w:eastAsia="en-US" w:bidi="ar-SA"/>
        </w:rPr>
        <w:t xml:space="preserve">] acted pursuant to statutory authority in granting </w:t>
      </w:r>
      <w:r>
        <w:rPr>
          <w:rFonts w:ascii="arial" w:eastAsia="arial" w:hAnsi="arial" w:cs="arial"/>
          <w:color w:val="000000"/>
          <w:sz w:val="20"/>
          <w:u w:val="single"/>
          <w:lang w:val="en-US" w:eastAsia="en-US" w:bidi="ar-SA"/>
        </w:rPr>
        <w:t>the</w:t>
      </w:r>
      <w:r>
        <w:rPr>
          <w:rFonts w:ascii="arial" w:eastAsia="arial" w:hAnsi="arial" w:cs="arial"/>
          <w:color w:val="000000"/>
          <w:sz w:val="20"/>
          <w:lang w:val="en-US" w:eastAsia="en-US" w:bidi="ar-SA"/>
        </w:rPr>
        <w:t xml:space="preserve"> timber licenses to the Defendant Foresters [the Crown exceeded this statutory authority]. </w:t>
      </w:r>
      <w:r>
        <w:rPr>
          <w:rFonts w:ascii="arial" w:eastAsia="arial" w:hAnsi="arial" w:cs="arial"/>
          <w:color w:val="000000"/>
          <w:sz w:val="20"/>
          <w:u w:val="single"/>
          <w:lang w:val="en-US" w:eastAsia="en-US" w:bidi="ar-SA"/>
        </w:rPr>
        <w:t>This statutory authority is governed by the Forest Act, the Forest and Range Practices Act, and the Wildfire Act but is also governed by various other regulations and standards.</w:t>
      </w:r>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In particular, the Crown has authority to grant timber licenses; but by implication of the Statutory regime permitting the use of Crown Lands and Crown resources by various licencees, the Crown cannot not grant such licenses without accommodation, consultation, and consideration of the proprietary and other interests of other license holder using the same lands, including the Plaintiff's proprietary and other interests in relation to the Lands that are the subject of this proceeding or, in the alternative, without requiring accommodation, consultation, and consideration of the proprietary and other interests of other license holders using the same Lands, including the Plaintiff's proprietary and other interest in relation to the Lands that are subject of this proceeding.</w:t>
      </w:r>
      <w:r>
        <w:rPr>
          <w:rFonts w:ascii="arial" w:eastAsia="arial" w:hAnsi="arial" w:cs="arial"/>
          <w:color w:val="000000"/>
          <w:sz w:val="20"/>
          <w:lang w:val="en-US" w:eastAsia="en-US" w:bidi="ar-SA"/>
        </w:rPr>
        <w:t xml:space="preserve">] </w:t>
      </w:r>
      <w:r>
        <w:rPr>
          <w:rFonts w:ascii="arial" w:eastAsia="arial" w:hAnsi="arial" w:cs="arial"/>
          <w:color w:val="000000"/>
          <w:sz w:val="18"/>
          <w:lang w:val="en-US" w:eastAsia="en-US" w:bidi="ar-SA"/>
        </w:rPr>
        <w:t>[Editor's note: Text in brackets is struck out in the original.]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41.1 </w:t>
      </w:r>
      <w:r>
        <w:rPr>
          <w:rFonts w:ascii="arial" w:eastAsia="arial" w:hAnsi="arial" w:cs="arial"/>
          <w:color w:val="000000"/>
          <w:sz w:val="20"/>
          <w:u w:val="single"/>
          <w:lang w:val="en-US" w:eastAsia="en-US" w:bidi="ar-SA"/>
        </w:rPr>
        <w:t>Although the licenses issued permitting the Defendant Foresters to harvest the trees subject to the license, the licenses granted to the Defendant Foresters were subject to limits set out in the timber license documents. The limits relevant to this claim are: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u w:val="single"/>
          <w:lang w:val="en-US" w:eastAsia="en-US" w:bidi="ar-SA"/>
        </w:rPr>
        <w:t>a. The licensee must give the Plaintiff at least 14 day's advance notice before commencing activities on Lands.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u w:val="single"/>
          <w:lang w:val="en-US" w:eastAsia="en-US" w:bidi="ar-SA"/>
        </w:rPr>
        <w:t>b. The licensee must not otherwise unreasonably interfere with with the proprietary interests or other interest holders, including but not limited to the Plaintiff.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41.2 </w:t>
      </w:r>
      <w:r>
        <w:rPr>
          <w:rFonts w:ascii="arial" w:eastAsia="arial" w:hAnsi="arial" w:cs="arial"/>
          <w:color w:val="000000"/>
          <w:sz w:val="20"/>
          <w:u w:val="single"/>
          <w:lang w:val="en-US" w:eastAsia="en-US" w:bidi="ar-SA"/>
        </w:rPr>
        <w:t>The licenses granted to the Defendant Foresters were also subject to expectations imposed by the Crown on licensees contained in a policy manual, A Practical Guide to Effective Coordination of Resource Tenures (the "Guide"). Although the Guide is not itself policy, the Guide refers to Crown expectations of the Defendant Foresters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u w:val="single"/>
          <w:lang w:val="en-US" w:eastAsia="en-US" w:bidi="ar-SA"/>
        </w:rPr>
        <w:t>a. The licencee must give other tenure holders at least 14 day's advance notice before commencing activities on the Lands.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u w:val="single"/>
          <w:lang w:val="en-US" w:eastAsia="en-US" w:bidi="ar-SA"/>
        </w:rPr>
        <w:t>b. The licensee must meaningfully consult the Plaintiff prior to commencement of harvesting.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u w:val="single"/>
          <w:lang w:val="en-US" w:eastAsia="en-US" w:bidi="ar-SA"/>
        </w:rPr>
        <w:t>c. The licensee must reasonably accommodate the interests of other tenure holders such as the Plaintiff.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41.3 </w:t>
      </w:r>
      <w:r>
        <w:rPr>
          <w:rFonts w:ascii="arial" w:eastAsia="arial" w:hAnsi="arial" w:cs="arial"/>
          <w:color w:val="000000"/>
          <w:sz w:val="20"/>
          <w:u w:val="single"/>
          <w:lang w:val="en-US" w:eastAsia="en-US" w:bidi="ar-SA"/>
        </w:rPr>
        <w:t>The Plaintiff pleads and relies on the terms of the individual licenses granted to the Defendant Foresters and the expectations and duties referred to in the Guide.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[41.4] [EditorÔÇÖs note: Text in brackets is struck out in the original.] </w:t>
      </w:r>
      <w:r>
        <w:rPr>
          <w:rFonts w:ascii="arial" w:eastAsia="arial" w:hAnsi="arial" w:cs="arial"/>
          <w:color w:val="000000"/>
          <w:sz w:val="20"/>
          <w:u w:val="single"/>
          <w:lang w:val="en-US" w:eastAsia="en-US" w:bidi="ar-SA"/>
        </w:rPr>
        <w:t>By virtue of the statutory regime, the terms of the harvesting licenses granted to the Defendant Foresters and the expectations and duties referred to in the Guide, the Defendant Foresters harvesting of timber on the Lands becomes lawful only after reasonable notice is given to other tenure holders and by avoiding unreasonable interference with other tenure holders' interests including but not limited to reasonable accommodation, consultation and consideration with other tenure holders.</w:t>
      </w:r>
    </w:p>
    <w:p>
      <w:pPr>
        <w:spacing w:before="120" w:line="24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color w:val="000000"/>
          <w:sz w:val="20"/>
          <w:u w:val="single"/>
          <w:lang w:val="en-US" w:eastAsia="en-US" w:bidi="ar-SA"/>
        </w:rPr>
        <w:t>40.1 The Crown permitted the Defendant Foresters to enter upon and remove timber from the Lands without accommodation, consultation and consideration of the Plaintiff's proprietary and other interests, or without requiring accommodation, consultation and consideration the consideration of the Plaintiff's proprietary and other interests,</w:t>
      </w:r>
      <w:r>
        <w:rPr>
          <w:rFonts w:ascii="arial" w:eastAsia="arial" w:hAnsi="arial" w:cs="arial"/>
          <w:color w:val="000000"/>
          <w:sz w:val="20"/>
          <w:lang w:val="en-US" w:eastAsia="en-US" w:bidi="ar-SA"/>
        </w:rPr>
        <w:t xml:space="preserve">] </w:t>
      </w:r>
      <w:r>
        <w:rPr>
          <w:rFonts w:ascii="arial" w:eastAsia="arial" w:hAnsi="arial" w:cs="arial"/>
          <w:color w:val="000000"/>
          <w:sz w:val="18"/>
          <w:lang w:val="en-US" w:eastAsia="en-US" w:bidi="ar-SA"/>
        </w:rPr>
        <w:t>[Editor's note: Text in brackets is struck out in the original.]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[42.] </w:t>
      </w:r>
      <w:r>
        <w:rPr>
          <w:rFonts w:ascii="arial" w:eastAsia="arial" w:hAnsi="arial" w:cs="arial"/>
          <w:color w:val="000000"/>
          <w:sz w:val="18"/>
          <w:lang w:val="en-US" w:eastAsia="en-US" w:bidi="ar-SA"/>
        </w:rPr>
        <w:t>[Editor's note: Text in brackets is struck out in the original.]</w:t>
      </w:r>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By permitting the Defendant Foresters to enter upon and remove timber from the Lands without ensuring accommodation, consultation, and consideration of the Plaintiff's proprietary and other interests by the Defendant Foresters, or without requiring accommodation, consultation of consideration the consideration of the the Plaintiff's proprietary and other interests by the Defendant Foresters, the Crown has unreasonably or unlawfully interfered with and injured the Plaintiff's profit-a-prendre, other property rights, or right to use the Lands and has interrupted and substantially interfered with the Plaintiff's business interest associated with those rights and the right to use the Lands.</w:t>
      </w:r>
    </w:p>
    <w:p>
      <w:pPr>
        <w:spacing w:before="120" w:line="24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[42.1 </w:t>
      </w:r>
      <w:r>
        <w:rPr>
          <w:rFonts w:ascii="arial" w:eastAsia="arial" w:hAnsi="arial" w:cs="arial"/>
          <w:color w:val="000000"/>
          <w:sz w:val="20"/>
          <w:u w:val="single"/>
          <w:lang w:val="en-US" w:eastAsia="en-US" w:bidi="ar-SA"/>
        </w:rPr>
        <w:t>Furthermore, and in the alternative, the Crown by its actions described above has effectively extinguished the proprietary and other rights of the Plaintiff without lawful authority to do so.</w:t>
      </w:r>
      <w:r>
        <w:rPr>
          <w:rFonts w:ascii="arial" w:eastAsia="arial" w:hAnsi="arial" w:cs="arial"/>
          <w:color w:val="000000"/>
          <w:sz w:val="20"/>
          <w:lang w:val="en-US" w:eastAsia="en-US" w:bidi="ar-SA"/>
        </w:rPr>
        <w:t xml:space="preserve">] </w:t>
      </w:r>
      <w:r>
        <w:rPr>
          <w:rFonts w:ascii="arial" w:eastAsia="arial" w:hAnsi="arial" w:cs="arial"/>
          <w:color w:val="000000"/>
          <w:sz w:val="18"/>
          <w:lang w:val="en-US" w:eastAsia="en-US" w:bidi="ar-SA"/>
        </w:rPr>
        <w:t>[Editor's note: Text in brackets is struck out in the original.]</w:t>
      </w:r>
    </w:p>
    <w:p>
      <w:pPr>
        <w:numPr>
          <w:numId w:val="2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Although the Defendant Foresters entered upon and removed timber from the Lands pursuant to timber licenses which were [</w:t>
      </w:r>
      <w:r>
        <w:rPr>
          <w:rFonts w:ascii="arial" w:eastAsia="arial" w:hAnsi="arial" w:cs="arial"/>
          <w:color w:val="000000"/>
          <w:sz w:val="20"/>
          <w:u w:val="single"/>
          <w:lang w:val="en-US" w:eastAsia="en-US" w:bidi="ar-SA"/>
        </w:rPr>
        <w:t>validly</w:t>
      </w:r>
      <w:r>
        <w:rPr>
          <w:rFonts w:ascii="arial" w:eastAsia="arial" w:hAnsi="arial" w:cs="arial"/>
          <w:color w:val="000000"/>
          <w:sz w:val="20"/>
          <w:lang w:val="en-US" w:eastAsia="en-US" w:bidi="ar-SA"/>
        </w:rPr>
        <w:t xml:space="preserve"> ] </w:t>
      </w:r>
      <w:r>
        <w:rPr>
          <w:rFonts w:ascii="arial" w:eastAsia="arial" w:hAnsi="arial" w:cs="arial"/>
          <w:color w:val="000000"/>
          <w:sz w:val="18"/>
          <w:lang w:val="en-US" w:eastAsia="en-US" w:bidi="ar-SA"/>
        </w:rPr>
        <w:t>[Editor's note: Text in brackets is struck out in the original.]</w:t>
      </w:r>
      <w:r>
        <w:rPr>
          <w:rFonts w:ascii="arial" w:eastAsia="arial" w:hAnsi="arial" w:cs="arial"/>
          <w:color w:val="000000"/>
          <w:sz w:val="20"/>
          <w:u w:val="single"/>
          <w:lang w:val="en-US" w:eastAsia="en-US" w:bidi="ar-SA"/>
        </w:rPr>
        <w:t>validly</w:t>
      </w:r>
      <w:r>
        <w:rPr>
          <w:rFonts w:ascii="arial" w:eastAsia="arial" w:hAnsi="arial" w:cs="arial"/>
          <w:color w:val="000000"/>
          <w:sz w:val="20"/>
          <w:lang w:val="en-US" w:eastAsia="en-US" w:bidi="ar-SA"/>
        </w:rPr>
        <w:t xml:space="preserve"> granted to them by the Crown, </w:t>
      </w:r>
      <w:r>
        <w:rPr>
          <w:rFonts w:ascii="arial" w:eastAsia="arial" w:hAnsi="arial" w:cs="arial"/>
          <w:color w:val="000000"/>
          <w:sz w:val="20"/>
          <w:u w:val="single"/>
          <w:lang w:val="en-US" w:eastAsia="en-US" w:bidi="ar-SA"/>
        </w:rPr>
        <w:t>the Defendant Foresters did so without adequate or any notice and without accommodation, consultation, or consideration of the Plaintiff or the Plaintiff's proprietary and other interests as was required by the licence documents and the Guide.</w:t>
      </w:r>
    </w:p>
    <w:p>
      <w:pPr>
        <w:spacing w:before="120" w:line="24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[43.1 </w:t>
      </w:r>
      <w:r>
        <w:rPr>
          <w:rFonts w:ascii="arial" w:eastAsia="arial" w:hAnsi="arial" w:cs="arial"/>
          <w:color w:val="000000"/>
          <w:sz w:val="20"/>
          <w:u w:val="single"/>
          <w:lang w:val="en-US" w:eastAsia="en-US" w:bidi="ar-SA"/>
        </w:rPr>
        <w:t>Furthermore, the Defendant Foresters while carrying out the activities permitted by licenses, have reduced the wildlife on the Lands, compromised the vitality of the forest on the Lands and reduced the amount of forested area on the Lands.</w:t>
      </w:r>
      <w:r>
        <w:rPr>
          <w:rFonts w:ascii="arial" w:eastAsia="arial" w:hAnsi="arial" w:cs="arial"/>
          <w:color w:val="000000"/>
          <w:sz w:val="20"/>
          <w:lang w:val="en-US" w:eastAsia="en-US" w:bidi="ar-SA"/>
        </w:rPr>
        <w:t xml:space="preserve">] </w:t>
      </w:r>
      <w:r>
        <w:rPr>
          <w:rFonts w:ascii="arial" w:eastAsia="arial" w:hAnsi="arial" w:cs="arial"/>
          <w:color w:val="000000"/>
          <w:sz w:val="18"/>
          <w:lang w:val="en-US" w:eastAsia="en-US" w:bidi="ar-SA"/>
        </w:rPr>
        <w:t>[Editor's note: Text in brackets is struck out in the original.]</w:t>
      </w:r>
    </w:p>
    <w:p>
      <w:pPr>
        <w:numPr>
          <w:numId w:val="273"/>
        </w:numPr>
        <w:spacing w:before="120" w:line="24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color w:val="000000"/>
          <w:sz w:val="20"/>
          <w:u w:val="single"/>
          <w:lang w:val="en-US" w:eastAsia="en-US" w:bidi="ar-SA"/>
        </w:rPr>
        <w:t>Furthermore</w:t>
      </w:r>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by</w:t>
      </w:r>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As a result of their failure to comply with the terms of the licenses granted to them and by their failure to adhere to the expectations of the Guide while conducting or while in the course of carrying out their business activities</w:t>
      </w:r>
      <w:r>
        <w:rPr>
          <w:rFonts w:ascii="arial" w:eastAsia="arial" w:hAnsi="arial" w:cs="arial"/>
          <w:color w:val="000000"/>
          <w:sz w:val="20"/>
          <w:lang w:val="en-US" w:eastAsia="en-US" w:bidi="ar-SA"/>
        </w:rPr>
        <w:t xml:space="preserve">, the Defendant Foresters have </w:t>
      </w:r>
      <w:r>
        <w:rPr>
          <w:rFonts w:ascii="arial" w:eastAsia="arial" w:hAnsi="arial" w:cs="arial"/>
          <w:color w:val="000000"/>
          <w:sz w:val="20"/>
          <w:u w:val="single"/>
          <w:lang w:val="en-US" w:eastAsia="en-US" w:bidi="ar-SA"/>
        </w:rPr>
        <w:t>acted unlawfully and have unreasonably and unlawfully disturbed,</w:t>
      </w:r>
      <w:r>
        <w:rPr>
          <w:rFonts w:ascii="arial" w:eastAsia="arial" w:hAnsi="arial" w:cs="arial"/>
          <w:color w:val="000000"/>
          <w:sz w:val="20"/>
          <w:lang w:val="en-US" w:eastAsia="en-US" w:bidi="ar-SA"/>
        </w:rPr>
        <w:t xml:space="preserve"> interfered with </w:t>
      </w:r>
      <w:r>
        <w:rPr>
          <w:rFonts w:ascii="arial" w:eastAsia="arial" w:hAnsi="arial" w:cs="arial"/>
          <w:color w:val="000000"/>
          <w:sz w:val="20"/>
          <w:u w:val="single"/>
          <w:lang w:val="en-US" w:eastAsia="en-US" w:bidi="ar-SA"/>
        </w:rPr>
        <w:t>and injured</w:t>
      </w:r>
      <w:r>
        <w:rPr>
          <w:rFonts w:ascii="arial" w:eastAsia="arial" w:hAnsi="arial" w:cs="arial"/>
          <w:color w:val="000000"/>
          <w:sz w:val="20"/>
          <w:lang w:val="en-US" w:eastAsia="en-US" w:bidi="ar-SA"/>
        </w:rPr>
        <w:t xml:space="preserve"> the Plaintiff's [two Traplines] </w:t>
      </w:r>
      <w:r>
        <w:rPr>
          <w:rFonts w:ascii="arial" w:eastAsia="arial" w:hAnsi="arial" w:cs="arial"/>
          <w:color w:val="000000"/>
          <w:sz w:val="20"/>
          <w:u w:val="single"/>
          <w:lang w:val="en-US" w:eastAsia="en-US" w:bidi="ar-SA"/>
        </w:rPr>
        <w:t>profit a prendre and other rights of use and occupation of the Lands.</w:t>
      </w:r>
      <w:r>
        <w:rPr>
          <w:rFonts w:ascii="arial" w:eastAsia="arial" w:hAnsi="arial" w:cs="arial"/>
          <w:color w:val="000000"/>
          <w:sz w:val="20"/>
          <w:lang w:val="en-US" w:eastAsia="en-US" w:bidi="ar-SA"/>
        </w:rPr>
        <w:t xml:space="preserve"> </w:t>
      </w:r>
      <w:r>
        <w:rPr>
          <w:rFonts w:ascii="arial" w:eastAsia="arial" w:hAnsi="arial" w:cs="arial"/>
          <w:color w:val="000000"/>
          <w:sz w:val="18"/>
          <w:lang w:val="en-US" w:eastAsia="en-US" w:bidi="ar-SA"/>
        </w:rPr>
        <w:t>[Editor's note: Text in brackets is struck out in the original.]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44.1 The Authority granted to the Defendant Foresters to enter upon the Land did not permit them to enter upon the Lands and remove Timber from the Lands and conduct their otherwise licenced activities on the Lands without accommodation of, consultation of, and consideration of the Plaintiff's proprietary and other interests and in such a way as to unreasonably interfere with the Plaintiff's proprietary and other interest.</w:t>
      </w:r>
    </w:p>
    <w:p>
      <w:pPr>
        <w:numPr>
          <w:numId w:val="274"/>
        </w:numPr>
        <w:spacing w:before="120" w:line="24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By their actions, the Defendant Foresters [have </w:t>
      </w:r>
      <w:r>
        <w:rPr>
          <w:rFonts w:ascii="arial" w:eastAsia="arial" w:hAnsi="arial" w:cs="arial"/>
          <w:color w:val="000000"/>
          <w:sz w:val="20"/>
          <w:u w:val="single"/>
          <w:lang w:val="en-US" w:eastAsia="en-US" w:bidi="ar-SA"/>
        </w:rPr>
        <w:t>unreasonably and unlawfully</w:t>
      </w:r>
      <w:r>
        <w:rPr>
          <w:rFonts w:ascii="arial" w:eastAsia="arial" w:hAnsi="arial" w:cs="arial"/>
          <w:color w:val="000000"/>
          <w:sz w:val="20"/>
          <w:lang w:val="en-US" w:eastAsia="en-US" w:bidi="ar-SA"/>
        </w:rPr>
        <w:t xml:space="preserve"> interfered with and injured the Plaintiff's profit a prendre</w:t>
      </w:r>
      <w:r>
        <w:rPr>
          <w:rFonts w:ascii="arial" w:eastAsia="arial" w:hAnsi="arial" w:cs="arial"/>
          <w:color w:val="000000"/>
          <w:sz w:val="20"/>
          <w:u w:val="single"/>
          <w:lang w:val="en-US" w:eastAsia="en-US" w:bidi="ar-SA"/>
        </w:rPr>
        <w:t>, other property rights, or right to use and occupy the Lands</w:t>
      </w:r>
      <w:r>
        <w:rPr>
          <w:rFonts w:ascii="arial" w:eastAsia="arial" w:hAnsi="arial" w:cs="arial"/>
          <w:color w:val="000000"/>
          <w:sz w:val="20"/>
          <w:lang w:val="en-US" w:eastAsia="en-US" w:bidi="ar-SA"/>
        </w:rPr>
        <w:t xml:space="preserve"> and] have interrupted and substantially interfered with the Plaintiff's </w:t>
      </w:r>
      <w:r>
        <w:rPr>
          <w:rFonts w:ascii="arial" w:eastAsia="arial" w:hAnsi="arial" w:cs="arial"/>
          <w:color w:val="000000"/>
          <w:sz w:val="20"/>
          <w:u w:val="single"/>
          <w:lang w:val="en-US" w:eastAsia="en-US" w:bidi="ar-SA"/>
        </w:rPr>
        <w:t>profit a prendre and the right to use and occupy the Lands and the</w:t>
      </w:r>
      <w:r>
        <w:rPr>
          <w:rFonts w:ascii="arial" w:eastAsia="arial" w:hAnsi="arial" w:cs="arial"/>
          <w:color w:val="000000"/>
          <w:sz w:val="20"/>
          <w:lang w:val="en-US" w:eastAsia="en-US" w:bidi="ar-SA"/>
        </w:rPr>
        <w:t xml:space="preserve"> business interests associated with those rights [</w:t>
      </w:r>
      <w:r>
        <w:rPr>
          <w:rFonts w:ascii="arial" w:eastAsia="arial" w:hAnsi="arial" w:cs="arial"/>
          <w:color w:val="000000"/>
          <w:sz w:val="20"/>
          <w:u w:val="single"/>
          <w:lang w:val="en-US" w:eastAsia="en-US" w:bidi="ar-SA"/>
        </w:rPr>
        <w:t>and the right to use the Lands</w:t>
      </w:r>
      <w:r>
        <w:rPr>
          <w:rFonts w:ascii="arial" w:eastAsia="arial" w:hAnsi="arial" w:cs="arial"/>
          <w:color w:val="000000"/>
          <w:sz w:val="20"/>
          <w:lang w:val="en-US" w:eastAsia="en-US" w:bidi="ar-SA"/>
        </w:rPr>
        <w:t xml:space="preserve">]. </w:t>
      </w:r>
      <w:r>
        <w:rPr>
          <w:rFonts w:ascii="arial" w:eastAsia="arial" w:hAnsi="arial" w:cs="arial"/>
          <w:color w:val="000000"/>
          <w:sz w:val="18"/>
          <w:lang w:val="en-US" w:eastAsia="en-US" w:bidi="ar-SA"/>
        </w:rPr>
        <w:t>[Editor's note: Text in brackets is struck out in the original.]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45.1 Furthermore, and in the alternative, the Defendant Foresters by their actions as alleged above, have effectively extinguished the proprietary and other rights of the Plaintiff in the Lands that have been harvested without lawful authority to do so.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45.2 In particular, the Defendant Foresters have clear-cut the Lands subject to their licenses rather than employing other more reasonable harvesting methods which were reasonably available and which would not have harmed or would have lessened the harm to the Plaintiff's profit a prendre and other rights of use and occupation.</w:t>
      </w:r>
    </w:p>
    <w:p>
      <w:pPr>
        <w:spacing w:before="120" w:line="24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color w:val="000000"/>
          <w:sz w:val="20"/>
          <w:u w:val="single"/>
          <w:lang w:val="en-US" w:eastAsia="en-US" w:bidi="ar-SA"/>
        </w:rPr>
        <w:t>45.3 The Crown, being the owner of the Lands subject to the Guiding Certificates, the two Traplines and the various timber licenses granted to the Defendant Foresters, knew or ought to have known or ought to have reasonably foreseen that the activities of the Defendant Foresters, if permitted by the Crown, could substantially interfere with the Plaintiff's profit a prendre, other property rights, or right to use the Lands and has interrupted and substantially interfered with the Plaintiff's business interests associated with those rights and the Plaintiff's right to use the Lands.</w:t>
      </w:r>
      <w:r>
        <w:rPr>
          <w:rFonts w:ascii="arial" w:eastAsia="arial" w:hAnsi="arial" w:cs="arial"/>
          <w:color w:val="000000"/>
          <w:sz w:val="20"/>
          <w:lang w:val="en-US" w:eastAsia="en-US" w:bidi="ar-SA"/>
        </w:rPr>
        <w:t xml:space="preserve">] </w:t>
      </w:r>
      <w:r>
        <w:rPr>
          <w:rFonts w:ascii="arial" w:eastAsia="arial" w:hAnsi="arial" w:cs="arial"/>
          <w:color w:val="000000"/>
          <w:sz w:val="18"/>
          <w:lang w:val="en-US" w:eastAsia="en-US" w:bidi="ar-SA"/>
        </w:rPr>
        <w:t>[Editor's note: Text in brackets is struck out in the original.]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45.4 The Defendant Foresters by not providing any or inadequate notice and by not complying with the expectations and standards imposed on them by the Crown (as set out in the Guide) have thereby caused a nuisance which is not statutorily authorized and which has disturbed and substantially diminished the value and beneficial use of the Plaintiff's profit a prendre and other rights of use and occupation of the Lands.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 xml:space="preserve">45.5 This nuisance was created and continued by the Defendant Foresters by theirs acts and omission and further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u w:val="single"/>
          <w:lang w:val="en-US" w:eastAsia="en-US" w:bidi="ar-SA"/>
        </w:rPr>
        <w:t xml:space="preserve"> of both the Defendant Foresters and the Crown as particularized below</w:t>
      </w:r>
    </w:p>
    <w:p>
      <w:pPr>
        <w:numPr>
          <w:numId w:val="2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premises, the Crown and Defendant Foresters have [unreasonably </w:t>
      </w:r>
      <w:r>
        <w:rPr>
          <w:rFonts w:ascii="arial" w:eastAsia="arial" w:hAnsi="arial" w:cs="arial"/>
          <w:color w:val="000000"/>
          <w:sz w:val="20"/>
          <w:u w:val="single"/>
          <w:lang w:val="en-US" w:eastAsia="en-US" w:bidi="ar-SA"/>
        </w:rPr>
        <w:t>and substantially</w:t>
      </w:r>
      <w:r>
        <w:rPr>
          <w:rFonts w:ascii="arial" w:eastAsia="arial" w:hAnsi="arial" w:cs="arial"/>
          <w:color w:val="000000"/>
          <w:sz w:val="20"/>
          <w:lang w:val="en-US" w:eastAsia="en-US" w:bidi="ar-SA"/>
        </w:rPr>
        <w:t xml:space="preserve"> interfered with the profit a prendre, </w:t>
      </w:r>
      <w:r>
        <w:rPr>
          <w:rFonts w:ascii="arial" w:eastAsia="arial" w:hAnsi="arial" w:cs="arial"/>
          <w:color w:val="000000"/>
          <w:sz w:val="20"/>
          <w:u w:val="single"/>
          <w:lang w:val="en-US" w:eastAsia="en-US" w:bidi="ar-SA"/>
        </w:rPr>
        <w:t>other property rights, or right of the Plaintiff to use the Lands</w:t>
      </w:r>
      <w:r>
        <w:rPr>
          <w:rFonts w:ascii="arial" w:eastAsia="arial" w:hAnsi="arial" w:cs="arial"/>
          <w:color w:val="000000"/>
          <w:sz w:val="20"/>
          <w:lang w:val="en-US" w:eastAsia="en-US" w:bidi="ar-SA"/>
        </w:rPr>
        <w:t xml:space="preserve"> and have] </w:t>
      </w:r>
      <w:r>
        <w:rPr>
          <w:rFonts w:ascii="arial" w:eastAsia="arial" w:hAnsi="arial" w:cs="arial"/>
          <w:color w:val="000000"/>
          <w:sz w:val="18"/>
          <w:lang w:val="en-US" w:eastAsia="en-US" w:bidi="ar-SA"/>
        </w:rPr>
        <w:t>[Editor's note: Text in brackets is struck out in the original.]</w:t>
      </w:r>
      <w:r>
        <w:rPr>
          <w:rFonts w:ascii="arial" w:eastAsia="arial" w:hAnsi="arial" w:cs="arial"/>
          <w:color w:val="000000"/>
          <w:sz w:val="20"/>
          <w:lang w:val="en-US" w:eastAsia="en-US" w:bidi="ar-SA"/>
        </w:rPr>
        <w:t xml:space="preserve"> thereby committed a nuisance </w:t>
      </w:r>
      <w:r>
        <w:rPr>
          <w:rFonts w:ascii="arial" w:eastAsia="arial" w:hAnsi="arial" w:cs="arial"/>
          <w:color w:val="000000"/>
          <w:sz w:val="20"/>
          <w:u w:val="single"/>
          <w:lang w:val="en-US" w:eastAsia="en-US" w:bidi="ar-SA"/>
        </w:rPr>
        <w:t>and/or other unlawful acts</w:t>
      </w:r>
      <w:r>
        <w:rPr>
          <w:rFonts w:ascii="arial" w:eastAsia="arial" w:hAnsi="arial" w:cs="arial"/>
          <w:color w:val="000000"/>
          <w:sz w:val="20"/>
          <w:lang w:val="en-US" w:eastAsia="en-US" w:bidi="ar-SA"/>
        </w:rPr>
        <w:t xml:space="preserve"> in relation to the Plaintiff's profit a prendre, </w:t>
      </w:r>
      <w:r>
        <w:rPr>
          <w:rFonts w:ascii="arial" w:eastAsia="arial" w:hAnsi="arial" w:cs="arial"/>
          <w:color w:val="000000"/>
          <w:sz w:val="20"/>
          <w:u w:val="single"/>
          <w:lang w:val="en-US" w:eastAsia="en-US" w:bidi="ar-SA"/>
        </w:rPr>
        <w:t>other property rights or right to use the Lands</w:t>
      </w:r>
      <w:r>
        <w:rPr>
          <w:rFonts w:ascii="arial" w:eastAsia="arial" w:hAnsi="arial" w:cs="arial"/>
          <w:color w:val="000000"/>
          <w:sz w:val="20"/>
          <w:lang w:val="en-US" w:eastAsia="en-US" w:bidi="ar-SA"/>
        </w:rPr>
        <w:t>.</w:t>
      </w:r>
    </w:p>
    <w:p>
      <w:pPr>
        <w:numPr>
          <w:numId w:val="2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a result of the ongoing nuisances </w:t>
      </w:r>
      <w:r>
        <w:rPr>
          <w:rFonts w:ascii="arial" w:eastAsia="arial" w:hAnsi="arial" w:cs="arial"/>
          <w:color w:val="000000"/>
          <w:sz w:val="20"/>
          <w:u w:val="single"/>
          <w:lang w:val="en-US" w:eastAsia="en-US" w:bidi="ar-SA"/>
        </w:rPr>
        <w:t>and other unlawful acts</w:t>
      </w:r>
      <w:r>
        <w:rPr>
          <w:rFonts w:ascii="arial" w:eastAsia="arial" w:hAnsi="arial" w:cs="arial"/>
          <w:color w:val="000000"/>
          <w:sz w:val="20"/>
          <w:lang w:val="en-US" w:eastAsia="en-US" w:bidi="ar-SA"/>
        </w:rPr>
        <w:t xml:space="preserve"> created by and caused by the Crown and the Defendant Foresters, the Plaintiff has suffered loss and damage. In particular, </w:t>
      </w:r>
      <w:r>
        <w:rPr>
          <w:rFonts w:ascii="arial" w:eastAsia="arial" w:hAnsi="arial" w:cs="arial"/>
          <w:color w:val="000000"/>
          <w:sz w:val="20"/>
          <w:u w:val="single"/>
          <w:lang w:val="en-US" w:eastAsia="en-US" w:bidi="ar-SA"/>
        </w:rPr>
        <w:t>the Defendant Foresters substantially and unreasonably disturbed the Plaintiff's profit a prendre and other rights to use and occupy the Lands as follows:</w:t>
      </w:r>
    </w:p>
    <w:p>
      <w:pPr>
        <w:numPr>
          <w:numId w:val="27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The Defendant Foresters have substantially reduced the wildlife on the Lands.</w:t>
      </w:r>
    </w:p>
    <w:p>
      <w:pPr>
        <w:numPr>
          <w:numId w:val="2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The Defendant Foresters have compromised the vitality of the forest by taking non merchantable and non commercial trees and brush</w:t>
      </w:r>
    </w:p>
    <w:p>
      <w:pPr>
        <w:numPr>
          <w:numId w:val="2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The Defendant Foresters have reduced the amount of forested area available for trapping and guiding.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47.1 </w:t>
      </w:r>
      <w:r>
        <w:rPr>
          <w:rFonts w:ascii="arial" w:eastAsia="arial" w:hAnsi="arial" w:cs="arial"/>
          <w:color w:val="000000"/>
          <w:sz w:val="20"/>
          <w:u w:val="single"/>
          <w:lang w:val="en-US" w:eastAsia="en-US" w:bidi="ar-SA"/>
        </w:rPr>
        <w:t>Moreover, the damage caused to the profit a prendre by the Defendant Foresters and Crown will take up a substantial period of time to remedy. In particular, it will take up to 40 years for the forest to become usuable again for the purposes of trapping.</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The Claim in </w:t>
      </w:r>
      <w:r>
        <w:rPr>
          <w:rFonts w:ascii="arial" w:eastAsia="arial" w:hAnsi="arial" w:cs="arial"/>
          <w:b/>
          <w:i/>
          <w:color w:val="000000"/>
          <w:sz w:val="20"/>
          <w:u w:val="single"/>
          <w:lang w:val="en-US" w:eastAsia="en-US" w:bidi="ar-SA"/>
        </w:rPr>
        <w:t>Negligence</w:t>
      </w:r>
      <w:r>
        <w:rPr>
          <w:rFonts w:ascii="arial" w:eastAsia="arial" w:hAnsi="arial" w:cs="arial"/>
          <w:sz w:val="20"/>
          <w:lang w:val="en-US" w:eastAsia="en-US" w:bidi="ar-SA"/>
        </w:rPr>
        <w:cr/>
      </w:r>
    </w:p>
    <w:p>
      <w:pPr>
        <w:numPr>
          <w:numId w:val="2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addition,] </w:t>
      </w:r>
      <w:r>
        <w:rPr>
          <w:rFonts w:ascii="arial" w:eastAsia="arial" w:hAnsi="arial" w:cs="arial"/>
          <w:color w:val="000000"/>
          <w:sz w:val="18"/>
          <w:lang w:val="en-US" w:eastAsia="en-US" w:bidi="ar-SA"/>
        </w:rPr>
        <w:t>[Editor's note: Text in brackets is struck out in the original.]</w:t>
      </w:r>
      <w:r>
        <w:rPr>
          <w:rFonts w:ascii="arial" w:eastAsia="arial" w:hAnsi="arial" w:cs="arial"/>
          <w:color w:val="000000"/>
          <w:sz w:val="20"/>
          <w:lang w:val="en-US" w:eastAsia="en-US" w:bidi="ar-SA"/>
        </w:rPr>
        <w:t xml:space="preserve"> The Crown</w:t>
      </w:r>
      <w:r>
        <w:rPr>
          <w:rFonts w:ascii="arial" w:eastAsia="arial" w:hAnsi="arial" w:cs="arial"/>
          <w:color w:val="000000"/>
          <w:sz w:val="20"/>
          <w:u w:val="single"/>
          <w:lang w:val="en-US" w:eastAsia="en-US" w:bidi="ar-SA"/>
        </w:rPr>
        <w:t>, its agents and its servants,</w:t>
      </w:r>
      <w:r>
        <w:rPr>
          <w:rFonts w:ascii="arial" w:eastAsia="arial" w:hAnsi="arial" w:cs="arial"/>
          <w:color w:val="000000"/>
          <w:sz w:val="20"/>
          <w:lang w:val="en-US" w:eastAsia="en-US" w:bidi="ar-SA"/>
        </w:rPr>
        <w:t xml:space="preserve"> knew or ought to have known that the harvesting activities of the Defendant Foresters which were permitted by the Crown could cause damage to the Plaintiff and the business interests of the Plaintiff.</w:t>
      </w:r>
    </w:p>
    <w:p>
      <w:pPr>
        <w:numPr>
          <w:numId w:val="28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Moreover, the damage that could result from the harvesting activities of the Defendant Foresters was a reasonably foreseeable consequence of such activities.</w:t>
      </w:r>
    </w:p>
    <w:p>
      <w:pPr>
        <w:spacing w:before="120" w:line="24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49.1 </w:t>
      </w:r>
      <w:r>
        <w:rPr>
          <w:rFonts w:ascii="arial" w:eastAsia="arial" w:hAnsi="arial" w:cs="arial"/>
          <w:color w:val="000000"/>
          <w:sz w:val="20"/>
          <w:u w:val="single"/>
          <w:lang w:val="en-US" w:eastAsia="en-US" w:bidi="ar-SA"/>
        </w:rPr>
        <w:t>The potential damage to the Plaintiff's interests caused by use of the Lands by other tenure holders such as the Defendant Foresters was so clearly apparent that the Crown has itself published the Guide which contained references to its expectations of all tenure holders. These expectations represent standards of conduct required of the Defendant Foresters as well as all other tenure holders. [policies relating to the management of resource conflicts between tenure holders.</w:t>
      </w:r>
      <w:r>
        <w:rPr>
          <w:rFonts w:ascii="arial" w:eastAsia="arial" w:hAnsi="arial" w:cs="arial"/>
          <w:color w:val="000000"/>
          <w:sz w:val="20"/>
          <w:lang w:val="en-US" w:eastAsia="en-US" w:bidi="ar-SA"/>
        </w:rPr>
        <w:t xml:space="preserve">] </w:t>
      </w:r>
      <w:r>
        <w:rPr>
          <w:rFonts w:ascii="arial" w:eastAsia="arial" w:hAnsi="arial" w:cs="arial"/>
          <w:color w:val="000000"/>
          <w:sz w:val="18"/>
          <w:lang w:val="en-US" w:eastAsia="en-US" w:bidi="ar-SA"/>
        </w:rPr>
        <w:t>[Editor's note: Text in brackets is struck out in the original.]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49.2 </w:t>
      </w:r>
      <w:r>
        <w:rPr>
          <w:rFonts w:ascii="arial" w:eastAsia="arial" w:hAnsi="arial" w:cs="arial"/>
          <w:color w:val="000000"/>
          <w:sz w:val="20"/>
          <w:u w:val="single"/>
          <w:lang w:val="en-US" w:eastAsia="en-US" w:bidi="ar-SA"/>
        </w:rPr>
        <w:t>The Crown further inserted terms into the licenses granted to the Defendant Foresters requiring notice and prohibiting unlawful interference with the Plaintiff's interests.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49.3 </w:t>
      </w:r>
      <w:r>
        <w:rPr>
          <w:rFonts w:ascii="arial" w:eastAsia="arial" w:hAnsi="arial" w:cs="arial"/>
          <w:color w:val="000000"/>
          <w:sz w:val="20"/>
          <w:u w:val="single"/>
          <w:lang w:val="en-US" w:eastAsia="en-US" w:bidi="ar-SA"/>
        </w:rPr>
        <w:t>Moreover, The Crown is statutorily empowered to regulate the activities of the Defendant Foresters. The Crown can even suspend or cancel licenses issued to the Defendant Foresters where the Defendant Foresters breach the statutory requirements or terms of the licenses.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49.4 </w:t>
      </w:r>
      <w:r>
        <w:rPr>
          <w:rFonts w:ascii="arial" w:eastAsia="arial" w:hAnsi="arial" w:cs="arial"/>
          <w:color w:val="000000"/>
          <w:sz w:val="20"/>
          <w:u w:val="single"/>
          <w:lang w:val="en-US" w:eastAsia="en-US" w:bidi="ar-SA"/>
        </w:rPr>
        <w:t>The Plaintiff pleads and relies on Sections 76, 77 and 78 of the Forest Act.</w:t>
      </w:r>
    </w:p>
    <w:p>
      <w:pPr>
        <w:numPr>
          <w:numId w:val="2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premises, the Crown</w:t>
      </w:r>
      <w:r>
        <w:rPr>
          <w:rFonts w:ascii="arial" w:eastAsia="arial" w:hAnsi="arial" w:cs="arial"/>
          <w:color w:val="000000"/>
          <w:sz w:val="20"/>
          <w:u w:val="single"/>
          <w:lang w:val="en-US" w:eastAsia="en-US" w:bidi="ar-SA"/>
        </w:rPr>
        <w:t>, its agents and its servants,</w:t>
      </w:r>
      <w:r>
        <w:rPr>
          <w:rFonts w:ascii="arial" w:eastAsia="arial" w:hAnsi="arial" w:cs="arial"/>
          <w:color w:val="000000"/>
          <w:sz w:val="20"/>
          <w:lang w:val="en-US" w:eastAsia="en-US" w:bidi="ar-SA"/>
        </w:rPr>
        <w:t xml:space="preserve"> owed a duty of care to the Plaintiff to take all reasonable steps to ensure that the Plaintiff and the business interests of the Plaintiff were not harmed by the Defendant Foresters' harvesting activities through lack of notice and lack of reasonable accommodation, consultation and consideration.</w:t>
      </w:r>
    </w:p>
    <w:p>
      <w:pPr>
        <w:numPr>
          <w:numId w:val="28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Crown, </w:t>
      </w:r>
      <w:r>
        <w:rPr>
          <w:rFonts w:ascii="arial" w:eastAsia="arial" w:hAnsi="arial" w:cs="arial"/>
          <w:color w:val="000000"/>
          <w:sz w:val="20"/>
          <w:u w:val="single"/>
          <w:lang w:val="en-US" w:eastAsia="en-US" w:bidi="ar-SA"/>
        </w:rPr>
        <w:t>its agents and servants,</w:t>
      </w:r>
      <w:r>
        <w:rPr>
          <w:rFonts w:ascii="arial" w:eastAsia="arial" w:hAnsi="arial" w:cs="arial"/>
          <w:color w:val="000000"/>
          <w:sz w:val="20"/>
          <w:lang w:val="en-US" w:eastAsia="en-US" w:bidi="ar-SA"/>
        </w:rPr>
        <w:t xml:space="preserve"> failed to take reasonable steps to ensure that the Plaintiff and the business interests of the Plaintiff were not harmed by the harvesting activities of the Defendant Foresters. </w:t>
      </w:r>
      <w:r>
        <w:rPr>
          <w:rFonts w:ascii="arial" w:eastAsia="arial" w:hAnsi="arial" w:cs="arial"/>
          <w:color w:val="000000"/>
          <w:sz w:val="20"/>
          <w:u w:val="single"/>
          <w:lang w:val="en-US" w:eastAsia="en-US" w:bidi="ar-SA"/>
        </w:rPr>
        <w:t>In particular:</w:t>
      </w:r>
    </w:p>
    <w:p>
      <w:pPr>
        <w:numPr>
          <w:numId w:val="28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The Crown issued licenses to the Defendant Foresters without taking any or adequate steps to ensure the Defendant Foresters complied with the terms of the license such as adequate notice to the Plaintiff and avoiding unreasonable interference with the Plaintiff's interests.</w:t>
      </w:r>
    </w:p>
    <w:p>
      <w:pPr>
        <w:numPr>
          <w:numId w:val="28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w:t>
      </w:r>
      <w:r>
        <w:rPr>
          <w:rFonts w:ascii="arial" w:eastAsia="arial" w:hAnsi="arial" w:cs="arial"/>
          <w:color w:val="000000"/>
          <w:sz w:val="20"/>
          <w:u w:val="single"/>
          <w:lang w:val="en-US" w:eastAsia="en-US" w:bidi="ar-SA"/>
        </w:rPr>
        <w:t>he Crown permitted the Defendant Foresters to enter upon and remove timber from the Lands without taking any or adequate steps to ensure that the Defendant Foresters gave notice and/or followed the Guide's expectations of accommodation, consultation, and consideration of the Plaintiff's proprietary and other interests.</w:t>
      </w:r>
    </w:p>
    <w:p>
      <w:pPr>
        <w:numPr>
          <w:numId w:val="28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 xml:space="preserve">The Crown permitted the Defendant Foresters to enter upon and remove timber from the Lands or without enforcing its expectation of accommodation, consultation and [consideration the] </w:t>
      </w:r>
      <w:r>
        <w:rPr>
          <w:rFonts w:ascii="arial" w:eastAsia="arial" w:hAnsi="arial" w:cs="arial"/>
          <w:color w:val="000000"/>
          <w:sz w:val="18"/>
          <w:u w:val="single"/>
          <w:lang w:val="en-US" w:eastAsia="en-US" w:bidi="ar-SA"/>
        </w:rPr>
        <w:t>[Editor's note: Text in brackets is struck out in the original.]</w:t>
      </w:r>
      <w:r>
        <w:rPr>
          <w:rFonts w:ascii="arial" w:eastAsia="arial" w:hAnsi="arial" w:cs="arial"/>
          <w:color w:val="000000"/>
          <w:sz w:val="20"/>
          <w:u w:val="single"/>
          <w:lang w:val="en-US" w:eastAsia="en-US" w:bidi="ar-SA"/>
        </w:rPr>
        <w:t xml:space="preserve"> consideration of the Plaintiff's proprietary and other interest by the Defendant Foresters as set out in the Guide.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51.1 </w:t>
      </w:r>
      <w:r>
        <w:rPr>
          <w:rFonts w:ascii="arial" w:eastAsia="arial" w:hAnsi="arial" w:cs="arial"/>
          <w:color w:val="000000"/>
          <w:sz w:val="20"/>
          <w:u w:val="single"/>
          <w:lang w:val="en-US" w:eastAsia="en-US" w:bidi="ar-SA"/>
        </w:rPr>
        <w:t>In addition, the Crown at all material times, retained the discretion to suspend or cancel a harvesting license when a licensee failed to comply with obligations under its license.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51.2 </w:t>
      </w:r>
      <w:r>
        <w:rPr>
          <w:rFonts w:ascii="arial" w:eastAsia="arial" w:hAnsi="arial" w:cs="arial"/>
          <w:color w:val="000000"/>
          <w:sz w:val="20"/>
          <w:u w:val="single"/>
          <w:lang w:val="en-US" w:eastAsia="en-US" w:bidi="ar-SA"/>
        </w:rPr>
        <w:t>Further, the Crown was obligated to use this discretion in good faith to ensure a reasonable accommodation of the Plaintiff's interests. On many occasions between June 2011 and June 2013, the particulars of which will be set out at trial, the Crown failed to exercise this discretion reasonably or at all, even when it knew or ought to have know that Defendant Foresters had failed to give notice or had failed to reasonably accommodate the interests of the Plaintiff contrary to the Crown's expectations set out in the Guide.</w:t>
      </w:r>
    </w:p>
    <w:p>
      <w:pPr>
        <w:numPr>
          <w:numId w:val="28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Crown</w:t>
      </w:r>
      <w:r>
        <w:rPr>
          <w:rFonts w:ascii="arial" w:eastAsia="arial" w:hAnsi="arial" w:cs="arial"/>
          <w:color w:val="000000"/>
          <w:sz w:val="20"/>
          <w:u w:val="single"/>
          <w:lang w:val="en-US" w:eastAsia="en-US" w:bidi="ar-SA"/>
        </w:rPr>
        <w:t>, its agents and servants, as particularized above</w:t>
      </w:r>
      <w:r>
        <w:rPr>
          <w:rFonts w:ascii="arial" w:eastAsia="arial" w:hAnsi="arial" w:cs="arial"/>
          <w:color w:val="000000"/>
          <w:sz w:val="20"/>
          <w:lang w:val="en-US" w:eastAsia="en-US" w:bidi="ar-SA"/>
        </w:rPr>
        <w:t xml:space="preserve">, has caused and continues to cause damage to the Plaintiff and the business interests of the Plaintiff </w:t>
      </w:r>
      <w:r>
        <w:rPr>
          <w:rFonts w:ascii="arial" w:eastAsia="arial" w:hAnsi="arial" w:cs="arial"/>
          <w:color w:val="000000"/>
          <w:sz w:val="20"/>
          <w:u w:val="single"/>
          <w:lang w:val="en-US" w:eastAsia="en-US" w:bidi="ar-SA"/>
        </w:rPr>
        <w:t>including but not limited to physical damage and economic loss</w:t>
      </w:r>
      <w:r>
        <w:rPr>
          <w:rFonts w:ascii="arial" w:eastAsia="arial" w:hAnsi="arial" w:cs="arial"/>
          <w:color w:val="000000"/>
          <w:sz w:val="20"/>
          <w:lang w:val="en-US" w:eastAsia="en-US" w:bidi="ar-SA"/>
        </w:rPr>
        <w:t xml:space="preserve">. In particular, as a result of </w:t>
      </w:r>
      <w:r>
        <w:rPr>
          <w:rFonts w:ascii="arial" w:eastAsia="arial" w:hAnsi="arial" w:cs="arial"/>
          <w:color w:val="000000"/>
          <w:sz w:val="20"/>
          <w:u w:val="single"/>
          <w:lang w:val="en-US" w:eastAsia="en-US" w:bidi="ar-SA"/>
        </w:rPr>
        <w:t>permitting the continued</w:t>
      </w:r>
      <w:r>
        <w:rPr>
          <w:rFonts w:ascii="arial" w:eastAsia="arial" w:hAnsi="arial" w:cs="arial"/>
          <w:color w:val="000000"/>
          <w:sz w:val="20"/>
          <w:lang w:val="en-US" w:eastAsia="en-US" w:bidi="ar-SA"/>
        </w:rPr>
        <w:t xml:space="preserve"> harvesting activities of the Defendant Foresters, </w:t>
      </w:r>
      <w:r>
        <w:rPr>
          <w:rFonts w:ascii="arial" w:eastAsia="arial" w:hAnsi="arial" w:cs="arial"/>
          <w:color w:val="000000"/>
          <w:sz w:val="20"/>
          <w:u w:val="single"/>
          <w:lang w:val="en-US" w:eastAsia="en-US" w:bidi="ar-SA"/>
        </w:rPr>
        <w:t>without requiring or enforcing expectations of notice or adequate notice, and without requiring or enforcing accommodation, consultation and consideration as set out in the Guide,</w:t>
      </w:r>
      <w:r>
        <w:rPr>
          <w:rFonts w:ascii="arial" w:eastAsia="arial" w:hAnsi="arial" w:cs="arial"/>
          <w:color w:val="000000"/>
          <w:sz w:val="20"/>
          <w:lang w:val="en-US" w:eastAsia="en-US" w:bidi="ar-SA"/>
        </w:rPr>
        <w:t xml:space="preserve"> [the lands subject to the guiding certificate and two traplines and the business interests of the Plaintiff] </w:t>
      </w:r>
      <w:r>
        <w:rPr>
          <w:rFonts w:ascii="arial" w:eastAsia="arial" w:hAnsi="arial" w:cs="arial"/>
          <w:color w:val="000000"/>
          <w:sz w:val="18"/>
          <w:lang w:val="en-US" w:eastAsia="en-US" w:bidi="ar-SA"/>
        </w:rPr>
        <w:t>[Editor's note: Text in brackets is struck out in the original.]</w:t>
      </w:r>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the Plaintiff's profit a prendre and other rights to use and occupy the Lands continue to be disturbed and have been further</w:t>
      </w:r>
      <w:r>
        <w:rPr>
          <w:rFonts w:ascii="arial" w:eastAsia="arial" w:hAnsi="arial" w:cs="arial"/>
          <w:color w:val="000000"/>
          <w:sz w:val="20"/>
          <w:lang w:val="en-US" w:eastAsia="en-US" w:bidi="ar-SA"/>
        </w:rPr>
        <w:t xml:space="preserve"> diminished in their value</w:t>
      </w:r>
      <w:r>
        <w:rPr>
          <w:rFonts w:ascii="arial" w:eastAsia="arial" w:hAnsi="arial" w:cs="arial"/>
          <w:color w:val="000000"/>
          <w:sz w:val="20"/>
          <w:u w:val="single"/>
          <w:lang w:val="en-US" w:eastAsia="en-US" w:bidi="ar-SA"/>
        </w:rPr>
        <w:t>.</w:t>
      </w:r>
    </w:p>
    <w:p>
      <w:pPr>
        <w:numPr>
          <w:numId w:val="2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Each of the Defendant Foresters individually [also] </w:t>
      </w:r>
      <w:r>
        <w:rPr>
          <w:rFonts w:ascii="arial" w:eastAsia="arial" w:hAnsi="arial" w:cs="arial"/>
          <w:color w:val="000000"/>
          <w:sz w:val="18"/>
          <w:lang w:val="en-US" w:eastAsia="en-US" w:bidi="ar-SA"/>
        </w:rPr>
        <w:t>[Editor's note: Text in brackets is struck out in the original.]</w:t>
      </w:r>
      <w:r>
        <w:rPr>
          <w:rFonts w:ascii="arial" w:eastAsia="arial" w:hAnsi="arial" w:cs="arial"/>
          <w:color w:val="000000"/>
          <w:sz w:val="20"/>
          <w:lang w:val="en-US" w:eastAsia="en-US" w:bidi="ar-SA"/>
        </w:rPr>
        <w:t xml:space="preserve"> knew, or ought to have known, </w:t>
      </w:r>
      <w:r>
        <w:rPr>
          <w:rFonts w:ascii="arial" w:eastAsia="arial" w:hAnsi="arial" w:cs="arial"/>
          <w:color w:val="000000"/>
          <w:sz w:val="20"/>
          <w:u w:val="single"/>
          <w:lang w:val="en-US" w:eastAsia="en-US" w:bidi="ar-SA"/>
        </w:rPr>
        <w:t>or ought to have reasonably known</w:t>
      </w:r>
      <w:r>
        <w:rPr>
          <w:rFonts w:ascii="arial" w:eastAsia="arial" w:hAnsi="arial" w:cs="arial"/>
          <w:color w:val="000000"/>
          <w:sz w:val="20"/>
          <w:lang w:val="en-US" w:eastAsia="en-US" w:bidi="ar-SA"/>
        </w:rPr>
        <w:t xml:space="preserve"> that their harvesting activities could cause damage to the Plaintiff and the business interests of the Plaintiff.</w:t>
      </w:r>
    </w:p>
    <w:p>
      <w:pPr>
        <w:numPr>
          <w:numId w:val="2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Moreover, the damage that could result from their harvesting activities was a reasonable foreseeable consequence of their harvesting activities. </w:t>
      </w:r>
      <w:r>
        <w:rPr>
          <w:rFonts w:ascii="arial" w:eastAsia="arial" w:hAnsi="arial" w:cs="arial"/>
          <w:color w:val="000000"/>
          <w:sz w:val="20"/>
          <w:u w:val="single"/>
          <w:lang w:val="en-US" w:eastAsia="en-US" w:bidi="ar-SA"/>
        </w:rPr>
        <w:t>In particular:</w:t>
      </w:r>
    </w:p>
    <w:p>
      <w:pPr>
        <w:numPr>
          <w:numId w:val="29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The Crown made known to the Defendant Foresters in the Guide and otherwise that reasonable notice must be given and that harm could occur if notice was not given.</w:t>
      </w:r>
    </w:p>
    <w:p>
      <w:pPr>
        <w:numPr>
          <w:numId w:val="29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The Defendant Foresters were directed in their licences to give notice and to avoid unreasonable interference with the Plaintiff's interests.</w:t>
      </w:r>
    </w:p>
    <w:p>
      <w:pPr>
        <w:numPr>
          <w:numId w:val="29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The Crown made known to the Defendant Foresters of the Crown's expectations of accommodation, consultation and consideration of the Plaintiff's interests.</w:t>
      </w:r>
    </w:p>
    <w:p>
      <w:pPr>
        <w:numPr>
          <w:numId w:val="29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The Crown made known to the Defendant Foresters through the Guide the harm that could occur if accommodation, consultation and consideration of the Plaintiff's interests did not occur.</w:t>
      </w:r>
    </w:p>
    <w:p>
      <w:pPr>
        <w:numPr>
          <w:numId w:val="29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The Defendant Foresters also knew that clear-cutting the forest rather than using other harvesting methods would substantially reduce the size of the forest, the available wildlife, and the vitality of the forest thus disturbing the Plaintiff's profit a prendre and other rights to use and occupy the Lands.</w:t>
      </w:r>
    </w:p>
    <w:p>
      <w:pPr>
        <w:numPr>
          <w:numId w:val="29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premises, each of the Defendant Foresters individually owed a duty of care to the Plaintiff to take all reasonable steps to ensure that the Plaintiff and the business interests of the Plaintiff were not harmed by their harvesting activities. </w:t>
      </w:r>
      <w:r>
        <w:rPr>
          <w:rFonts w:ascii="arial" w:eastAsia="arial" w:hAnsi="arial" w:cs="arial"/>
          <w:color w:val="000000"/>
          <w:sz w:val="20"/>
          <w:u w:val="single"/>
          <w:lang w:val="en-US" w:eastAsia="en-US" w:bidi="ar-SA"/>
        </w:rPr>
        <w:t>This duty of care required among that the Defendant Foresters:</w:t>
      </w:r>
    </w:p>
    <w:p>
      <w:pPr>
        <w:numPr>
          <w:numId w:val="29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Give reasonable notice prior to commencing harvesting.</w:t>
      </w:r>
    </w:p>
    <w:p>
      <w:pPr>
        <w:numPr>
          <w:numId w:val="29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Make reasonable efforts to accommodate other interest holder's interests.</w:t>
      </w:r>
    </w:p>
    <w:p>
      <w:pPr>
        <w:numPr>
          <w:numId w:val="29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Exercise due diligent to determine other tenures.</w:t>
      </w:r>
    </w:p>
    <w:p>
      <w:pPr>
        <w:numPr>
          <w:numId w:val="29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Communicate with other interest holders effective and often.</w:t>
      </w:r>
    </w:p>
    <w:p>
      <w:pPr>
        <w:numPr>
          <w:numId w:val="30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Ensure other tenure holders are involved</w:t>
      </w:r>
    </w:p>
    <w:p>
      <w:pPr>
        <w:numPr>
          <w:numId w:val="30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Make clear and meaningful agreements with other tenure holders.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55.1 </w:t>
      </w:r>
      <w:r>
        <w:rPr>
          <w:rFonts w:ascii="arial" w:eastAsia="arial" w:hAnsi="arial" w:cs="arial"/>
          <w:color w:val="000000"/>
          <w:sz w:val="20"/>
          <w:u w:val="single"/>
          <w:lang w:val="en-US" w:eastAsia="en-US" w:bidi="ar-SA"/>
        </w:rPr>
        <w:t>Further, Defendant Foresters knew or ought to have known that they had discretion given to them in their licenses to choose the method of harvesting that they could employ to harvest the timber subject to their licenses and to choose what to cut. In particular, they knew that not all timber was required to be cut. Non-merchantable and non-commercial species could be left standing and brush and other forest cover could be left untouched in all the areas subject to the license.</w:t>
      </w:r>
    </w:p>
    <w:p>
      <w:pPr>
        <w:numPr>
          <w:numId w:val="30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Notwithstanding the discretion available to the Defendant Foresters to choose how to harvest the merchantable timber, and notwithstanding the expectation on them to accommodate, consult and consider the interests of the Plaintiff,</w:t>
      </w:r>
      <w:r>
        <w:rPr>
          <w:rFonts w:ascii="arial" w:eastAsia="arial" w:hAnsi="arial" w:cs="arial"/>
          <w:color w:val="000000"/>
          <w:sz w:val="20"/>
          <w:lang w:val="en-US" w:eastAsia="en-US" w:bidi="ar-SA"/>
        </w:rPr>
        <w:t xml:space="preserve"> each of the Defendant Foresters individually failed to take [all] </w:t>
      </w:r>
      <w:r>
        <w:rPr>
          <w:rFonts w:ascii="arial" w:eastAsia="arial" w:hAnsi="arial" w:cs="arial"/>
          <w:color w:val="000000"/>
          <w:sz w:val="18"/>
          <w:lang w:val="en-US" w:eastAsia="en-US" w:bidi="ar-SA"/>
        </w:rPr>
        <w:t>[Editor's note: Text in brackets is struck out in the original.]</w:t>
      </w:r>
      <w:r>
        <w:rPr>
          <w:rFonts w:ascii="arial" w:eastAsia="arial" w:hAnsi="arial" w:cs="arial"/>
          <w:color w:val="000000"/>
          <w:sz w:val="20"/>
          <w:lang w:val="en-US" w:eastAsia="en-US" w:bidi="ar-SA"/>
        </w:rPr>
        <w:t xml:space="preserve"> reasonable steps to ensure that the Plaintiff and the business activities of the Plaintiff were not harmed by their harvesting activities.</w:t>
      </w:r>
    </w:p>
    <w:p>
      <w:pPr>
        <w:numPr>
          <w:numId w:val="303"/>
        </w:numPr>
        <w:spacing w:before="120" w:line="24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each of the Defendant Foresters individually has caused and continues to cause damage to the Plaintiff and the business interests of the Plaintiff. In particular, as a result of </w:t>
      </w:r>
      <w:r>
        <w:rPr>
          <w:rFonts w:ascii="arial" w:eastAsia="arial" w:hAnsi="arial" w:cs="arial"/>
          <w:color w:val="000000"/>
          <w:sz w:val="20"/>
          <w:u w:val="single"/>
          <w:lang w:val="en-US" w:eastAsia="en-US" w:bidi="ar-SA"/>
        </w:rPr>
        <w:t>their</w:t>
      </w:r>
      <w:r>
        <w:rPr>
          <w:rFonts w:ascii="arial" w:eastAsia="arial" w:hAnsi="arial" w:cs="arial"/>
          <w:color w:val="000000"/>
          <w:sz w:val="20"/>
          <w:lang w:val="en-US" w:eastAsia="en-US" w:bidi="ar-SA"/>
        </w:rPr>
        <w:t xml:space="preserve"> harvesting activities </w:t>
      </w:r>
      <w:r>
        <w:rPr>
          <w:rFonts w:ascii="arial" w:eastAsia="arial" w:hAnsi="arial" w:cs="arial"/>
          <w:color w:val="000000"/>
          <w:sz w:val="20"/>
          <w:u w:val="single"/>
          <w:lang w:val="en-US" w:eastAsia="en-US" w:bidi="ar-SA"/>
        </w:rPr>
        <w:t>without notice or adequate notice, and without taking reasonable steps of accommodation, consultation and consideration as set out in the Guide,</w:t>
      </w:r>
      <w:r>
        <w:rPr>
          <w:rFonts w:ascii="arial" w:eastAsia="arial" w:hAnsi="arial" w:cs="arial"/>
          <w:color w:val="000000"/>
          <w:sz w:val="20"/>
          <w:lang w:val="en-US" w:eastAsia="en-US" w:bidi="ar-SA"/>
        </w:rPr>
        <w:t xml:space="preserve"> [the lands subject to the guiding certificate and two traplines and the business interests of the Plaintiff] </w:t>
      </w:r>
      <w:r>
        <w:rPr>
          <w:rFonts w:ascii="arial" w:eastAsia="arial" w:hAnsi="arial" w:cs="arial"/>
          <w:color w:val="000000"/>
          <w:sz w:val="20"/>
          <w:u w:val="single"/>
          <w:lang w:val="en-US" w:eastAsia="en-US" w:bidi="ar-SA"/>
        </w:rPr>
        <w:t>the Defendant Foresters have unreasonably disturbed and diminished the value of the Plaintiff's profit a prendre and other rights to use and occupy the Lands</w:t>
      </w:r>
      <w:r>
        <w:rPr>
          <w:rFonts w:ascii="arial" w:eastAsia="arial" w:hAnsi="arial" w:cs="arial"/>
          <w:color w:val="000000"/>
          <w:sz w:val="20"/>
          <w:lang w:val="en-US" w:eastAsia="en-US" w:bidi="ar-SA"/>
        </w:rPr>
        <w:t xml:space="preserve"> [diminished in their value]</w:t>
      </w:r>
      <w:r>
        <w:rPr>
          <w:rFonts w:ascii="arial" w:eastAsia="arial" w:hAnsi="arial" w:cs="arial"/>
          <w:color w:val="000000"/>
          <w:sz w:val="20"/>
          <w:u w:val="single"/>
          <w:lang w:val="en-US" w:eastAsia="en-US" w:bidi="ar-SA"/>
        </w:rPr>
        <w:t>.</w:t>
      </w:r>
      <w:r>
        <w:rPr>
          <w:rFonts w:ascii="arial" w:eastAsia="arial" w:hAnsi="arial" w:cs="arial"/>
          <w:color w:val="000000"/>
          <w:sz w:val="20"/>
          <w:lang w:val="en-US" w:eastAsia="en-US" w:bidi="ar-SA"/>
        </w:rPr>
        <w:t xml:space="preserve"> </w:t>
      </w:r>
      <w:r>
        <w:rPr>
          <w:rFonts w:ascii="arial" w:eastAsia="arial" w:hAnsi="arial" w:cs="arial"/>
          <w:color w:val="000000"/>
          <w:sz w:val="18"/>
          <w:lang w:val="en-US" w:eastAsia="en-US" w:bidi="ar-SA"/>
        </w:rPr>
        <w:t>[Editor's note: Text in brackets is struck out in the original.]</w:t>
      </w:r>
    </w:p>
    <w:p>
      <w:pPr>
        <w:spacing w:before="120" w:line="24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color w:val="000000"/>
          <w:sz w:val="20"/>
          <w:u w:val="single"/>
          <w:lang w:val="en-US" w:eastAsia="en-US" w:bidi="ar-SA"/>
        </w:rPr>
        <w:t>The Claim in Breach of Contract</w:t>
      </w:r>
      <w:r>
        <w:rPr>
          <w:rFonts w:ascii="arial" w:eastAsia="arial" w:hAnsi="arial" w:cs="arial"/>
          <w:color w:val="000000"/>
          <w:sz w:val="20"/>
          <w:lang w:val="en-US" w:eastAsia="en-US" w:bidi="ar-SA"/>
        </w:rPr>
        <w:t xml:space="preserve">] </w:t>
      </w:r>
      <w:r>
        <w:rPr>
          <w:rFonts w:ascii="arial" w:eastAsia="arial" w:hAnsi="arial" w:cs="arial"/>
          <w:color w:val="000000"/>
          <w:sz w:val="18"/>
          <w:lang w:val="en-US" w:eastAsia="en-US" w:bidi="ar-SA"/>
        </w:rPr>
        <w:t>[Editor's note: Text in brackets is struck out in the original.]</w:t>
      </w:r>
    </w:p>
    <w:p>
      <w:pPr>
        <w:spacing w:before="120" w:line="24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[58. </w:t>
      </w:r>
      <w:r>
        <w:rPr>
          <w:rFonts w:ascii="arial" w:eastAsia="arial" w:hAnsi="arial" w:cs="arial"/>
          <w:color w:val="000000"/>
          <w:sz w:val="20"/>
          <w:u w:val="single"/>
          <w:lang w:val="en-US" w:eastAsia="en-US" w:bidi="ar-SA"/>
        </w:rPr>
        <w:t>The license agreements granted to the Plaintiff by the Crown necessarily contained an implied contractual duty of good faith on the part of the Crown not to act in such a way that its acts would defeat the very purpose and objective of the license agreements.</w:t>
      </w:r>
      <w:r>
        <w:rPr>
          <w:rFonts w:ascii="arial" w:eastAsia="arial" w:hAnsi="arial" w:cs="arial"/>
          <w:color w:val="000000"/>
          <w:sz w:val="20"/>
          <w:lang w:val="en-US" w:eastAsia="en-US" w:bidi="ar-SA"/>
        </w:rPr>
        <w:t xml:space="preserve">] </w:t>
      </w:r>
      <w:r>
        <w:rPr>
          <w:rFonts w:ascii="arial" w:eastAsia="arial" w:hAnsi="arial" w:cs="arial"/>
          <w:color w:val="000000"/>
          <w:sz w:val="18"/>
          <w:lang w:val="en-US" w:eastAsia="en-US" w:bidi="ar-SA"/>
        </w:rPr>
        <w:t>[Editor's note: Text in brackets is struck out in the original.]</w:t>
      </w:r>
    </w:p>
    <w:p>
      <w:pPr>
        <w:spacing w:before="120" w:line="24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[59. </w:t>
      </w:r>
      <w:r>
        <w:rPr>
          <w:rFonts w:ascii="arial" w:eastAsia="arial" w:hAnsi="arial" w:cs="arial"/>
          <w:color w:val="000000"/>
          <w:sz w:val="20"/>
          <w:u w:val="single"/>
          <w:lang w:val="en-US" w:eastAsia="en-US" w:bidi="ar-SA"/>
        </w:rPr>
        <w:t>The Crown failed to perform this contractual duty when it granted timber harvest licenses to the Defendant Foresters. In particular, the Crown breached this duty as follows:</w:t>
      </w:r>
      <w:r>
        <w:rPr>
          <w:rFonts w:ascii="arial" w:eastAsia="arial" w:hAnsi="arial" w:cs="arial"/>
          <w:color w:val="000000"/>
          <w:sz w:val="20"/>
          <w:lang w:val="en-US" w:eastAsia="en-US" w:bidi="ar-SA"/>
        </w:rPr>
        <w:t xml:space="preserve">] </w:t>
      </w:r>
      <w:r>
        <w:rPr>
          <w:rFonts w:ascii="arial" w:eastAsia="arial" w:hAnsi="arial" w:cs="arial"/>
          <w:color w:val="000000"/>
          <w:sz w:val="18"/>
          <w:lang w:val="en-US" w:eastAsia="en-US" w:bidi="ar-SA"/>
        </w:rPr>
        <w:t>[Editor's note: Text in brackets is struck out in the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by granting licenses to the Defendant Foresters without consideration of the rights and interests of the Plaintiff and by allowing them to cut all the timber and render the land unusable for the Plaintiff.</w:t>
            </w:r>
            <w:r>
              <w:rPr>
                <w:rFonts w:ascii="arial" w:eastAsia="arial" w:hAnsi="arial" w:cs="arial"/>
                <w:color w:val="000000"/>
                <w:sz w:val="18"/>
                <w:lang w:val="en-US" w:eastAsia="en-US" w:bidi="ar-SA"/>
              </w:rPr>
              <w:t xml:space="preserve">] </w:t>
            </w:r>
          </w:p>
          <w:p>
            <w:pPr>
              <w:spacing w:line="24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[Editor's note: Text in brackets is struck out in the original.]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by granting licenses to the Defendant Foresters without regulating other users of the Lands in such a way as to reasonably protect the interests of the Plaintiff and to reasonably prevent fundamental, substantial, and irreparable harm to the property rights and business interests of the Plaintiff including but not limited to his right to use of the land.</w:t>
            </w:r>
            <w:r>
              <w:rPr>
                <w:rFonts w:ascii="arial" w:eastAsia="arial" w:hAnsi="arial" w:cs="arial"/>
                <w:color w:val="000000"/>
                <w:sz w:val="18"/>
                <w:lang w:val="en-US" w:eastAsia="en-US" w:bidi="ar-SA"/>
              </w:rPr>
              <w:t xml:space="preserve">] </w:t>
            </w:r>
          </w:p>
          <w:p>
            <w:pPr>
              <w:spacing w:line="24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[Editor's note: Text in brackets is struck out in the original.]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By granting licenses to the Defendant Foresters without taking reasonable steps to ensure that the other tenure holders using the same Lands, including but not limited to the Defendant Foresters, would consult with and accommodate the rights and interests of the Plaintiff.</w:t>
            </w:r>
            <w:r>
              <w:rPr>
                <w:rFonts w:ascii="arial" w:eastAsia="arial" w:hAnsi="arial" w:cs="arial"/>
                <w:color w:val="000000"/>
                <w:sz w:val="18"/>
                <w:lang w:val="en-US" w:eastAsia="en-US" w:bidi="ar-SA"/>
              </w:rPr>
              <w:t xml:space="preserve">] </w:t>
            </w:r>
          </w:p>
          <w:p>
            <w:pPr>
              <w:spacing w:line="24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[Editor's note: Text in brackets is struck out in the original.]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By granting licenses to the Defendant Foresters without requiring compensation for the destruction and substantial interference of the Plaintiff's property rights and right to use the land.</w:t>
            </w:r>
            <w:r>
              <w:rPr>
                <w:rFonts w:ascii="arial" w:eastAsia="arial" w:hAnsi="arial" w:cs="arial"/>
                <w:color w:val="000000"/>
                <w:sz w:val="18"/>
                <w:lang w:val="en-US" w:eastAsia="en-US" w:bidi="ar-SA"/>
              </w:rPr>
              <w:t xml:space="preserve">] </w:t>
            </w:r>
          </w:p>
          <w:p>
            <w:pPr>
              <w:spacing w:line="24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[Editor's note: Text in brackets is struck out in the original.]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4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[60. </w:t>
      </w:r>
      <w:r>
        <w:rPr>
          <w:rFonts w:ascii="arial" w:eastAsia="arial" w:hAnsi="arial" w:cs="arial"/>
          <w:color w:val="000000"/>
          <w:sz w:val="20"/>
          <w:u w:val="single"/>
          <w:lang w:val="en-US" w:eastAsia="en-US" w:bidi="ar-SA"/>
        </w:rPr>
        <w:t>As a result of the Crown's breach of contract, the Plaintiff has suffered and will suffer loss and damage including but not limited to loss of income and loss of suitable guiding and trapping territory.</w:t>
      </w:r>
      <w:r>
        <w:rPr>
          <w:rFonts w:ascii="arial" w:eastAsia="arial" w:hAnsi="arial" w:cs="arial"/>
          <w:color w:val="000000"/>
          <w:sz w:val="20"/>
          <w:lang w:val="en-US" w:eastAsia="en-US" w:bidi="ar-SA"/>
        </w:rPr>
        <w:t xml:space="preserve">] </w:t>
      </w:r>
      <w:r>
        <w:rPr>
          <w:rFonts w:ascii="arial" w:eastAsia="arial" w:hAnsi="arial" w:cs="arial"/>
          <w:color w:val="000000"/>
          <w:sz w:val="18"/>
          <w:lang w:val="en-US" w:eastAsia="en-US" w:bidi="ar-SA"/>
        </w:rPr>
        <w:t>[Editor's note: Text in brackets is struck out in the original.]</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Claim for Breach of Fiduciary Duty</w:t>
      </w:r>
    </w:p>
    <w:p>
      <w:pPr>
        <w:spacing w:before="120" w:line="24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[61. </w:t>
      </w:r>
      <w:r>
        <w:rPr>
          <w:rFonts w:ascii="arial" w:eastAsia="arial" w:hAnsi="arial" w:cs="arial"/>
          <w:color w:val="000000"/>
          <w:sz w:val="20"/>
          <w:u w:val="single"/>
          <w:lang w:val="en-US" w:eastAsia="en-US" w:bidi="ar-SA"/>
        </w:rPr>
        <w:t>By consent of the McLeod Lake Indian Band, the Plaintiff holds Trapline No. 1 in part for and on behalf of the McLeod Lake Indian Band and has been granted the right to exercise the band's rights in relation to the territory subject to this trapline.</w:t>
      </w:r>
      <w:r>
        <w:rPr>
          <w:rFonts w:ascii="arial" w:eastAsia="arial" w:hAnsi="arial" w:cs="arial"/>
          <w:color w:val="000000"/>
          <w:sz w:val="20"/>
          <w:lang w:val="en-US" w:eastAsia="en-US" w:bidi="ar-SA"/>
        </w:rPr>
        <w:t xml:space="preserve">] </w:t>
      </w:r>
      <w:r>
        <w:rPr>
          <w:rFonts w:ascii="arial" w:eastAsia="arial" w:hAnsi="arial" w:cs="arial"/>
          <w:color w:val="000000"/>
          <w:sz w:val="18"/>
          <w:lang w:val="en-US" w:eastAsia="en-US" w:bidi="ar-SA"/>
        </w:rPr>
        <w:t>[Editor's note: Text in brackets is struck out in the original.]</w:t>
      </w:r>
    </w:p>
    <w:p>
      <w:pPr>
        <w:numPr>
          <w:numId w:val="304"/>
        </w:numPr>
        <w:spacing w:before="120" w:line="24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color w:val="000000"/>
          <w:sz w:val="20"/>
          <w:u w:val="single"/>
          <w:lang w:val="en-US" w:eastAsia="en-US" w:bidi="ar-SA"/>
        </w:rPr>
        <w:t>In addition or in the alternative,] All aboriginal rights held by the McLeod Lake Indian Band in relation [the subject lands] Lands are exercised by the Plaintiff [or have been assigned to the Plaintiff].</w:t>
      </w:r>
      <w:r>
        <w:rPr>
          <w:rFonts w:ascii="arial" w:eastAsia="arial" w:hAnsi="arial" w:cs="arial"/>
          <w:color w:val="000000"/>
          <w:sz w:val="20"/>
          <w:lang w:val="en-US" w:eastAsia="en-US" w:bidi="ar-SA"/>
        </w:rPr>
        <w:t xml:space="preserve"> </w:t>
      </w:r>
      <w:r>
        <w:rPr>
          <w:rFonts w:ascii="arial" w:eastAsia="arial" w:hAnsi="arial" w:cs="arial"/>
          <w:color w:val="000000"/>
          <w:sz w:val="18"/>
          <w:lang w:val="en-US" w:eastAsia="en-US" w:bidi="ar-SA"/>
        </w:rPr>
        <w:t>[Editor's note: Text in brackets is struck out in the original.]</w:t>
      </w:r>
    </w:p>
    <w:p>
      <w:pPr>
        <w:numPr>
          <w:numId w:val="30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In the premises, the Plaintiff has a vested interest in the protection of the rights accruing to the McLeod Lake Indian Band giving the Plaintiff the right to assert rights on behalf of the McLeod Lake Indian Band.</w:t>
      </w:r>
    </w:p>
    <w:p>
      <w:pPr>
        <w:numPr>
          <w:numId w:val="306"/>
        </w:numPr>
        <w:spacing w:before="120" w:line="24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color w:val="000000"/>
          <w:sz w:val="20"/>
          <w:u w:val="single"/>
          <w:lang w:val="en-US" w:eastAsia="en-US" w:bidi="ar-SA"/>
        </w:rPr>
        <w:t>At all material times, the Crown knew or ought to have known that the Plaintiff held Trapline No. 1 in trust for the McLeod Lake Indian Band and has been granted the right to exercise the band's rights in relation to the territory subject to the trapline].</w:t>
      </w:r>
      <w:r>
        <w:rPr>
          <w:rFonts w:ascii="arial" w:eastAsia="arial" w:hAnsi="arial" w:cs="arial"/>
          <w:color w:val="000000"/>
          <w:sz w:val="20"/>
          <w:lang w:val="en-US" w:eastAsia="en-US" w:bidi="ar-SA"/>
        </w:rPr>
        <w:t xml:space="preserve"> </w:t>
      </w:r>
      <w:r>
        <w:rPr>
          <w:rFonts w:ascii="arial" w:eastAsia="arial" w:hAnsi="arial" w:cs="arial"/>
          <w:color w:val="000000"/>
          <w:sz w:val="18"/>
          <w:lang w:val="en-US" w:eastAsia="en-US" w:bidi="ar-SA"/>
        </w:rPr>
        <w:t>[Editor's note: Text in brackets is struck out in the original.]</w:t>
      </w:r>
    </w:p>
    <w:p>
      <w:pPr>
        <w:spacing w:before="120" w:line="24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[65.] </w:t>
      </w:r>
      <w:r>
        <w:rPr>
          <w:rFonts w:ascii="arial" w:eastAsia="arial" w:hAnsi="arial" w:cs="arial"/>
          <w:color w:val="000000"/>
          <w:sz w:val="20"/>
          <w:u w:val="single"/>
          <w:lang w:val="en-US" w:eastAsia="en-US" w:bidi="ar-SA"/>
        </w:rPr>
        <w:t>At all material times, the Crown knew or ought to have known that all aboriginal rights held by the McLeod Lake Indian Band in relation the subject lands are exercised by the Plaintiff [or have been assigned to the Plaintiff].</w:t>
      </w:r>
      <w:r>
        <w:rPr>
          <w:rFonts w:ascii="arial" w:eastAsia="arial" w:hAnsi="arial" w:cs="arial"/>
          <w:color w:val="000000"/>
          <w:sz w:val="20"/>
          <w:lang w:val="en-US" w:eastAsia="en-US" w:bidi="ar-SA"/>
        </w:rPr>
        <w:t xml:space="preserve"> </w:t>
      </w:r>
      <w:r>
        <w:rPr>
          <w:rFonts w:ascii="arial" w:eastAsia="arial" w:hAnsi="arial" w:cs="arial"/>
          <w:color w:val="000000"/>
          <w:sz w:val="18"/>
          <w:lang w:val="en-US" w:eastAsia="en-US" w:bidi="ar-SA"/>
        </w:rPr>
        <w:t>[Editor's note: Text in brackets is struck out in the original.]</w:t>
      </w:r>
    </w:p>
    <w:p>
      <w:pPr>
        <w:numPr>
          <w:numId w:val="30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In the premises, the Crown had an obligation and fiduciary duty to meaningfully consult the Plaintiff on behalf of the McLeod Lake Indian Band prior to granting timber harvesting licenses to the Defendant Foresters.</w:t>
      </w:r>
    </w:p>
    <w:p>
      <w:pPr>
        <w:numPr>
          <w:numId w:val="30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The Crown has failed to undertake any consultation prior to granting the timber harvesting licenses.</w:t>
      </w:r>
    </w:p>
    <w:p>
      <w:pPr>
        <w:numPr>
          <w:numId w:val="30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In the circumstances has breached its duty to both the Plaintiff and the McLeod Lake Indian Band.</w:t>
      </w:r>
    </w:p>
    <w:p>
      <w:pPr>
        <w:numPr>
          <w:numId w:val="3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The Crown's breach of fiduciary duty has caused loss and damage to the Plaintiff and to the McLeod Lake Indian Band, including but not limited to loss of cultural identity and dignity.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Part 2: RELIEF SOUGHT</w:t>
      </w:r>
      <w:r>
        <w:rPr>
          <w:rFonts w:ascii="arial" w:eastAsia="arial" w:hAnsi="arial" w:cs="arial"/>
          <w:sz w:val="20"/>
          <w:lang w:val="en-US" w:eastAsia="en-US" w:bidi="ar-SA"/>
        </w:rPr>
        <w:cr/>
      </w:r>
    </w:p>
    <w:p>
      <w:pPr>
        <w:numPr>
          <w:numId w:val="3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claims general damages.</w:t>
      </w:r>
    </w:p>
    <w:p>
      <w:pPr>
        <w:numPr>
          <w:numId w:val="3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claims special damages.</w:t>
      </w:r>
    </w:p>
    <w:p>
      <w:pPr>
        <w:numPr>
          <w:numId w:val="3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claims interest pursuant to the </w:t>
      </w:r>
      <w:r>
        <w:rPr>
          <w:rFonts w:ascii="arial" w:eastAsia="arial" w:hAnsi="arial" w:cs="arial"/>
          <w:i/>
          <w:color w:val="000000"/>
          <w:sz w:val="20"/>
          <w:lang w:val="en-US" w:eastAsia="en-US" w:bidi="ar-SA"/>
        </w:rPr>
        <w:t>Court Order Interest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w:t>
      </w:r>
    </w:p>
    <w:p>
      <w:pPr>
        <w:numPr>
          <w:numId w:val="3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claims costs.</w:t>
      </w:r>
    </w:p>
    <w:p>
      <w:pPr>
        <w:numPr>
          <w:numId w:val="3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Such other relief as this Honorable Court may deem just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Part 3: LEGAL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The Plaintiff relies on the common law of nuisance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 xml:space="preserve">The Plaintiff also relies on the law [of Contract and the law of] </w:t>
      </w:r>
      <w:r>
        <w:rPr>
          <w:rFonts w:ascii="arial" w:eastAsia="arial" w:hAnsi="arial" w:cs="arial"/>
          <w:color w:val="000000"/>
          <w:sz w:val="18"/>
          <w:u w:val="single"/>
          <w:lang w:val="en-US" w:eastAsia="en-US" w:bidi="ar-SA"/>
        </w:rPr>
        <w:t>[Editor's note: Text in brackets is struck out in the original.]</w:t>
      </w:r>
      <w:r>
        <w:rPr>
          <w:rFonts w:ascii="arial" w:eastAsia="arial" w:hAnsi="arial" w:cs="arial"/>
          <w:color w:val="000000"/>
          <w:sz w:val="20"/>
          <w:u w:val="single"/>
          <w:lang w:val="en-US" w:eastAsia="en-US" w:bidi="ar-SA"/>
        </w:rPr>
        <w:t xml:space="preserve"> fiduciary duty as it relates to Aboriginal rights and title.</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45" style="position:absolute;z-index:25189273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084"/>
          <w:headerReference w:type="default" r:id="rId1085"/>
          <w:footerReference w:type="even" r:id="rId1086"/>
          <w:footerReference w:type="default" r:id="rId1087"/>
          <w:headerReference w:type="first" r:id="rId1088"/>
          <w:footerReference w:type="first" r:id="rId108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90" w:history="1">
        <w:r>
          <w:rPr>
            <w:rFonts w:ascii="arial" w:eastAsia="arial" w:hAnsi="arial" w:cs="arial"/>
            <w:b/>
            <w:bCs/>
            <w:i/>
            <w:color w:val="0077CC"/>
            <w:kern w:val="32"/>
            <w:sz w:val="28"/>
            <w:szCs w:val="32"/>
            <w:u w:val="single"/>
            <w:shd w:val="clear" w:color="auto" w:fill="FFFFFF"/>
            <w:lang w:val="en-US" w:eastAsia="en-US" w:bidi="ar-SA"/>
          </w:rPr>
          <w:t>CIC Capital Fund Ltd. v. Rawlinson, 2016 CCSG para. 51,553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Canadian Corporate Secretary's Guide</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Supreme Court of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Before: Steeves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Decision: March 23,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No. S153881</w:t>
      </w:r>
    </w:p>
    <w:p>
      <w:pPr>
        <w:rPr>
          <w:rFonts w:ascii="arial" w:eastAsia="arial" w:hAnsi="arial" w:cs="arial"/>
          <w:sz w:val="20"/>
          <w:lang w:val="en-US" w:eastAsia="en-US" w:bidi="ar-SA"/>
        </w:rPr>
      </w:pPr>
    </w:p>
    <w:p>
      <w:pPr>
        <w:spacing w:before="120" w:after="120" w:line="280" w:lineRule="atLeast"/>
        <w:rPr>
          <w:rFonts w:ascii="arial" w:eastAsia="arial" w:hAnsi="arial" w:cs="arial"/>
          <w:sz w:val="20"/>
          <w:lang w:val="en-US" w:eastAsia="en-US" w:bidi="ar-SA"/>
        </w:rPr>
      </w:pPr>
      <w:r>
        <w:rPr>
          <w:rFonts w:ascii="arial" w:eastAsia="arial" w:hAnsi="arial" w:cs="arial"/>
          <w:b/>
          <w:i/>
          <w:color w:val="000000"/>
          <w:sz w:val="22"/>
          <w:lang w:val="en-US" w:eastAsia="en-US" w:bidi="ar-SA"/>
        </w:rPr>
        <w:t xml:space="preserve">Canadian Corporate Secretary's Guide </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Cases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2010s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2016</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2016 CCSG para. 51,553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091" w:history="1">
        <w:r>
          <w:rPr>
            <w:rFonts w:ascii="arial" w:eastAsia="arial" w:hAnsi="arial" w:cs="arial"/>
            <w:i/>
            <w:color w:val="0077CC"/>
            <w:sz w:val="20"/>
            <w:u w:val="single"/>
            <w:shd w:val="clear" w:color="auto" w:fill="FFFFFF"/>
            <w:lang w:val="en-US" w:eastAsia="en-US" w:bidi="ar-SA"/>
          </w:rPr>
          <w:t>[2016] B.C.J. No. 587</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091" w:history="1">
        <w:r>
          <w:rPr>
            <w:rFonts w:ascii="arial" w:eastAsia="arial" w:hAnsi="arial" w:cs="arial"/>
            <w:i/>
            <w:color w:val="0077CC"/>
            <w:sz w:val="20"/>
            <w:u w:val="single"/>
            <w:shd w:val="clear" w:color="auto" w:fill="FFFFFF"/>
            <w:lang w:val="en-US" w:eastAsia="en-US" w:bidi="ar-SA"/>
          </w:rPr>
          <w:t>2016 BCSC 516</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CIC Capital Fund Ltd. (formerly CIC Capital Ltd.) v. Anthony Paul Rawlinson</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46" style="position:absolute;z-index:2517053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12" w:name="Keywords_43"/>
      <w:bookmarkEnd w:id="312"/>
      <w:r>
        <w:rPr>
          <w:rFonts w:ascii="arial" w:eastAsia="arial" w:hAnsi="arial" w:cs="arial"/>
          <w:b/>
          <w:color w:val="000000"/>
          <w:sz w:val="20"/>
          <w:lang w:val="en-US" w:eastAsia="en-US" w:bidi="ar-SA"/>
        </w:rPr>
        <w:t xml:space="preserve">Corporate — Fiduciary duty — To comply with regulatory requirement of London Stock Exchange, plaintiff engaged British firm as its nominated advisor — British firm resigned and plaintiff failed to replace it with new nominated advisor — As a result, plaintiff's shares were delisted on London Stock Exchange — Court found that British Columbia courts lacked territorial competence over matter — Courts of England more appropriate forum — Court Jurisdiction and Proceedings Transfer Act, </w:t>
      </w:r>
      <w:hyperlink r:id="rId1092" w:history="1">
        <w:r>
          <w:rPr>
            <w:rFonts w:ascii="arial" w:eastAsia="arial" w:hAnsi="arial" w:cs="arial"/>
            <w:b/>
            <w:i/>
            <w:color w:val="0077CC"/>
            <w:sz w:val="20"/>
            <w:u w:val="single"/>
            <w:shd w:val="clear" w:color="auto" w:fill="FFFFFF"/>
            <w:lang w:val="en-US" w:eastAsia="en-US" w:bidi="ar-SA"/>
          </w:rPr>
          <w:t>SBC 2003, c. 28, s. 3</w:t>
        </w:r>
      </w:hyperlink>
      <w:r>
        <w:rPr>
          <w:rFonts w:ascii="arial" w:eastAsia="arial" w:hAnsi="arial" w:cs="arial"/>
          <w:b/>
          <w:color w:val="000000"/>
          <w:sz w:val="20"/>
          <w:lang w:val="en-US" w:eastAsia="en-US" w:bidi="ar-SA"/>
        </w:rPr>
        <w:t>(e), 10(g), 10(h), 11.</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13" w:name="Case Summary_43"/>
            <w:bookmarkEnd w:id="313"/>
          </w:p>
          <w:p>
            <w:pPr>
              <w:spacing w:before="120" w:line="260" w:lineRule="atLeast"/>
              <w:ind w:left="240"/>
              <w:jc w:val="both"/>
              <w:rPr>
                <w:rFonts w:ascii="arial" w:eastAsia="arial" w:hAnsi="arial" w:cs="arial"/>
                <w:sz w:val="20"/>
                <w:lang w:val="en-US" w:eastAsia="en-US" w:bidi="ar-SA"/>
              </w:rPr>
            </w:pPr>
            <w:r>
              <w:rPr>
                <w:rFonts w:ascii="arial" w:eastAsia="arial" w:hAnsi="arial" w:cs="arial"/>
                <w:b/>
                <w:color w:val="000000"/>
                <w:sz w:val="20"/>
                <w:lang w:val="en-US" w:eastAsia="en-US" w:bidi="ar-SA"/>
              </w:rPr>
              <w:t>Facts:</w:t>
            </w:r>
            <w:r>
              <w:rPr>
                <w:rFonts w:ascii="arial" w:eastAsia="arial" w:hAnsi="arial" w:cs="arial"/>
                <w:color w:val="000000"/>
                <w:sz w:val="20"/>
                <w:lang w:val="en-US" w:eastAsia="en-US" w:bidi="ar-SA"/>
              </w:rPr>
              <w:t xml:space="preserve"> The plaintiff was a consulting company with its head office in Beijing, China, and a registered office in British Columbia. It was incorporated under the </w:t>
            </w:r>
            <w:r>
              <w:rPr>
                <w:rFonts w:ascii="arial" w:eastAsia="arial" w:hAnsi="arial" w:cs="arial"/>
                <w:i/>
                <w:color w:val="000000"/>
                <w:sz w:val="20"/>
                <w:lang w:val="en-US" w:eastAsia="en-US" w:bidi="ar-SA"/>
              </w:rPr>
              <w:t>Canada Business Corporations Act</w:t>
            </w:r>
            <w:r>
              <w:rPr>
                <w:rFonts w:ascii="arial" w:eastAsia="arial" w:hAnsi="arial" w:cs="arial"/>
                <w:color w:val="000000"/>
                <w:sz w:val="20"/>
                <w:lang w:val="en-US" w:eastAsia="en-US" w:bidi="ar-SA"/>
              </w:rPr>
              <w:t xml:space="preserve"> and its shares were listed on the Venture Exchange of the Toronto Stock Exchange and the Alternative Investment Market ("AIM") of the London Stock Exchange (the "LSE"). Cairn Financial Advisors LLP ("Cairn") was a professional services firm based in London, England. The defendant was a chartered accountant and a partner in Cairn. The plaintiff retained Cairn to act as its nominated advisor ("nomad"). A nomad is part of the AIM regulatory structure. Failure to appoint a qualified nomad can result in a company being delisted. Following Cairn's resignation as its nomad, the plaintiff failed to appoint a replacement nomad, resulting in its shares being delisted. The plaintiff instituted proceedings in British Columbia against the defendant for damages, alleging that the delisting was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fiduciary duty. Cairn was not named as a defendant. The defendant applied for an order declaring that British Columbia courts lacked territorial competence on the grounds that: (a) the alleged torts were not committed in British Columbia; and (b) the proceeding did not concern a business carried on in British Columbia. The defendant argued in the alternative that the courts of England were the more appropriate forum.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14" w:name="Holdings of Court_37"/>
            <w:bookmarkEnd w:id="314"/>
            <w:r>
              <w:rPr>
                <w:rFonts w:ascii="arial" w:eastAsia="arial" w:hAnsi="arial" w:cs="arial"/>
                <w:color w:val="000000"/>
                <w:sz w:val="20"/>
                <w:lang w:val="en-US" w:eastAsia="en-US" w:bidi="ar-SA"/>
              </w:rPr>
              <w:t>HELD: The application was granted.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Section 3(</w:t>
            </w:r>
            <w:r>
              <w:rPr>
                <w:rFonts w:ascii="arial" w:eastAsia="arial" w:hAnsi="arial" w:cs="arial"/>
                <w:i/>
                <w:color w:val="000000"/>
                <w:sz w:val="20"/>
                <w:lang w:val="en-US" w:eastAsia="en-US" w:bidi="ar-SA"/>
              </w:rPr>
              <w:t>e</w:t>
            </w:r>
            <w:r>
              <w:rPr>
                <w:rFonts w:ascii="arial" w:eastAsia="arial" w:hAnsi="arial" w:cs="arial"/>
                <w:color w:val="000000"/>
                <w:sz w:val="20"/>
                <w:lang w:val="en-US" w:eastAsia="en-US" w:bidi="ar-SA"/>
              </w:rPr>
              <w:t xml:space="preserve">) of the </w:t>
            </w:r>
            <w:r>
              <w:rPr>
                <w:rFonts w:ascii="arial" w:eastAsia="arial" w:hAnsi="arial" w:cs="arial"/>
                <w:i/>
                <w:color w:val="000000"/>
                <w:sz w:val="20"/>
                <w:lang w:val="en-US" w:eastAsia="en-US" w:bidi="ar-SA"/>
              </w:rPr>
              <w:t>Court Jurisdiction and Proceedings Transfer Act</w:t>
            </w:r>
            <w:r>
              <w:rPr>
                <w:rFonts w:ascii="arial" w:eastAsia="arial" w:hAnsi="arial" w:cs="arial"/>
                <w:color w:val="000000"/>
                <w:sz w:val="20"/>
                <w:lang w:val="en-US" w:eastAsia="en-US" w:bidi="ar-SA"/>
              </w:rPr>
              <w:t xml:space="preserve"> (the "CJPTA") provides that a court has territorial competence in a proceeding brought against a person if there is "a real and substantial connection between British Columbia and the facts on which the proceeding against that person is based". Section 10 of the CJPTA provides that a real and substantial connection between British Columbia and the facts on which a proceeding is based is presumed to exist if the proceeding concerns a tort committed in British Columbia (section 10(</w:t>
            </w:r>
            <w:r>
              <w:rPr>
                <w:rFonts w:ascii="arial" w:eastAsia="arial" w:hAnsi="arial" w:cs="arial"/>
                <w:i/>
                <w:color w:val="000000"/>
                <w:sz w:val="20"/>
                <w:lang w:val="en-US" w:eastAsia="en-US" w:bidi="ar-SA"/>
              </w:rPr>
              <w:t>g</w:t>
            </w:r>
            <w:r>
              <w:rPr>
                <w:rFonts w:ascii="arial" w:eastAsia="arial" w:hAnsi="arial" w:cs="arial"/>
                <w:color w:val="000000"/>
                <w:sz w:val="20"/>
                <w:lang w:val="en-US" w:eastAsia="en-US" w:bidi="ar-SA"/>
              </w:rPr>
              <w:t>)) or a business carried on in British Columbia (section 10(</w:t>
            </w:r>
            <w:r>
              <w:rPr>
                <w:rFonts w:ascii="arial" w:eastAsia="arial" w:hAnsi="arial" w:cs="arial"/>
                <w:i/>
                <w:color w:val="000000"/>
                <w:sz w:val="20"/>
                <w:lang w:val="en-US" w:eastAsia="en-US" w:bidi="ar-SA"/>
              </w:rPr>
              <w:t>h</w:t>
            </w:r>
            <w:r>
              <w:rPr>
                <w:rFonts w:ascii="arial" w:eastAsia="arial" w:hAnsi="arial" w:cs="arial"/>
                <w:color w:val="000000"/>
                <w:sz w:val="20"/>
                <w:lang w:val="en-US" w:eastAsia="en-US" w:bidi="ar-SA"/>
              </w:rPr>
              <w:t xml:space="preserve">)). In the present proceedings, the plaintiff failed to establish that the events alleged by the plaintiff occurred in British Columbia, and the plaintiff's residence in British Columbia did not by itself give rise to a real and substantial connection to the province. On the contrary, the alleged facts underlying the proceeding occurred primarily or exclusively in England. That there may have been some repercussions for the plaintiff in other jurisdictions (including British Columbia) did not give rise to a real and substantial connection with those jurisdictions. The plaintiff's "mind and management" and administration were in China, its operations were conducted outside Canada, it had no assets located in British Columbia, and it derived no revenue from British Columbia. Also, the Court could not agree with the plaintiff that potential investment from British Columbia was significant. Hence, the plaintiff had not adduced evidence that there was a good and arguable case that it carried on business in British Columbia. Accordingly, it was unnecessary to consider the issue of </w:t>
            </w:r>
            <w:r>
              <w:rPr>
                <w:rFonts w:ascii="arial" w:eastAsia="arial" w:hAnsi="arial" w:cs="arial"/>
                <w:i/>
                <w:color w:val="000000"/>
                <w:sz w:val="20"/>
                <w:lang w:val="en-US" w:eastAsia="en-US" w:bidi="ar-SA"/>
              </w:rPr>
              <w:t>forum conveniens</w:t>
            </w:r>
            <w:r>
              <w:rPr>
                <w:rFonts w:ascii="arial" w:eastAsia="arial" w:hAnsi="arial" w:cs="arial"/>
                <w:color w:val="000000"/>
                <w:sz w:val="20"/>
                <w:lang w:val="en-US" w:eastAsia="en-US" w:bidi="ar-SA"/>
              </w:rPr>
              <w:t xml:space="preserve">, although in any event the courts of England were the more appropriate and convenient forum.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15" w:name="Counsel_45"/>
      <w:bookmarkEnd w:id="31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47" style="position:absolute;z-index:2517565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M.W. Bühler for the plaintiff; D.R. Brown and J. Ensom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16" w:name="Judgment_45"/>
      <w:bookmarkEnd w:id="316"/>
      <w:r>
        <w:pict>
          <v:line id="_x0000_s1248" style="position:absolute;z-index:25180774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 INTRODUCTION</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 BACKGROUND</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 THE CLAIM AND RESPONSE</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 ANALYSIS</w:t>
      </w:r>
      <w:r>
        <w:rPr>
          <w:rFonts w:ascii="arial" w:eastAsia="arial" w:hAnsi="arial" w:cs="arial"/>
          <w:sz w:val="20"/>
          <w:lang w:val="en-US" w:eastAsia="en-US" w:bidi="ar-SA"/>
        </w:rPr>
        <w:cr/>
      </w:r>
    </w:p>
    <w:p>
      <w:pPr>
        <w:numPr>
          <w:numId w:val="3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Real and substantial connection</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Tort committed in British Columbia (CJPTA, s. 10(g))</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Business carried on in British Columbia (CJPTA, s. 10(h))</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Appropriate forum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 SUMMARY</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21"/>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17" w:name="J. STEEVES J."/>
            <w:bookmarkEnd w:id="317"/>
            <w:r>
              <w:rPr>
                <w:rFonts w:ascii="arial" w:eastAsia="arial" w:hAnsi="arial" w:cs="arial"/>
                <w:b/>
                <w:color w:val="000000"/>
                <w:sz w:val="30"/>
                <w:lang w:val="en-US" w:eastAsia="en-US" w:bidi="ar-SA"/>
              </w:rPr>
              <w:t>J. STEEVES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A. </w:t>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In its claim in this court the plaintiff says that, as a result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and his breach of his fiduciary duties, the plaintiff was required to remove its listing on an investment market in London, England. Damages are sought.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In the current application the defendant seeks orders to the effect that this court does not have territorial competence over the proceeding. In the alternative, it is submitted by the defendant that the courts of England are the more appropriate forum for the dispute between the parties. Part 2 of the </w:t>
      </w:r>
      <w:r>
        <w:rPr>
          <w:rFonts w:ascii="arial" w:eastAsia="arial" w:hAnsi="arial" w:cs="arial"/>
          <w:i/>
          <w:color w:val="000000"/>
          <w:sz w:val="20"/>
          <w:lang w:val="en-US" w:eastAsia="en-US" w:bidi="ar-SA"/>
        </w:rPr>
        <w:t>Court Jurisdiction and Proceedings Transfer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2003, c. 28</w:t>
      </w:r>
      <w:r>
        <w:rPr>
          <w:rFonts w:ascii="arial" w:eastAsia="arial" w:hAnsi="arial" w:cs="arial"/>
          <w:color w:val="000000"/>
          <w:sz w:val="20"/>
          <w:lang w:val="en-US" w:eastAsia="en-US" w:bidi="ar-SA"/>
        </w:rPr>
        <w:t xml:space="preserve"> ("CJPTA") is at issue, in particular ss. 10 and 11, and the defendant also relies on Rule 21-8.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opposes the defendant's application and seeks to proceed with its claim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B. </w:t>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plaintiff is a consulting company in the mining and energy sectors. It has its head office in Beijing, China and it has a registered office in British Colombia. It was incorporated under the </w:t>
      </w:r>
      <w:r>
        <w:rPr>
          <w:rFonts w:ascii="arial" w:eastAsia="arial" w:hAnsi="arial" w:cs="arial"/>
          <w:i/>
          <w:color w:val="000000"/>
          <w:sz w:val="20"/>
          <w:lang w:val="en-US" w:eastAsia="en-US" w:bidi="ar-SA"/>
        </w:rPr>
        <w:t>Canada Business Corporations Act</w:t>
      </w:r>
      <w:r>
        <w:rPr>
          <w:rFonts w:ascii="arial" w:eastAsia="arial" w:hAnsi="arial" w:cs="arial"/>
          <w:color w:val="000000"/>
          <w:sz w:val="20"/>
          <w:lang w:val="en-US" w:eastAsia="en-US" w:bidi="ar-SA"/>
        </w:rPr>
        <w:t xml:space="preserve">, </w:t>
      </w:r>
      <w:hyperlink r:id="rId1093" w:history="1">
        <w:r>
          <w:rPr>
            <w:rFonts w:ascii="arial" w:eastAsia="arial" w:hAnsi="arial" w:cs="arial"/>
            <w:i/>
            <w:color w:val="0077CC"/>
            <w:sz w:val="20"/>
            <w:u w:val="single"/>
            <w:shd w:val="clear" w:color="auto" w:fill="FFFFFF"/>
            <w:lang w:val="en-US" w:eastAsia="en-US" w:bidi="ar-SA"/>
          </w:rPr>
          <w:t>R.S.C. 1985, c. C-44</w:t>
        </w:r>
      </w:hyperlink>
      <w:r>
        <w:rPr>
          <w:rFonts w:ascii="arial" w:eastAsia="arial" w:hAnsi="arial" w:cs="arial"/>
          <w:color w:val="000000"/>
          <w:sz w:val="20"/>
          <w:lang w:val="en-US" w:eastAsia="en-US" w:bidi="ar-SA"/>
        </w:rPr>
        <w:t xml:space="preserve"> and continued as a B.C. company in November 2013. It was listed on the Venture Exchange of the Toronto Stock exchange. In November 2010 it was also listed on the Alternative Investment Market ("AIM") of the London Stock Exchange ("LSE").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defendant is a chartered accountant and a partner in the professional services firm Cairn Financial Advisors LLP ("Cairn"), based in London, England.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Cairn specializes in acting as a nominated advisor or "nomad." A nomad is part of the regulatory structure of AIM. Day-to-day oversight of AIM listed companies is done by a nomad; if a qualified nomad is not appointed by a company then the company can be delisted. A nomad must be a firm or company like Cairn, not an individual. A nomad provides services through its employees that are qualified by the LSE to be qualified executives. A qualified executive is called a "QE".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retained Cairn in November/December 2012 to act as its nomad. The defendant Mr. Rawlinson was the lead QE for Cairn working with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defendant says that, on April 1, 2014, Cairn resigned as the nomad for the plaintiff, having provided the notice required under the agreement it had with the plaintiff on December 24,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On May 2, 2014 the plaintiff was delisted on the AIM exchange for failing to appoint a replacement nomad. The plaintiff says that the delisting was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and by a breach of his fiduciary duty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C. </w:t>
      </w:r>
      <w:r>
        <w:rPr>
          <w:rFonts w:ascii="arial" w:eastAsia="arial" w:hAnsi="arial" w:cs="arial"/>
          <w:b/>
          <w:color w:val="000000"/>
          <w:sz w:val="20"/>
          <w:u w:val="single"/>
          <w:lang w:val="en-US" w:eastAsia="en-US" w:bidi="ar-SA"/>
        </w:rPr>
        <w:t>THE CLAIM AND RESPONSE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a Notice of Civil Claim filed May 12, 2015, the plaintiff named Mr. Rawlinson as the sole defendant. Cairn was not named as a defendant. According to Mr. Rawlinson, this was done to avoid the forum clause in an agreement between the plaintiff and Cairn which states that the construction, validity and performance of the agreement shall be governed by English law and the parties "irrevocably submit to the exclusive jurisdiction of the Courts of England."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plaintiff's claim is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fiduciary duty. I set out the particulars of the claim from the Notice of Civil Claim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Rawlinson breached the duties he owed to CIC Capital through the following acts and omissions:</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Rawlinson provided incorrect information concerning CIC Capital to AIM Regulation, the body that oversees compliance with AIM rules and regulations, including the following:</w:t>
      </w: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CIC Capital had failed to act on the advice of Cairn to remove certain cease trade orders that had been made with respect to CIC Capital, when in fact CIC Capital had acted on the advice. Further, Rawlinson failed to inform AIM Regulation that he had changed the required format of CIC Capital's financial statements, thereby making it not possible to have the cease trade orders removed;</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CIC Capital had failed to provide Cairn with information concerning a corporate action in January 2014, when in fact CIC Capital and its advisors had provided Cairn with the requested information. Rawlinson requested a suspension in trading on AIM without proper notice to the Company, as a result of which AIM Regulation suspended CIC Capital from trading; and</w:t>
      </w:r>
    </w:p>
    <w:p>
      <w:pPr>
        <w:numPr>
          <w:numId w:val="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Cairn had not reviewed a related party transaction involving CIC Capital in April, 2014, when in fact Cairn had performed the review;</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despite CIC Capitals' request that Rawlinson do so, Rawlinson failed to involve other QEs and/or corporate finance staff at Cairn in providing the Nomad Services to CIC Capital, with the result that:</w:t>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Rawlinson's responses to enquires of AIM Regulation concerning CIC Capital were not made in a timely manner; and</w:t>
      </w:r>
    </w:p>
    <w:p>
      <w:pPr>
        <w:numPr>
          <w:numId w:val="1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CIC Capital was not able to address its obligations with respect to its AIM listing in a timely or effective manner;</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Rawlinson failed to inform AIM Regulation that any delay in providing responses to AIM Regulation's enquiries concerning CIC Capital were not due to CIC Capital, but rather due to the failure of Rawlinson to involve other QEs and/or corporate finance staff at Cairn in providing the Nomad Services to CIC Capital and the failure of Rawlinson to keep proper records of information provided to him by CIC Capital;</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further, despite the fact that CIC Capital's responses to AIM Regulations inquiries were all completed in time allocated by AIM Regulation, Rawlinson advised AIM Regulations that additional time was required to deliver those responses due to CIC Capital being unresponsive to requests for information from Cairn and Rawlinson, which was untrue;</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Rawlinson obstructed attempts by CIC Capital to facilitate communication directly with AIM Regulation in order to address enquiries of AIM Regulation in a timely manner; and</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Rawlinson caused Cairn to resign as CIC Capital's Nomad on December 24, 2013, giving only three months' notice. Rawlinson effected Cairn's resignation, while on a skiing holiday, in order to avoid providing CIC Capital will a second QE to perform the services that Rawlinson was unable or unwilling to provide. Rawlinson effected the resignation by email after the Company pushed Rawlinson for the assignment of a second QE. At the time of the resignation, Rawlinson knew that CIC Capital was not in breach of its Nomad agreement with Cairn, nor had CIC Capital failed to comply with any of Rawlinson's directions regarding AIM rules and regulations.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As a result of Rawlinson's Breaches of Duty, individually or collectively:</w:t>
      </w:r>
    </w:p>
    <w:p>
      <w:pPr>
        <w:numPr>
          <w:numId w:val="1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CIC Capital was required to remove its listing on AIM, and thereby lost access to the financial markets accessible through AIM;</w:t>
      </w:r>
    </w:p>
    <w:p>
      <w:pPr>
        <w:numPr>
          <w:numId w:val="1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CIC Capital's Listing Costs became costs thrown away; and</w:t>
      </w:r>
    </w:p>
    <w:p>
      <w:pPr>
        <w:numPr>
          <w:numId w:val="1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CIC Capital suffered damage to his reputation resulting in a loss of investor confidence and difficulties in finding a Nomad to replace Cairn.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The Notice of Civil Claim also includes an "Endorsement on Originating Pleading for Service Outside British Columbia" as required by Rule 4-5(2)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The endorsement states that the claim:</w:t>
      </w:r>
      <w:r>
        <w:rPr>
          <w:rFonts w:ascii="arial" w:eastAsia="arial" w:hAnsi="arial" w:cs="arial"/>
          <w:sz w:val="20"/>
          <w:lang w:val="en-US" w:eastAsia="en-US" w:bidi="ar-SA"/>
        </w:rPr>
        <w:cr/>
      </w:r>
    </w:p>
    <w:p>
      <w:pPr>
        <w:numPr>
          <w:numId w:val="16"/>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concerns a tort committed in British Columbia;</w:t>
      </w:r>
    </w:p>
    <w:p>
      <w:pPr>
        <w:numPr>
          <w:numId w:val="16"/>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concerns a business carried on in British Columbia; and</w:t>
      </w:r>
    </w:p>
    <w:p>
      <w:pPr>
        <w:numPr>
          <w:numId w:val="16"/>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has a real and substantial connection with British Colombia.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Response to Civil Claim of the defendant is, first of all, based on jurisdiction thus resulting in the current application. The CJPTA is relied on. The defendant says that the torts alleged by the plaintiff were not committed in British Columbia, the proceeding does not concern a business carried on in British Columbia and there is no real and substantial connection between the proceedings commenced by the plaintiff and British Columbia. In the alternative, the defendant says that the courts of England and Wales are the more appropriate forum.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With respect to the substantive claim of the plaintiff, the defendant says that Mr. Rawlinson owed no duty of care or fiduciary duty to the plaintiff because his duties were regulatory in nature and primarily owed to Cairn and the LSE. In the alternative, if there was a duty owed by the defendant, he did not breach it and there was no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D. </w:t>
      </w:r>
      <w:r>
        <w:rPr>
          <w:rFonts w:ascii="arial" w:eastAsia="arial" w:hAnsi="arial" w:cs="arial"/>
          <w:b/>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Broadly put, the issues in this application are two:</w:t>
      </w:r>
      <w:r>
        <w:rPr>
          <w:rFonts w:ascii="arial" w:eastAsia="arial" w:hAnsi="arial" w:cs="arial"/>
          <w:sz w:val="20"/>
          <w:lang w:val="en-US" w:eastAsia="en-US" w:bidi="ar-SA"/>
        </w:rPr>
        <w:cr/>
      </w:r>
    </w:p>
    <w:p>
      <w:pPr>
        <w:numPr>
          <w:numId w:val="1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there a real and substantial connection between British Columbia and the facts in this case?</w:t>
      </w:r>
    </w:p>
    <w:p>
      <w:pPr>
        <w:numPr>
          <w:numId w:val="1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there is a real and substantial connection, are the courts of England the appropriate and convenient forum to hear the dispute between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 will consider these issues in turn.</w:t>
      </w:r>
      <w:r>
        <w:rPr>
          <w:rFonts w:ascii="arial" w:eastAsia="arial" w:hAnsi="arial" w:cs="arial"/>
          <w:sz w:val="20"/>
          <w:lang w:val="en-US" w:eastAsia="en-US" w:bidi="ar-SA"/>
        </w:rPr>
        <w:cr/>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Real and substantial connection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Section 3 of the CJPTA describes the broad context for deciding territorial competence: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Proceedings against a person</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A court has territorial competence in a proceeding that is brought against a person only if</w:t>
      </w:r>
    </w:p>
    <w:p>
      <w:pPr>
        <w:numPr>
          <w:numId w:val="1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person is the plaintiff in another proceeding in the court to which the proceeding in question is a counterclaim,</w:t>
      </w:r>
    </w:p>
    <w:p>
      <w:pPr>
        <w:numPr>
          <w:numId w:val="1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during the course of the proceeding that person submits to the court's jurisdiction,</w:t>
      </w:r>
    </w:p>
    <w:p>
      <w:pPr>
        <w:numPr>
          <w:numId w:val="1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agreement between the plaintiff and that person to the effect that the court has jurisdiction in the proceeding,</w:t>
      </w:r>
    </w:p>
    <w:p>
      <w:pPr>
        <w:numPr>
          <w:numId w:val="1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person is ordinarily resident in British Columbia at the time of the commencement of the proceeding, or</w:t>
      </w:r>
    </w:p>
    <w:p>
      <w:pPr>
        <w:numPr>
          <w:numId w:val="1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 real and substantial connection between British Columbia and the facts on which the proceeding against that person is based.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plaintiff relies on s. 3(e) of the CJPTA; it says there is a real and substantial connection between British Columbia and the facts on which its claim is based.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Section 10 of the CJPTA sets out presumptive factors that can determine whether there is a real and substantial connection: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Without limiting the right of the plaintiff to prove other circumstances that constitute a real and substantial connection between British Columbia and the facts on which a proceeding is based, a real and substantial connection between British Columbia and those facts is presumed to exist if the proceeding</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brought to enforce, assert, declare or determine proprietary or possessory rights or a security interest in property in British Columbia that is immovable or movable property,</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concerns the administration of the estate of a deceased person in relation to</w:t>
      </w:r>
    </w:p>
    <w:p>
      <w:pPr>
        <w:numPr>
          <w:numId w:val="2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immovable property in British Columbia of the deceased person, or</w:t>
      </w:r>
    </w:p>
    <w:p>
      <w:pPr>
        <w:numPr>
          <w:numId w:val="2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movable property anywhere of the deceased person if at the time of death he or she was ordinarily resident in British Columbia,</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brought to interpret, rectify, set aside or enforce any deed, will, contract or other instrument in relation to</w:t>
      </w:r>
    </w:p>
    <w:p>
      <w:pPr>
        <w:numPr>
          <w:numId w:val="2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property in British Columbia that is immovable or movable property, or</w:t>
      </w:r>
    </w:p>
    <w:p>
      <w:pPr>
        <w:numPr>
          <w:numId w:val="2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movable property anywhere of a deceased person who at the time of death was ordinarily resident in British Columbia,</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brought against a trustee in relation to the carrying out of a trust in any of the following circumstances:</w:t>
      </w:r>
    </w:p>
    <w:p>
      <w:pPr>
        <w:numPr>
          <w:numId w:val="2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trust assets include property in British Columbia that is immovable or movable property and the relief claimed is only as to that property;</w:t>
      </w:r>
    </w:p>
    <w:p>
      <w:pPr>
        <w:numPr>
          <w:numId w:val="2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trustee is ordinarily resident in British Columbia;</w:t>
      </w:r>
    </w:p>
    <w:p>
      <w:pPr>
        <w:numPr>
          <w:numId w:val="2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administration of the trust is principally carried on in British Columbia;</w:t>
      </w:r>
    </w:p>
    <w:p>
      <w:pPr>
        <w:numPr>
          <w:numId w:val="3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by the express terms of a trust document, the trust is governed by the law of British Columbia,</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concerns contractual obligations, and</w:t>
      </w:r>
    </w:p>
    <w:p>
      <w:pPr>
        <w:numPr>
          <w:numId w:val="3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contractual obligations, to a substantial extent, were to be performed in British Columbia,</w:t>
      </w:r>
    </w:p>
    <w:p>
      <w:pPr>
        <w:numPr>
          <w:numId w:val="3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by its express terms, the contract is governed by the law of British Columbia, or</w:t>
      </w:r>
    </w:p>
    <w:p>
      <w:pPr>
        <w:numPr>
          <w:numId w:val="3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contract</w:t>
      </w:r>
    </w:p>
    <w:p>
      <w:pPr>
        <w:numPr>
          <w:numId w:val="35"/>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is for the purchase of property, services or both, for use other than in the course of the purchaser's trade or profession, and</w:t>
      </w:r>
    </w:p>
    <w:p>
      <w:pPr>
        <w:numPr>
          <w:numId w:val="36"/>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resulted from a solicitation of business in British Columbia by or on behalf of the seller,</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concerns restitutionary obligations that, to a substantial extent, arose in British Columbia,</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concerns a tort committed in British Columbia</w:t>
      </w:r>
      <w:r>
        <w:rPr>
          <w:rFonts w:ascii="arial" w:eastAsia="arial" w:hAnsi="arial" w:cs="arial"/>
          <w:color w:val="000000"/>
          <w:sz w:val="20"/>
          <w:lang w:val="en-US" w:eastAsia="en-US" w:bidi="ar-SA"/>
        </w:rPr>
        <w:t>,</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concerns a business carried on in British Columbia</w:t>
      </w:r>
      <w:r>
        <w:rPr>
          <w:rFonts w:ascii="arial" w:eastAsia="arial" w:hAnsi="arial" w:cs="arial"/>
          <w:color w:val="000000"/>
          <w:sz w:val="20"/>
          <w:lang w:val="en-US" w:eastAsia="en-US" w:bidi="ar-SA"/>
        </w:rPr>
        <w:t>,</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a claim for an injunction ordering a party to do or refrain from doing anything</w:t>
      </w:r>
    </w:p>
    <w:p>
      <w:pPr>
        <w:numPr>
          <w:numId w:val="3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British Columbia, or</w:t>
      </w:r>
    </w:p>
    <w:p>
      <w:pPr>
        <w:numPr>
          <w:numId w:val="3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relation to property in British Columbia that is immovable or movable property,</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for a determination of the personal status or capacity of a person who is ordinarily resident in British Columbia,</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for enforcement of a judgment of a court made in or outside British Columbia or an arbitral award made in or outside British Columbia, or</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for the recovery of taxes or other indebtedness and is brought by the government of British Columbia or by a local authority in British Columbia.</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the subject case the plaintiff relies on s. 10(g) of the CJPTA, a tort committed in British Columbia, and s. 10(h), a business carried on in British Columbia, for its submission that this court has territorial competence. The facts underlying the plaintiff's claims need only provide a foundation for jurisdiction on an "arguable case" standard; they need not be proven on a balance of probabilities (</w:t>
      </w:r>
      <w:r>
        <w:rPr>
          <w:rFonts w:ascii="arial" w:eastAsia="arial" w:hAnsi="arial" w:cs="arial"/>
          <w:i/>
          <w:color w:val="000000"/>
          <w:sz w:val="20"/>
          <w:lang w:val="en-US" w:eastAsia="en-US" w:bidi="ar-SA"/>
        </w:rPr>
        <w:t>The Original Cakerie Ltd. v. Renaud</w:t>
      </w:r>
      <w:r>
        <w:rPr>
          <w:rFonts w:ascii="arial" w:eastAsia="arial" w:hAnsi="arial" w:cs="arial"/>
          <w:color w:val="000000"/>
          <w:sz w:val="20"/>
          <w:lang w:val="en-US" w:eastAsia="en-US" w:bidi="ar-SA"/>
        </w:rPr>
        <w:t xml:space="preserve">, </w:t>
      </w:r>
      <w:hyperlink r:id="rId1094" w:history="1">
        <w:r>
          <w:rPr>
            <w:rFonts w:ascii="arial" w:eastAsia="arial" w:hAnsi="arial" w:cs="arial"/>
            <w:i/>
            <w:color w:val="0077CC"/>
            <w:sz w:val="20"/>
            <w:u w:val="single"/>
            <w:shd w:val="clear" w:color="auto" w:fill="FFFFFF"/>
            <w:lang w:val="en-US" w:eastAsia="en-US" w:bidi="ar-SA"/>
          </w:rPr>
          <w:t>2013 BCSC 755</w:t>
        </w:r>
      </w:hyperlink>
      <w:r>
        <w:rPr>
          <w:rFonts w:ascii="arial" w:eastAsia="arial" w:hAnsi="arial" w:cs="arial"/>
          <w:color w:val="000000"/>
          <w:sz w:val="20"/>
          <w:lang w:val="en-US" w:eastAsia="en-US" w:bidi="ar-SA"/>
        </w:rPr>
        <w:t>, at para. 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As can be seen, s. 10 establishes a presumption of territorial competence when one of the factors listed there are present. Rule 21-8(1)(a) is also applicable:</w:t>
      </w:r>
      <w:r>
        <w:rPr>
          <w:rFonts w:ascii="arial" w:eastAsia="arial" w:hAnsi="arial" w:cs="arial"/>
          <w:sz w:val="20"/>
          <w:lang w:val="en-US" w:eastAsia="en-US" w:bidi="ar-SA"/>
        </w:rPr>
        <w:cr/>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party who has been served with an originating pleading or petition in a proceeding, whether that service was effected in or outside British Columbia, may, after filing a jurisdictional response in Form 108,</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apply to strike out the notice of civil claim, counterclaim, third party notice or petition or to dismiss or stay the proceeding on the ground that the notice of civil claim, counterclaim, third party notice or petition does not allege facts that, if true, would establish that the court has jurisdiction over that party in respect of the claim made against that party in the proceeding,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Justice Fleming described the approach to Rule 21-8 in </w:t>
      </w:r>
      <w:r>
        <w:rPr>
          <w:rFonts w:ascii="arial" w:eastAsia="arial" w:hAnsi="arial" w:cs="arial"/>
          <w:i/>
          <w:color w:val="000000"/>
          <w:sz w:val="20"/>
          <w:lang w:val="en-US" w:eastAsia="en-US" w:bidi="ar-SA"/>
        </w:rPr>
        <w:t>MicroCoal Inc. v. Livneh</w:t>
      </w:r>
      <w:r>
        <w:rPr>
          <w:rFonts w:ascii="arial" w:eastAsia="arial" w:hAnsi="arial" w:cs="arial"/>
          <w:color w:val="000000"/>
          <w:sz w:val="20"/>
          <w:lang w:val="en-US" w:eastAsia="en-US" w:bidi="ar-SA"/>
        </w:rPr>
        <w:t xml:space="preserve">, </w:t>
      </w:r>
      <w:hyperlink r:id="rId1095" w:history="1">
        <w:r>
          <w:rPr>
            <w:rFonts w:ascii="arial" w:eastAsia="arial" w:hAnsi="arial" w:cs="arial"/>
            <w:i/>
            <w:color w:val="0077CC"/>
            <w:sz w:val="20"/>
            <w:u w:val="single"/>
            <w:shd w:val="clear" w:color="auto" w:fill="FFFFFF"/>
            <w:lang w:val="en-US" w:eastAsia="en-US" w:bidi="ar-SA"/>
          </w:rPr>
          <w:t>2014 BCSC 787</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[53] The procedure for challenging territorial competence is set out in R 21-8, formerly R 14(6). It is well established that where jurisdictional facts are not pleaded, the plaintiffs can rely on affidavit evidence. Where the defendant adduces evidence that challenges the plaintiff's jurisdictional facts or to demonstrate the plaintiff's claim is tenuous or without merit, the plaintiff is then required to adduce evidence to satisfy the court that it has a good and arguable case that the contentious facts can be established: </w:t>
      </w:r>
      <w:r>
        <w:rPr>
          <w:rFonts w:ascii="arial" w:eastAsia="arial" w:hAnsi="arial" w:cs="arial"/>
          <w:i/>
          <w:color w:val="000000"/>
          <w:sz w:val="20"/>
          <w:lang w:val="en-US" w:eastAsia="en-US" w:bidi="ar-SA"/>
        </w:rPr>
        <w:t>Roth</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Roth v. Interlock Services, Inc.</w:t>
      </w:r>
      <w:r>
        <w:rPr>
          <w:rFonts w:ascii="arial" w:eastAsia="arial" w:hAnsi="arial" w:cs="arial"/>
          <w:color w:val="000000"/>
          <w:sz w:val="20"/>
          <w:lang w:val="en-US" w:eastAsia="en-US" w:bidi="ar-SA"/>
        </w:rPr>
        <w:t xml:space="preserve">, </w:t>
      </w:r>
      <w:hyperlink r:id="rId1096" w:history="1">
        <w:r>
          <w:rPr>
            <w:rFonts w:ascii="arial" w:eastAsia="arial" w:hAnsi="arial" w:cs="arial"/>
            <w:i/>
            <w:color w:val="0077CC"/>
            <w:sz w:val="20"/>
            <w:u w:val="single"/>
            <w:shd w:val="clear" w:color="auto" w:fill="FFFFFF"/>
            <w:lang w:val="en-US" w:eastAsia="en-US" w:bidi="ar-SA"/>
          </w:rPr>
          <w:t>2004 BCCA 407</w:t>
        </w:r>
      </w:hyperlink>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 Purple Echo Productions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Purple Echo Productions, Inc. v. KVTS Television</w:t>
      </w:r>
      <w:r>
        <w:rPr>
          <w:rFonts w:ascii="arial" w:eastAsia="arial" w:hAnsi="arial" w:cs="arial"/>
          <w:color w:val="000000"/>
          <w:sz w:val="20"/>
          <w:lang w:val="en-US" w:eastAsia="en-US" w:bidi="ar-SA"/>
        </w:rPr>
        <w:t xml:space="preserve">, </w:t>
      </w:r>
      <w:hyperlink r:id="rId1097" w:history="1">
        <w:r>
          <w:rPr>
            <w:rFonts w:ascii="arial" w:eastAsia="arial" w:hAnsi="arial" w:cs="arial"/>
            <w:i/>
            <w:color w:val="0077CC"/>
            <w:sz w:val="20"/>
            <w:u w:val="single"/>
            <w:shd w:val="clear" w:color="auto" w:fill="FFFFFF"/>
            <w:lang w:val="en-US" w:eastAsia="en-US" w:bidi="ar-SA"/>
          </w:rPr>
          <w:t>2008 BCCA 85</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[See also </w:t>
      </w:r>
      <w:r>
        <w:rPr>
          <w:rFonts w:ascii="arial" w:eastAsia="arial" w:hAnsi="arial" w:cs="arial"/>
          <w:i/>
          <w:color w:val="000000"/>
          <w:sz w:val="20"/>
          <w:lang w:val="en-US" w:eastAsia="en-US" w:bidi="ar-SA"/>
        </w:rPr>
        <w:t>Original Cakerie</w:t>
      </w:r>
      <w:r>
        <w:rPr>
          <w:rFonts w:ascii="arial" w:eastAsia="arial" w:hAnsi="arial" w:cs="arial"/>
          <w:color w:val="000000"/>
          <w:sz w:val="20"/>
          <w:lang w:val="en-US" w:eastAsia="en-US" w:bidi="ar-SA"/>
        </w:rPr>
        <w:t>, para. 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the subject case the defendant has adduced evidence that challenges the jurisdictional facts of the plaintiff and he says that the plaintiff's claim is tenuous and without merit. It follows that the plaintiff must adduce evidence that satisfies this court that it has a good and arguable case that the contentious facts can be established for each presumptive 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On this basis I will consider each of the grounds relied on by the plaintiff.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(i) Tort committed in British Columbia (CJPTA, s. 10(g))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As above, s. 10(g) of the CJPTA establishes a presumption in favour of territorial competence where a proceeding concerns a tort committed in British Columbia. The defendant says the plaintiff has not alleged facts that, if true, would establish jurisdiction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facts here are that the plaintiff has its headquarters in China with a registered office in British Columbia and registration with the AIM exchange in England. As deposed by Peter Bromley, chairman, director and CEO of the plaintiff, the plaintiff's clients are primarily located in Asia and Africa.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paragraph 12 of its response to the defendant's application, the plaintiff relies on its registered office in British Columbia. Its submission is that it is a corporate resident of British Columbia and its affairs are governed by the laws of British Columbia, including the courts in this province and the British Columbia Securities Commission ("BCSC"). This means, according to the plaintiff, that its losses (from the actions of the defendant) "should be considered to have been suffered" in British Columbia. For the purposes of this application I accept the facts asserted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Returning to the particulars of the plaintiff's claim (set out above), it says that the defendant breached his duties to the plaintiff by providing false information to AIM regulators, failing to involve other QEs and corporate staff and failing to inform AIM that any delay was the responsibility of the defendant. In addition, the plaintiff submits that the defendant said to AIM that the plaintiff had not been timely with responses to AIM regulation when the responses </w:t>
      </w:r>
      <w:r>
        <w:rPr>
          <w:rFonts w:ascii="arial" w:eastAsia="arial" w:hAnsi="arial" w:cs="arial"/>
          <w:i/>
          <w:color w:val="000000"/>
          <w:sz w:val="20"/>
          <w:lang w:val="en-US" w:eastAsia="en-US" w:bidi="ar-SA"/>
        </w:rPr>
        <w:t>were</w:t>
      </w:r>
      <w:r>
        <w:rPr>
          <w:rFonts w:ascii="arial" w:eastAsia="arial" w:hAnsi="arial" w:cs="arial"/>
          <w:color w:val="000000"/>
          <w:sz w:val="20"/>
          <w:lang w:val="en-US" w:eastAsia="en-US" w:bidi="ar-SA"/>
        </w:rPr>
        <w:t xml:space="preserve"> timely, the defendant obstructed attempts by the plaintiff to communicate directly with AIM and the defendant caused Cairn to resign with only three months' notice. I note that the three months' notice is required under the agreement between Cairn and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 accept that the situs of a tort can be a connecting factor to establish territorial competence under s. 10(g) of the CJPTA (</w:t>
      </w:r>
      <w:r>
        <w:rPr>
          <w:rFonts w:ascii="arial" w:eastAsia="arial" w:hAnsi="arial" w:cs="arial"/>
          <w:i/>
          <w:color w:val="000000"/>
          <w:sz w:val="20"/>
          <w:lang w:val="en-US" w:eastAsia="en-US" w:bidi="ar-SA"/>
        </w:rPr>
        <w:t>Club Resorts Ltd. v. Van Breda,</w:t>
      </w:r>
      <w:r>
        <w:rPr>
          <w:rFonts w:ascii="arial" w:eastAsia="arial" w:hAnsi="arial" w:cs="arial"/>
          <w:color w:val="000000"/>
          <w:sz w:val="20"/>
          <w:lang w:val="en-US" w:eastAsia="en-US" w:bidi="ar-SA"/>
        </w:rPr>
        <w:t xml:space="preserve"> 2012 SCC, at para. 89). However, assuming the events alleged by the plaintiff are true, none of them occurred in British Columbia and, therefore, I have some difficulty accepting that the situs of the tort alleged by the plaintiff was in this jurisdiction. In addition, the plaintiff's residence does not by itself give rise to a real and substantial connection, nor does the fact that the plaintiff was subject to the laws of British Columbia (</w:t>
      </w:r>
      <w:r>
        <w:rPr>
          <w:rFonts w:ascii="arial" w:eastAsia="arial" w:hAnsi="arial" w:cs="arial"/>
          <w:i/>
          <w:color w:val="000000"/>
          <w:sz w:val="20"/>
          <w:lang w:val="en-US" w:eastAsia="en-US" w:bidi="ar-SA"/>
        </w:rPr>
        <w:t>Forsythe v. Westfall</w:t>
      </w:r>
      <w:r>
        <w:rPr>
          <w:rFonts w:ascii="arial" w:eastAsia="arial" w:hAnsi="arial" w:cs="arial"/>
          <w:color w:val="000000"/>
          <w:sz w:val="20"/>
          <w:lang w:val="en-US" w:eastAsia="en-US" w:bidi="ar-SA"/>
        </w:rPr>
        <w:t xml:space="preserve">, </w:t>
      </w:r>
      <w:hyperlink r:id="rId1098" w:history="1">
        <w:r>
          <w:rPr>
            <w:rFonts w:ascii="arial" w:eastAsia="arial" w:hAnsi="arial" w:cs="arial"/>
            <w:i/>
            <w:color w:val="0077CC"/>
            <w:sz w:val="20"/>
            <w:u w:val="single"/>
            <w:shd w:val="clear" w:color="auto" w:fill="FFFFFF"/>
            <w:lang w:val="en-US" w:eastAsia="en-US" w:bidi="ar-SA"/>
          </w:rPr>
          <w:t>2015 ONCA 810</w:t>
        </w:r>
      </w:hyperlink>
      <w:r>
        <w:rPr>
          <w:rFonts w:ascii="arial" w:eastAsia="arial" w:hAnsi="arial" w:cs="arial"/>
          <w:color w:val="000000"/>
          <w:sz w:val="20"/>
          <w:lang w:val="en-US" w:eastAsia="en-US" w:bidi="ar-SA"/>
        </w:rPr>
        <w:t>, at para. 49).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 plaintiff says something a bit different than the latter point: it submits that that the loss it suffered "should be considered to have been suffered in British Columbia" based on its residence. The decision in </w:t>
      </w:r>
      <w:r>
        <w:rPr>
          <w:rFonts w:ascii="arial" w:eastAsia="arial" w:hAnsi="arial" w:cs="arial"/>
          <w:i/>
          <w:color w:val="000000"/>
          <w:sz w:val="20"/>
          <w:lang w:val="en-US" w:eastAsia="en-US" w:bidi="ar-SA"/>
        </w:rPr>
        <w:t>The Original Cakerie</w:t>
      </w:r>
      <w:r>
        <w:rPr>
          <w:rFonts w:ascii="arial" w:eastAsia="arial" w:hAnsi="arial" w:cs="arial"/>
          <w:color w:val="000000"/>
          <w:sz w:val="20"/>
          <w:lang w:val="en-US" w:eastAsia="en-US" w:bidi="ar-SA"/>
        </w:rPr>
        <w:t xml:space="preserve"> is relied on for the proposition that, where damage from tortious conduct has been suffered in British Columbia, the tort has been committed within that province and territorial competence is to be presumed under s. 10(g) of the CJPTA.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However, I note in that case (an application by the defendant that the British Columbia court did not have territorial competence) the finding was that the plaintiff's contractual obligations not to divulge protected/confidential information was to be substantially performed or adhered to in British Columbia (para. 32). On this basis the conclusion was of a real and substantial connection between British Columbia and the facts on which the proceedings were based. By way of contrast, in the subject case, the evidence is that the facts underlying this proceeding occurred primarily or even exclusively in England. I conclude that the </w:t>
      </w:r>
      <w:r>
        <w:rPr>
          <w:rFonts w:ascii="arial" w:eastAsia="arial" w:hAnsi="arial" w:cs="arial"/>
          <w:i/>
          <w:color w:val="000000"/>
          <w:sz w:val="20"/>
          <w:lang w:val="en-US" w:eastAsia="en-US" w:bidi="ar-SA"/>
        </w:rPr>
        <w:t>The Original Cakerie</w:t>
      </w:r>
      <w:r>
        <w:rPr>
          <w:rFonts w:ascii="arial" w:eastAsia="arial" w:hAnsi="arial" w:cs="arial"/>
          <w:color w:val="000000"/>
          <w:sz w:val="20"/>
          <w:lang w:val="en-US" w:eastAsia="en-US" w:bidi="ar-SA"/>
        </w:rPr>
        <w:t xml:space="preserve"> decision is of limited application here. It is true that torts are often located where the injury occurs: in addition to </w:t>
      </w:r>
      <w:r>
        <w:rPr>
          <w:rFonts w:ascii="arial" w:eastAsia="arial" w:hAnsi="arial" w:cs="arial"/>
          <w:i/>
          <w:color w:val="000000"/>
          <w:sz w:val="20"/>
          <w:lang w:val="en-US" w:eastAsia="en-US" w:bidi="ar-SA"/>
        </w:rPr>
        <w:t>The Original Cakerie</w:t>
      </w:r>
      <w:r>
        <w:rPr>
          <w:rFonts w:ascii="arial" w:eastAsia="arial" w:hAnsi="arial" w:cs="arial"/>
          <w:color w:val="000000"/>
          <w:sz w:val="20"/>
          <w:lang w:val="en-US" w:eastAsia="en-US" w:bidi="ar-SA"/>
        </w:rPr>
        <w:t xml:space="preserve">, see for example </w:t>
      </w:r>
      <w:r>
        <w:rPr>
          <w:rFonts w:ascii="arial" w:eastAsia="arial" w:hAnsi="arial" w:cs="arial"/>
          <w:i/>
          <w:color w:val="000000"/>
          <w:sz w:val="20"/>
          <w:lang w:val="en-US" w:eastAsia="en-US" w:bidi="ar-SA"/>
        </w:rPr>
        <w:t>Moran v. Pyle National (Canada) Ltd.</w:t>
      </w:r>
      <w:r>
        <w:rPr>
          <w:rFonts w:ascii="arial" w:eastAsia="arial" w:hAnsi="arial" w:cs="arial"/>
          <w:color w:val="000000"/>
          <w:sz w:val="20"/>
          <w:lang w:val="en-US" w:eastAsia="en-US" w:bidi="ar-SA"/>
        </w:rPr>
        <w:t xml:space="preserve"> (1973), </w:t>
      </w:r>
      <w:hyperlink r:id="rId1099" w:history="1">
        <w:r>
          <w:rPr>
            <w:rFonts w:ascii="arial" w:eastAsia="arial" w:hAnsi="arial" w:cs="arial"/>
            <w:i/>
            <w:color w:val="0077CC"/>
            <w:sz w:val="20"/>
            <w:u w:val="single"/>
            <w:shd w:val="clear" w:color="auto" w:fill="FFFFFF"/>
            <w:lang w:val="en-US" w:eastAsia="en-US" w:bidi="ar-SA"/>
          </w:rPr>
          <w:t>[1975] 1 S.C.R. 393</w:t>
        </w:r>
      </w:hyperlink>
      <w:r>
        <w:rPr>
          <w:rFonts w:ascii="arial" w:eastAsia="arial" w:hAnsi="arial" w:cs="arial"/>
          <w:color w:val="000000"/>
          <w:sz w:val="20"/>
          <w:lang w:val="en-US" w:eastAsia="en-US" w:bidi="ar-SA"/>
        </w:rPr>
        <w:t xml:space="preserve">, at p. 408-409 (negligent manufacture); </w:t>
      </w:r>
      <w:r>
        <w:rPr>
          <w:rFonts w:ascii="arial" w:eastAsia="arial" w:hAnsi="arial" w:cs="arial"/>
          <w:i/>
          <w:color w:val="000000"/>
          <w:sz w:val="20"/>
          <w:lang w:val="en-US" w:eastAsia="en-US" w:bidi="ar-SA"/>
        </w:rPr>
        <w:t>Western Aerial Applications Ltd. v. Turbomeca USA, Inc.</w:t>
      </w:r>
      <w:r>
        <w:rPr>
          <w:rFonts w:ascii="arial" w:eastAsia="arial" w:hAnsi="arial" w:cs="arial"/>
          <w:color w:val="000000"/>
          <w:sz w:val="20"/>
          <w:lang w:val="en-US" w:eastAsia="en-US" w:bidi="ar-SA"/>
        </w:rPr>
        <w:t xml:space="preserve">, </w:t>
      </w:r>
      <w:hyperlink r:id="rId1100" w:history="1">
        <w:r>
          <w:rPr>
            <w:rFonts w:ascii="arial" w:eastAsia="arial" w:hAnsi="arial" w:cs="arial"/>
            <w:i/>
            <w:color w:val="0077CC"/>
            <w:sz w:val="20"/>
            <w:u w:val="single"/>
            <w:shd w:val="clear" w:color="auto" w:fill="FFFFFF"/>
            <w:lang w:val="en-US" w:eastAsia="en-US" w:bidi="ar-SA"/>
          </w:rPr>
          <w:t>2009 BCSC 123</w:t>
        </w:r>
      </w:hyperlink>
      <w:r>
        <w:rPr>
          <w:rFonts w:ascii="arial" w:eastAsia="arial" w:hAnsi="arial" w:cs="arial"/>
          <w:color w:val="000000"/>
          <w:sz w:val="20"/>
          <w:lang w:val="en-US" w:eastAsia="en-US" w:bidi="ar-SA"/>
        </w:rPr>
        <w:t>, at para. 8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Club Resorts</w:t>
      </w:r>
      <w:r>
        <w:rPr>
          <w:rFonts w:ascii="arial" w:eastAsia="arial" w:hAnsi="arial" w:cs="arial"/>
          <w:color w:val="000000"/>
          <w:sz w:val="20"/>
          <w:lang w:val="en-US" w:eastAsia="en-US" w:bidi="ar-SA"/>
        </w:rPr>
        <w:t xml:space="preserve">, at para. 89 (defamation); </w:t>
      </w:r>
      <w:r>
        <w:rPr>
          <w:rFonts w:ascii="arial" w:eastAsia="arial" w:hAnsi="arial" w:cs="arial"/>
          <w:i/>
          <w:color w:val="000000"/>
          <w:sz w:val="20"/>
          <w:lang w:val="en-US" w:eastAsia="en-US" w:bidi="ar-SA"/>
        </w:rPr>
        <w:t>British Columbia v. Imperial Tobacco Canada Ltd.</w:t>
      </w:r>
      <w:r>
        <w:rPr>
          <w:rFonts w:ascii="arial" w:eastAsia="arial" w:hAnsi="arial" w:cs="arial"/>
          <w:color w:val="000000"/>
          <w:sz w:val="20"/>
          <w:lang w:val="en-US" w:eastAsia="en-US" w:bidi="ar-SA"/>
        </w:rPr>
        <w:t xml:space="preserve">, </w:t>
      </w:r>
      <w:hyperlink r:id="rId1101" w:history="1">
        <w:r>
          <w:rPr>
            <w:rFonts w:ascii="arial" w:eastAsia="arial" w:hAnsi="arial" w:cs="arial"/>
            <w:i/>
            <w:color w:val="0077CC"/>
            <w:sz w:val="20"/>
            <w:u w:val="single"/>
            <w:shd w:val="clear" w:color="auto" w:fill="FFFFFF"/>
            <w:lang w:val="en-US" w:eastAsia="en-US" w:bidi="ar-SA"/>
          </w:rPr>
          <w:t>2006 BCCA 398</w:t>
        </w:r>
      </w:hyperlink>
      <w:r>
        <w:rPr>
          <w:rFonts w:ascii="arial" w:eastAsia="arial" w:hAnsi="arial" w:cs="arial"/>
          <w:color w:val="000000"/>
          <w:sz w:val="20"/>
          <w:lang w:val="en-US" w:eastAsia="en-US" w:bidi="ar-SA"/>
        </w:rPr>
        <w:t>, at para. 43 (conspiracy). But where injury occurs elsewhere, and damages are only felt when the plaintiff returns home, the plaintiff usually cannot sue in their home jurisdiction. This often occurs in personal injury actions (</w:t>
      </w:r>
      <w:r>
        <w:rPr>
          <w:rFonts w:ascii="arial" w:eastAsia="arial" w:hAnsi="arial" w:cs="arial"/>
          <w:i/>
          <w:color w:val="000000"/>
          <w:sz w:val="20"/>
          <w:lang w:val="en-US" w:eastAsia="en-US" w:bidi="ar-SA"/>
        </w:rPr>
        <w:t>Club Resorts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Roed v. Scheffler</w:t>
      </w:r>
      <w:r>
        <w:rPr>
          <w:rFonts w:ascii="arial" w:eastAsia="arial" w:hAnsi="arial" w:cs="arial"/>
          <w:color w:val="000000"/>
          <w:sz w:val="20"/>
          <w:lang w:val="en-US" w:eastAsia="en-US" w:bidi="ar-SA"/>
        </w:rPr>
        <w:t xml:space="preserve">, </w:t>
      </w:r>
      <w:hyperlink r:id="rId1102" w:history="1">
        <w:r>
          <w:rPr>
            <w:rFonts w:ascii="arial" w:eastAsia="arial" w:hAnsi="arial" w:cs="arial"/>
            <w:i/>
            <w:color w:val="0077CC"/>
            <w:sz w:val="20"/>
            <w:u w:val="single"/>
            <w:shd w:val="clear" w:color="auto" w:fill="FFFFFF"/>
            <w:lang w:val="en-US" w:eastAsia="en-US" w:bidi="ar-SA"/>
          </w:rPr>
          <w:t>2009 BCSC 731</w:t>
        </w:r>
      </w:hyperlink>
      <w:r>
        <w:rPr>
          <w:rFonts w:ascii="arial" w:eastAsia="arial" w:hAnsi="arial" w:cs="arial"/>
          <w:color w:val="000000"/>
          <w:sz w:val="20"/>
          <w:lang w:val="en-US" w:eastAsia="en-US" w:bidi="ar-SA"/>
        </w:rPr>
        <w:t xml:space="preserve">, at para. 43; </w:t>
      </w:r>
      <w:r>
        <w:rPr>
          <w:rFonts w:ascii="arial" w:eastAsia="arial" w:hAnsi="arial" w:cs="arial"/>
          <w:i/>
          <w:color w:val="000000"/>
          <w:sz w:val="20"/>
          <w:lang w:val="en-US" w:eastAsia="en-US" w:bidi="ar-SA"/>
        </w:rPr>
        <w:t>Dembrowski v. Rhainds</w:t>
      </w:r>
      <w:r>
        <w:rPr>
          <w:rFonts w:ascii="arial" w:eastAsia="arial" w:hAnsi="arial" w:cs="arial"/>
          <w:color w:val="000000"/>
          <w:sz w:val="20"/>
          <w:lang w:val="en-US" w:eastAsia="en-US" w:bidi="ar-SA"/>
        </w:rPr>
        <w:t xml:space="preserve">, </w:t>
      </w:r>
      <w:hyperlink r:id="rId1103" w:history="1">
        <w:r>
          <w:rPr>
            <w:rFonts w:ascii="arial" w:eastAsia="arial" w:hAnsi="arial" w:cs="arial"/>
            <w:i/>
            <w:color w:val="0077CC"/>
            <w:sz w:val="20"/>
            <w:u w:val="single"/>
            <w:shd w:val="clear" w:color="auto" w:fill="FFFFFF"/>
            <w:lang w:val="en-US" w:eastAsia="en-US" w:bidi="ar-SA"/>
          </w:rPr>
          <w:t>2011 BCCA 185</w:t>
        </w:r>
      </w:hyperlink>
      <w:r>
        <w:rPr>
          <w:rFonts w:ascii="arial" w:eastAsia="arial" w:hAnsi="arial" w:cs="arial"/>
          <w:color w:val="000000"/>
          <w:sz w:val="20"/>
          <w:lang w:val="en-US" w:eastAsia="en-US" w:bidi="ar-SA"/>
        </w:rPr>
        <w:t xml:space="preserve">, at para. 51). As explained in </w:t>
      </w:r>
      <w:r>
        <w:rPr>
          <w:rFonts w:ascii="arial" w:eastAsia="arial" w:hAnsi="arial" w:cs="arial"/>
          <w:i/>
          <w:color w:val="000000"/>
          <w:sz w:val="20"/>
          <w:lang w:val="en-US" w:eastAsia="en-US" w:bidi="ar-SA"/>
        </w:rPr>
        <w:t>Roed v. Scheffler</w:t>
      </w:r>
      <w:r>
        <w:rPr>
          <w:rFonts w:ascii="arial" w:eastAsia="arial" w:hAnsi="arial" w:cs="arial"/>
          <w:color w:val="000000"/>
          <w:sz w:val="20"/>
          <w:lang w:val="en-US" w:eastAsia="en-US" w:bidi="ar-SA"/>
        </w:rPr>
        <w:t xml:space="preserve"> at para. 44, s. 10(g) is concerned with the place "the injury actually occurs rather than where the plaintiff continues to experience pain and suffering".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Assuming the situs of the alleged tort is where the injury occurred, the plaintiff has not established to the required standard that the injury occurred in British Columbia. On the contrary, it is clear that the injury occurred in England. The fact that the injury may have had some repercussions for the plaintiff in other jurisdictions, including British Columbia, does not give rise to a real and substantial connection with those jurisdictions.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The plaintiff cites </w:t>
      </w:r>
      <w:r>
        <w:rPr>
          <w:rFonts w:ascii="arial" w:eastAsia="arial" w:hAnsi="arial" w:cs="arial"/>
          <w:i/>
          <w:color w:val="000000"/>
          <w:sz w:val="20"/>
          <w:lang w:val="en-US" w:eastAsia="en-US" w:bidi="ar-SA"/>
        </w:rPr>
        <w:t>TimberWest Forest Corp. v. United Steel Workers</w:t>
      </w:r>
      <w:r>
        <w:rPr>
          <w:rFonts w:ascii="arial" w:eastAsia="arial" w:hAnsi="arial" w:cs="arial"/>
          <w:color w:val="000000"/>
          <w:sz w:val="20"/>
          <w:lang w:val="en-US" w:eastAsia="en-US" w:bidi="ar-SA"/>
        </w:rPr>
        <w:t xml:space="preserve">, </w:t>
      </w:r>
      <w:hyperlink r:id="rId1104" w:history="1">
        <w:r>
          <w:rPr>
            <w:rFonts w:ascii="arial" w:eastAsia="arial" w:hAnsi="arial" w:cs="arial"/>
            <w:i/>
            <w:color w:val="0077CC"/>
            <w:sz w:val="20"/>
            <w:u w:val="single"/>
            <w:shd w:val="clear" w:color="auto" w:fill="FFFFFF"/>
            <w:lang w:val="en-US" w:eastAsia="en-US" w:bidi="ar-SA"/>
          </w:rPr>
          <w:t>2008 BCSC 388</w:t>
        </w:r>
      </w:hyperlink>
      <w:r>
        <w:rPr>
          <w:rFonts w:ascii="arial" w:eastAsia="arial" w:hAnsi="arial" w:cs="arial"/>
          <w:color w:val="000000"/>
          <w:sz w:val="20"/>
          <w:lang w:val="en-US" w:eastAsia="en-US" w:bidi="ar-SA"/>
        </w:rPr>
        <w:t xml:space="preserve">, at para. 29 for the proposition that damages to its reputation should be considered to have been sustained in British Columbia because "CIC is resident here and regulated here". In </w:t>
      </w:r>
      <w:r>
        <w:rPr>
          <w:rFonts w:ascii="arial" w:eastAsia="arial" w:hAnsi="arial" w:cs="arial"/>
          <w:i/>
          <w:color w:val="000000"/>
          <w:sz w:val="20"/>
          <w:lang w:val="en-US" w:eastAsia="en-US" w:bidi="ar-SA"/>
        </w:rPr>
        <w:t>TimberWest</w:t>
      </w:r>
      <w:r>
        <w:rPr>
          <w:rFonts w:ascii="arial" w:eastAsia="arial" w:hAnsi="arial" w:cs="arial"/>
          <w:color w:val="000000"/>
          <w:sz w:val="20"/>
          <w:lang w:val="en-US" w:eastAsia="en-US" w:bidi="ar-SA"/>
        </w:rPr>
        <w:t xml:space="preserve">, allegedly defamatory statements related to a tort alleged to have been committed in British Columbia because the harm "was suffered in British Columbia where [the plaintiff] resides, where it carries on its business, where it employs contractors and employees, where some of its customers are located, and where it is regulated" (at para. 29). The situation here is quite different; the plaintiff is resident and regulated in British Columbia, but its operations are entirely abroad. Further, I think it is significant that </w:t>
      </w:r>
      <w:r>
        <w:rPr>
          <w:rFonts w:ascii="arial" w:eastAsia="arial" w:hAnsi="arial" w:cs="arial"/>
          <w:i/>
          <w:color w:val="000000"/>
          <w:sz w:val="20"/>
          <w:lang w:val="en-US" w:eastAsia="en-US" w:bidi="ar-SA"/>
        </w:rPr>
        <w:t>TimberWest</w:t>
      </w:r>
      <w:r>
        <w:rPr>
          <w:rFonts w:ascii="arial" w:eastAsia="arial" w:hAnsi="arial" w:cs="arial"/>
          <w:color w:val="000000"/>
          <w:sz w:val="20"/>
          <w:lang w:val="en-US" w:eastAsia="en-US" w:bidi="ar-SA"/>
        </w:rPr>
        <w:t xml:space="preserve"> was a defamation case (</w:t>
      </w:r>
      <w:r>
        <w:rPr>
          <w:rFonts w:ascii="arial" w:eastAsia="arial" w:hAnsi="arial" w:cs="arial"/>
          <w:i/>
          <w:color w:val="000000"/>
          <w:sz w:val="20"/>
          <w:lang w:val="en-US" w:eastAsia="en-US" w:bidi="ar-SA"/>
        </w:rPr>
        <w:t>Club Resorts</w:t>
      </w:r>
      <w:r>
        <w:rPr>
          <w:rFonts w:ascii="arial" w:eastAsia="arial" w:hAnsi="arial" w:cs="arial"/>
          <w:color w:val="000000"/>
          <w:sz w:val="20"/>
          <w:lang w:val="en-US" w:eastAsia="en-US" w:bidi="ar-SA"/>
        </w:rPr>
        <w:t>, at para. 89).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 also note that the Supreme Court of Canada has said that where the presumptive connecting factor is the commission of a tort in a province, rebutting the presumption of jurisdiction would appear to be difficult (</w:t>
      </w:r>
      <w:r>
        <w:rPr>
          <w:rFonts w:ascii="arial" w:eastAsia="arial" w:hAnsi="arial" w:cs="arial"/>
          <w:i/>
          <w:color w:val="000000"/>
          <w:sz w:val="20"/>
          <w:lang w:val="en-US" w:eastAsia="en-US" w:bidi="ar-SA"/>
        </w:rPr>
        <w:t>Club Resorts</w:t>
      </w:r>
      <w:r>
        <w:rPr>
          <w:rFonts w:ascii="arial" w:eastAsia="arial" w:hAnsi="arial" w:cs="arial"/>
          <w:color w:val="000000"/>
          <w:sz w:val="20"/>
          <w:lang w:val="en-US" w:eastAsia="en-US" w:bidi="ar-SA"/>
        </w:rPr>
        <w:t>, at para. 96). However, in my view, that is a statement in that case about the rebuttal of a presumption towards the end of the inquiry as to whether there is territorial competence. In the subject case I am considering whether there is a good and arguable case that the contentious facts can be established, at the beginning of the inquiry. In any event, it seems to me that the presumption would be rebutted in this case in light of the minimal, if any, connection between the facts in this proceeding and the tort alleged.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summary, I conclude that the plaintiff has not adduced evidence that there is a good and arguable case that there was a tort committed in British Columbia by the defendant.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(ii) Business carried on in British Columbia (CJPTA, s. 10(h))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I note that in </w:t>
      </w:r>
      <w:r>
        <w:rPr>
          <w:rFonts w:ascii="arial" w:eastAsia="arial" w:hAnsi="arial" w:cs="arial"/>
          <w:i/>
          <w:color w:val="000000"/>
          <w:sz w:val="20"/>
          <w:lang w:val="en-US" w:eastAsia="en-US" w:bidi="ar-SA"/>
        </w:rPr>
        <w:t>Club Resorts</w:t>
      </w:r>
      <w:r>
        <w:rPr>
          <w:rFonts w:ascii="arial" w:eastAsia="arial" w:hAnsi="arial" w:cs="arial"/>
          <w:color w:val="000000"/>
          <w:sz w:val="20"/>
          <w:lang w:val="en-US" w:eastAsia="en-US" w:bidi="ar-SA"/>
        </w:rPr>
        <w:t xml:space="preserve"> the Supreme Court of Canada referenced only the defendant carrying on a business as a presumptive factor (at para. 90). So, for example, a defendant maintaining an actual presence such as an office in the jurisdiction (but more than a virtual presence) may establish territorial competence (at para. 87). Here it is the plaintiff that asserts carrying on business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Similarly, in a commentary on the CJPTA, there is the conclusion that "it is quite likely that the drafters of the CJPTA intended s. 10(h) to apply only to businesses carried on by defendants." (Vaughan Black, Stephen Pitel, Michael Sobkin</w:t>
      </w:r>
      <w:r>
        <w:rPr>
          <w:rFonts w:ascii="arial" w:eastAsia="arial" w:hAnsi="arial" w:cs="arial"/>
          <w:i/>
          <w:color w:val="000000"/>
          <w:sz w:val="20"/>
          <w:lang w:val="en-US" w:eastAsia="en-US" w:bidi="ar-SA"/>
        </w:rPr>
        <w:t>, Statutory Jurisdiction: An Analysis of the CJPTA</w:t>
      </w:r>
      <w:r>
        <w:rPr>
          <w:rFonts w:ascii="arial" w:eastAsia="arial" w:hAnsi="arial" w:cs="arial"/>
          <w:color w:val="000000"/>
          <w:sz w:val="20"/>
          <w:lang w:val="en-US" w:eastAsia="en-US" w:bidi="ar-SA"/>
        </w:rPr>
        <w:t xml:space="preserve"> (Carswell: 2012), at p. 123; contrary authority is noted at p. 122, including </w:t>
      </w:r>
      <w:r>
        <w:rPr>
          <w:rFonts w:ascii="arial" w:eastAsia="arial" w:hAnsi="arial" w:cs="arial"/>
          <w:i/>
          <w:color w:val="000000"/>
          <w:sz w:val="20"/>
          <w:lang w:val="en-US" w:eastAsia="en-US" w:bidi="ar-SA"/>
        </w:rPr>
        <w:t>Armco Capital Inc. v. Armoyan,</w:t>
      </w:r>
      <w:r>
        <w:rPr>
          <w:rFonts w:ascii="arial" w:eastAsia="arial" w:hAnsi="arial" w:cs="arial"/>
          <w:color w:val="000000"/>
          <w:sz w:val="20"/>
          <w:lang w:val="en-US" w:eastAsia="en-US" w:bidi="ar-SA"/>
        </w:rPr>
        <w:t xml:space="preserve"> </w:t>
      </w:r>
      <w:hyperlink r:id="rId1105" w:history="1">
        <w:r>
          <w:rPr>
            <w:rFonts w:ascii="arial" w:eastAsia="arial" w:hAnsi="arial" w:cs="arial"/>
            <w:i/>
            <w:color w:val="0077CC"/>
            <w:sz w:val="20"/>
            <w:u w:val="single"/>
            <w:shd w:val="clear" w:color="auto" w:fill="FFFFFF"/>
            <w:lang w:val="en-US" w:eastAsia="en-US" w:bidi="ar-SA"/>
          </w:rPr>
          <w:t>2010 NSSC 102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any event, owning shares in a British Columbia company, having directors or employees that hold positions in a British Columbia company, retaining lawyers in this province and attending meetings in British Columbia related to the purchase of British Columbia assets does not satisfy the test for establishing a business carried on in British Columbia. These are a "passing presence" rather than carrying on business (</w:t>
      </w:r>
      <w:r>
        <w:rPr>
          <w:rFonts w:ascii="arial" w:eastAsia="arial" w:hAnsi="arial" w:cs="arial"/>
          <w:i/>
          <w:color w:val="000000"/>
          <w:sz w:val="20"/>
          <w:lang w:val="en-US" w:eastAsia="en-US" w:bidi="ar-SA"/>
        </w:rPr>
        <w:t>Lockwood Financial Ltd. v. China Blue Chemical Ltd.</w:t>
      </w:r>
      <w:r>
        <w:rPr>
          <w:rFonts w:ascii="arial" w:eastAsia="arial" w:hAnsi="arial" w:cs="arial"/>
          <w:color w:val="000000"/>
          <w:sz w:val="20"/>
          <w:lang w:val="en-US" w:eastAsia="en-US" w:bidi="ar-SA"/>
        </w:rPr>
        <w:t xml:space="preserve">, </w:t>
      </w:r>
      <w:hyperlink r:id="rId1106" w:history="1">
        <w:r>
          <w:rPr>
            <w:rFonts w:ascii="arial" w:eastAsia="arial" w:hAnsi="arial" w:cs="arial"/>
            <w:i/>
            <w:color w:val="0077CC"/>
            <w:sz w:val="20"/>
            <w:u w:val="single"/>
            <w:shd w:val="clear" w:color="auto" w:fill="FFFFFF"/>
            <w:lang w:val="en-US" w:eastAsia="en-US" w:bidi="ar-SA"/>
          </w:rPr>
          <w:t>2015 BCSC 839</w:t>
        </w:r>
      </w:hyperlink>
      <w:r>
        <w:rPr>
          <w:rFonts w:ascii="arial" w:eastAsia="arial" w:hAnsi="arial" w:cs="arial"/>
          <w:color w:val="000000"/>
          <w:sz w:val="20"/>
          <w:lang w:val="en-US" w:eastAsia="en-US" w:bidi="ar-SA"/>
        </w:rPr>
        <w:t>, at paras. 56-57).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It follows that the fact that the plaintiff has a registered office in British Columbia does not satisfy the test for carrying on business in this jurisdiction. Something more is required (</w:t>
      </w:r>
      <w:r>
        <w:rPr>
          <w:rFonts w:ascii="arial" w:eastAsia="arial" w:hAnsi="arial" w:cs="arial"/>
          <w:i/>
          <w:color w:val="000000"/>
          <w:sz w:val="20"/>
          <w:lang w:val="en-US" w:eastAsia="en-US" w:bidi="ar-SA"/>
        </w:rPr>
        <w:t>Lockwood Financial Ltd.</w:t>
      </w:r>
      <w:r>
        <w:rPr>
          <w:rFonts w:ascii="arial" w:eastAsia="arial" w:hAnsi="arial" w:cs="arial"/>
          <w:color w:val="000000"/>
          <w:sz w:val="20"/>
          <w:lang w:val="en-US" w:eastAsia="en-US" w:bidi="ar-SA"/>
        </w:rPr>
        <w:t xml:space="preserve">, at para. 54, citing </w:t>
      </w:r>
      <w:r>
        <w:rPr>
          <w:rFonts w:ascii="arial" w:eastAsia="arial" w:hAnsi="arial" w:cs="arial"/>
          <w:i/>
          <w:color w:val="000000"/>
          <w:sz w:val="20"/>
          <w:lang w:val="en-US" w:eastAsia="en-US" w:bidi="ar-SA"/>
        </w:rPr>
        <w:t>Genco Resources Ltd. v. MacInnis,</w:t>
      </w:r>
      <w:r>
        <w:rPr>
          <w:rFonts w:ascii="arial" w:eastAsia="arial" w:hAnsi="arial" w:cs="arial"/>
          <w:color w:val="000000"/>
          <w:sz w:val="20"/>
          <w:lang w:val="en-US" w:eastAsia="en-US" w:bidi="ar-SA"/>
        </w:rPr>
        <w:t xml:space="preserve"> </w:t>
      </w:r>
      <w:hyperlink r:id="rId1107" w:history="1">
        <w:r>
          <w:rPr>
            <w:rFonts w:ascii="arial" w:eastAsia="arial" w:hAnsi="arial" w:cs="arial"/>
            <w:i/>
            <w:color w:val="0077CC"/>
            <w:sz w:val="20"/>
            <w:u w:val="single"/>
            <w:shd w:val="clear" w:color="auto" w:fill="FFFFFF"/>
            <w:lang w:val="en-US" w:eastAsia="en-US" w:bidi="ar-SA"/>
          </w:rPr>
          <w:t>2010 BCSC 1342</w:t>
        </w:r>
      </w:hyperlink>
      <w:r>
        <w:rPr>
          <w:rFonts w:ascii="arial" w:eastAsia="arial" w:hAnsi="arial" w:cs="arial"/>
          <w:color w:val="000000"/>
          <w:sz w:val="20"/>
          <w:lang w:val="en-US" w:eastAsia="en-US" w:bidi="ar-SA"/>
        </w:rPr>
        <w:t xml:space="preserve">, at para. 42). If it were otherwise, jurisdiction would be established solely by virtue of the plaintiff's corporate residency, and it is well established that the plaintiff's residence alone is not a connecting factor (see for example </w:t>
      </w:r>
      <w:r>
        <w:rPr>
          <w:rFonts w:ascii="arial" w:eastAsia="arial" w:hAnsi="arial" w:cs="arial"/>
          <w:i/>
          <w:color w:val="000000"/>
          <w:sz w:val="20"/>
          <w:lang w:val="en-US" w:eastAsia="en-US" w:bidi="ar-SA"/>
        </w:rPr>
        <w:t>Dembrowski v. Rhainds</w:t>
      </w:r>
      <w:r>
        <w:rPr>
          <w:rFonts w:ascii="arial" w:eastAsia="arial" w:hAnsi="arial" w:cs="arial"/>
          <w:color w:val="000000"/>
          <w:sz w:val="20"/>
          <w:lang w:val="en-US" w:eastAsia="en-US" w:bidi="ar-SA"/>
        </w:rPr>
        <w:t xml:space="preserve">, </w:t>
      </w:r>
      <w:hyperlink r:id="rId1103" w:history="1">
        <w:r>
          <w:rPr>
            <w:rFonts w:ascii="arial" w:eastAsia="arial" w:hAnsi="arial" w:cs="arial"/>
            <w:i/>
            <w:color w:val="0077CC"/>
            <w:sz w:val="20"/>
            <w:u w:val="single"/>
            <w:shd w:val="clear" w:color="auto" w:fill="FFFFFF"/>
            <w:lang w:val="en-US" w:eastAsia="en-US" w:bidi="ar-SA"/>
          </w:rPr>
          <w:t>2011 BCCA 185</w:t>
        </w:r>
      </w:hyperlink>
      <w:r>
        <w:rPr>
          <w:rFonts w:ascii="arial" w:eastAsia="arial" w:hAnsi="arial" w:cs="arial"/>
          <w:color w:val="000000"/>
          <w:sz w:val="20"/>
          <w:lang w:val="en-US" w:eastAsia="en-US" w:bidi="ar-SA"/>
        </w:rPr>
        <w:t>, at para. 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The plaintiff raises dealings it had with the BCSC as evidence of its carrying on business in British Columbia. It is a fact the plaintiff is listed with the BCSC but, for reasoning similar to that in </w:t>
      </w:r>
      <w:r>
        <w:rPr>
          <w:rFonts w:ascii="arial" w:eastAsia="arial" w:hAnsi="arial" w:cs="arial"/>
          <w:i/>
          <w:color w:val="000000"/>
          <w:sz w:val="20"/>
          <w:lang w:val="en-US" w:eastAsia="en-US" w:bidi="ar-SA"/>
        </w:rPr>
        <w:t>Lockwood Financial Ltd.</w:t>
      </w:r>
      <w:r>
        <w:rPr>
          <w:rFonts w:ascii="arial" w:eastAsia="arial" w:hAnsi="arial" w:cs="arial"/>
          <w:color w:val="000000"/>
          <w:sz w:val="20"/>
          <w:lang w:val="en-US" w:eastAsia="en-US" w:bidi="ar-SA"/>
        </w:rPr>
        <w:t>, I do not consider that is sufficient to establish territorial competence (nor does that fact considered together with the fact that the plaintiff has a registered office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Looking at the evidence about the plaintiff's dealings with the BCSC, it is not disputed that in June 2011 the BCSC issued a cease trade order with respect to the securities of the plaintiff because certain documents had not been filed. The cease trade order is in evidence (varied in September 2013 to reflect a name change of the plaintiff). Similar cease trade orders were issued by regulators in Ontario and Alberta.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Then, in January 2013, the plaintiff announced that approximately GDP660,000 would be raised by a placement of 16.5 million shares. The purchaser was based in London, England, and it intended to re-sell the shares. The rules of AIM require that the re-selling of shares such as these be eligible to be settled electronically by a central securities depository. This required releasing the shares to a Canadian share registrar to be released to the depository.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A problem arose because the cease trading order had to be removed before the shares would be released. An application for a partial removal was filed with the BCSC on February 21,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At the suggestion of a broker, the defendant, in his capacity as nomad for the plaintiff, telephoned a person at the BCSC. The defendant learned that an application for a partial removal was inappropriate but an exemption for the share distribution might be available. He sent an email to Mr. Bromley, a director and CEO of the plaintiff, explaining what he learned and he also sent a draft letter for Mr. Bromley's signature to obtain an exemption from the BCSC. The letter was sent by Mr. Bromley, this resolved the situation and the share issue took place on March 26,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its Application Response the plaintiff describes this incident as follows:</w:t>
      </w:r>
      <w:r>
        <w:rPr>
          <w:rFonts w:ascii="arial" w:eastAsia="arial" w:hAnsi="arial" w:cs="arial"/>
          <w:sz w:val="20"/>
          <w:lang w:val="en-US" w:eastAsia="en-US" w:bidi="ar-SA"/>
        </w:rPr>
        <w:cr/>
      </w:r>
    </w:p>
    <w:p>
      <w:pPr>
        <w:numPr>
          <w:numId w:val="4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Part of the factual matrix underlying CIC's [the plaintiff's] claims in this action is Mr. Rawlinson's personal interactions with staff at the British Colombia Securities Commission. Mr. Rawlinson, personally, brought himself into this jurisdiction when he chose to have dealings with CIC's regulators at the BC Securities Commission. In so doing, he should be considered to have "participated in something of significance" in British Columbia, contributing to the real and substantial connection between this facts [sic] of this action and British Colombia.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There is no dispute that there was a cease trade order by the BCSC and the defendant contacted them to discuss it. He provided advice to the plaintiff that resolved the problem at least to the extent that the shares being held up were subsequently issued. Simply put, the defendant solved a problem for the plaintiff that raised GDP660,000 for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With respect to the issue of territorial competence, I am not persuaded that this incident is of great significance. It amounted to some discussion by the defendant with brokers, one telephone call from the defendant to the BCSC and an email (with a draft letter) to Mr. Bromley. Since it amounted to a success I have considerable difficulty accepting that it was part of the plaintiff's difficulties with AIM or that it resulted in damage to the plaintiff in British Columbia. The only apparent connection to AIM is that its rules require that the re-selling of shares be eligible to be settled electronically.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Assuming there was a problem between the plaintiff and the BCSC (which seems unlikely) there is no evidence that any such problem was reported to AIM by the defendant or anyone else. The plaintiff says in argument (it is not pleaded) they are entitled to an opportunity to prove that at trial. That may be so but it remains the case that the defendant did not participate in an event of significance or was actively involved in the British Columbia jurisdiction (</w:t>
      </w:r>
      <w:r>
        <w:rPr>
          <w:rFonts w:ascii="arial" w:eastAsia="arial" w:hAnsi="arial" w:cs="arial"/>
          <w:i/>
          <w:color w:val="000000"/>
          <w:sz w:val="20"/>
          <w:lang w:val="en-US" w:eastAsia="en-US" w:bidi="ar-SA"/>
        </w:rPr>
        <w:t>The Original Cakerie Ltd.</w:t>
      </w:r>
      <w:r>
        <w:rPr>
          <w:rFonts w:ascii="arial" w:eastAsia="arial" w:hAnsi="arial" w:cs="arial"/>
          <w:color w:val="000000"/>
          <w:sz w:val="20"/>
          <w:lang w:val="en-US" w:eastAsia="en-US" w:bidi="ar-SA"/>
        </w:rPr>
        <w:t xml:space="preserve">, at para. 20, citing </w:t>
      </w:r>
      <w:r>
        <w:rPr>
          <w:rFonts w:ascii="arial" w:eastAsia="arial" w:hAnsi="arial" w:cs="arial"/>
          <w:i/>
          <w:color w:val="000000"/>
          <w:sz w:val="20"/>
          <w:lang w:val="en-US" w:eastAsia="en-US" w:bidi="ar-SA"/>
        </w:rPr>
        <w:t>Beals v. Saldanha</w:t>
      </w:r>
      <w:r>
        <w:rPr>
          <w:rFonts w:ascii="arial" w:eastAsia="arial" w:hAnsi="arial" w:cs="arial"/>
          <w:color w:val="000000"/>
          <w:sz w:val="20"/>
          <w:lang w:val="en-US" w:eastAsia="en-US" w:bidi="ar-SA"/>
        </w:rPr>
        <w:t xml:space="preserve">, </w:t>
      </w:r>
      <w:hyperlink r:id="rId1108" w:history="1">
        <w:r>
          <w:rPr>
            <w:rFonts w:ascii="arial" w:eastAsia="arial" w:hAnsi="arial" w:cs="arial"/>
            <w:i/>
            <w:color w:val="0077CC"/>
            <w:sz w:val="20"/>
            <w:u w:val="single"/>
            <w:shd w:val="clear" w:color="auto" w:fill="FFFFFF"/>
            <w:lang w:val="en-US" w:eastAsia="en-US" w:bidi="ar-SA"/>
          </w:rPr>
          <w:t>2003 SCC 72</w:t>
        </w:r>
      </w:hyperlink>
      <w:r>
        <w:rPr>
          <w:rFonts w:ascii="arial" w:eastAsia="arial" w:hAnsi="arial" w:cs="arial"/>
          <w:color w:val="000000"/>
          <w:sz w:val="20"/>
          <w:lang w:val="en-US" w:eastAsia="en-US" w:bidi="ar-SA"/>
        </w:rPr>
        <w:t>, at para. 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plaintiff also says that the defendant stated in his email to the plaintiff (with the draft letter for the BCSC ) not to follow the advice of legal counsel and that was outside the proper bounds of a person acting as a QE. The defendant did say that in his email. However, it is clear enough that exchange took place outside British Columbia. Further, assuming the defendant's comment was outside the bounds of a QE, again, there is no evidence that the relationship between the plaintiff and AIM was negatively affected by this incident in a way that is relevant to this claim. Nor is there any evidence that the relationship between the plaintiff and the BCSC was related to the delisting of the plaintiff on AIM. The same conclusion applies to the plaintiff's concern that the defendant contacted the BCSC without the plaintiff's permission.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As final comment on this incident with the BCSC, the letter drafted by the defendant and then sent by Mr. Bromley was dated March 22, 3013 and it contained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CICMR [the plaintiff] confirms the following:</w:t>
      </w:r>
    </w:p>
    <w:p>
      <w:pPr>
        <w:numPr>
          <w:numId w:val="4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CICMR is a Canadian federally incorporated company and a foreign issuer [sic];</w:t>
      </w:r>
    </w:p>
    <w:p>
      <w:pPr>
        <w:numPr>
          <w:numId w:val="4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CICMR's mind and management is in Beijing, China and not in BC;</w:t>
      </w:r>
    </w:p>
    <w:p>
      <w:pPr>
        <w:numPr>
          <w:numId w:val="4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CICMR's business is administered in Beijing and its operations are conducted outside of Canada;</w:t>
      </w:r>
    </w:p>
    <w:p>
      <w:pPr>
        <w:numPr>
          <w:numId w:val="4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CICMR did not undertake any acts, advertisements, solicitations, conduct or negotiations in furtherance of the Placing in BC (including any investor relations or underwriting activity in relation to the Placing);</w:t>
      </w:r>
    </w:p>
    <w:p>
      <w:pPr>
        <w:numPr>
          <w:numId w:val="4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CICMR confirms that the Placing was not an indirect distribution into BC.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By way of background:</w:t>
      </w:r>
    </w:p>
    <w:p>
      <w:pPr>
        <w:numPr>
          <w:numId w:val="4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CICMR's shares are traded on the AIM market of the London Stock Exchange and are not traded in BC. CICMR's shares were delisted from CNSX on 24 June 2011;</w:t>
      </w:r>
    </w:p>
    <w:p>
      <w:pPr>
        <w:numPr>
          <w:numId w:val="4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CICMR is a reporting issuer in BC (and in addition Alberta and Ontario);</w:t>
      </w:r>
    </w:p>
    <w:p>
      <w:pPr>
        <w:numPr>
          <w:numId w:val="4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CICMR has no assets located in BC nor does it drive any revenues from BC; and</w:t>
      </w:r>
    </w:p>
    <w:p>
      <w:pPr>
        <w:numPr>
          <w:numId w:val="4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CICMR has approximately 14 shareholders in BC representing approximately 4.83% of the issued share capital of CICMR.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plaintiff does not challenge this information or raise the fact that the letter was drafted by the defendant. In any event, the final version was prepared on the letterhead of the plaintiff and signed by Mr. Bromley as "Chairman/CEO." This was before the filing of the plaintiff's Notice of Civil Claim on May 12, 2015, before the resignation of Cairn as nomad on April 1, 2014 and before the delisting of the plaintiff on AIM on May 2, 2014. In addition, the draft letter prepared by the defendant left blank the number of British Columbia shareholders and the percentage of share capital they represent. Mr. Bromley, or someone under his direction, put in the number of shareholders of 14 and 4.83% of the share capital of the plaintiff held by British Columbia shareholders. As well, Mr. Bromley, or someone under his direction, made changes to the draft prepared by the defendant, although none of them were significant.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 conclude that the information contained in the March 22, 2013 letter is an accurate description of the extent the plaintiff carried on business in British Columbia. Specifically, the plaintiff's "mind and management" and administration are in China and its operations are conducted outside of Canada. The plaintiff did not undertake any acts in British Columbia in furtherance of the placing at issue and the placing was not an indirect distribution into British Columbia. The plaintiff has no assets located in British Columbia or any revenue derived from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It is clear enough that this information confirms the minimal presence of the plaintiff carrying on business in British Columbia and there is little connection between the plaintiff's dealings with the BCSC and its relationship with 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As a final matter here, the plaintiff submits that it is carrying on business in British Columbia because it raises capital from Canadian institutional investors and a private syndicate whose principal residence is in Vancouver, British Columbia. However, as can be seen by the above letter from Mr. Bromley to the BCSC the plaintiff has approximately 14 shareholders in British Columbia representing approximately 4.83% of its issued share capital as of March 2013. As well, except for the specific exemption described above, there has been a cease trade order against the plaintiff since 2011. This was before it retained Cairn about a year later in 2012. Finally, there is no evidence of any other specific transactions that are in play or even contemplated. I am unable to agree with the plaintiff that potential investment from British Columbia is significant or otherwise indicative of a strong business in this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Again, to establish the presumption under s. 10(h) of the CJPTA what is required is an actual rather than a virtual presence in this jurisdiction (</w:t>
      </w:r>
      <w:r>
        <w:rPr>
          <w:rFonts w:ascii="arial" w:eastAsia="arial" w:hAnsi="arial" w:cs="arial"/>
          <w:i/>
          <w:color w:val="000000"/>
          <w:sz w:val="20"/>
          <w:lang w:val="en-US" w:eastAsia="en-US" w:bidi="ar-SA"/>
        </w:rPr>
        <w:t>Club Resorts</w:t>
      </w:r>
      <w:r>
        <w:rPr>
          <w:rFonts w:ascii="arial" w:eastAsia="arial" w:hAnsi="arial" w:cs="arial"/>
          <w:color w:val="000000"/>
          <w:sz w:val="20"/>
          <w:lang w:val="en-US" w:eastAsia="en-US" w:bidi="ar-SA"/>
        </w:rPr>
        <w:t>, at para. 87). Similarly, something more than a "passing presence" is required (</w:t>
      </w:r>
      <w:r>
        <w:rPr>
          <w:rFonts w:ascii="arial" w:eastAsia="arial" w:hAnsi="arial" w:cs="arial"/>
          <w:i/>
          <w:color w:val="000000"/>
          <w:sz w:val="20"/>
          <w:lang w:val="en-US" w:eastAsia="en-US" w:bidi="ar-SA"/>
        </w:rPr>
        <w:t>Lockwood Financial Ltd.</w:t>
      </w:r>
      <w:r>
        <w:rPr>
          <w:rFonts w:ascii="arial" w:eastAsia="arial" w:hAnsi="arial" w:cs="arial"/>
          <w:color w:val="000000"/>
          <w:sz w:val="20"/>
          <w:lang w:val="en-US" w:eastAsia="en-US" w:bidi="ar-SA"/>
        </w:rPr>
        <w:t>, at paras. 56-57).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Overall, I conclude that the plaintiff has not adduced evidence that there is a good and arguable case that it carries on business in British Columbia.</w:t>
      </w:r>
      <w:r>
        <w:rPr>
          <w:rFonts w:ascii="arial" w:eastAsia="arial" w:hAnsi="arial" w:cs="arial"/>
          <w:sz w:val="20"/>
          <w:lang w:val="en-US" w:eastAsia="en-US" w:bidi="ar-SA"/>
        </w:rPr>
        <w:cr/>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Appropriate forum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In light of my conclusion above that the plaintiff has not demonstrated the territorial competence of this court it is not necessary to decide the issue of </w:t>
      </w:r>
      <w:r>
        <w:rPr>
          <w:rFonts w:ascii="arial" w:eastAsia="arial" w:hAnsi="arial" w:cs="arial"/>
          <w:i/>
          <w:color w:val="000000"/>
          <w:sz w:val="20"/>
          <w:lang w:val="en-US" w:eastAsia="en-US" w:bidi="ar-SA"/>
        </w:rPr>
        <w:t>forum convienens</w:t>
      </w:r>
      <w:r>
        <w:rPr>
          <w:rFonts w:ascii="arial" w:eastAsia="arial" w:hAnsi="arial" w:cs="arial"/>
          <w:color w:val="000000"/>
          <w:sz w:val="20"/>
          <w:lang w:val="en-US" w:eastAsia="en-US" w:bidi="ar-SA"/>
        </w:rPr>
        <w:t>. However, the parties spent considerable time on this issue and I will address it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Section 11 of the CJPTA relates to territorial competence and it 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Discretion as to the exercise of territorial competence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(1) After considering the interests of the parties to a proceeding and the ends of justice, a court may decline to exercise its territorial competence in the proceeding on the ground that a court of another state is a more appropriate forum in which to hear the proceeding.</w:t>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court, in deciding the question of whether it or a court outside British Columbia is the more appropriate forum in which to hear a proceeding, must consider the circumstances relevant to the proceeding, including</w:t>
      </w:r>
    </w:p>
    <w:p>
      <w:pPr>
        <w:numPr>
          <w:numId w:val="5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comparative convenience and expense for the parties to the proceeding and for their witnesses, in litigating in the court or in any alternative forum,</w:t>
      </w:r>
    </w:p>
    <w:p>
      <w:pPr>
        <w:numPr>
          <w:numId w:val="5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law to be applied to issues in the proceeding,</w:t>
      </w:r>
    </w:p>
    <w:p>
      <w:pPr>
        <w:numPr>
          <w:numId w:val="5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desirability of avoiding multiplicity of legal proceedings,</w:t>
      </w:r>
    </w:p>
    <w:p>
      <w:pPr>
        <w:numPr>
          <w:numId w:val="5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desirability of avoiding conflicting decisions in different courts,</w:t>
      </w:r>
    </w:p>
    <w:p>
      <w:pPr>
        <w:numPr>
          <w:numId w:val="5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enforcement of an eventual judgment, and</w:t>
      </w:r>
    </w:p>
    <w:p>
      <w:pPr>
        <w:numPr>
          <w:numId w:val="5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fair and efficient working of the Canadian legal system as a whole.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In a recent decision the Court of Appeal listed a longer list of factors that are either based on the ones in s. 11 of the CJPTA or are additional factors that a court may, but is not required to, consider when deciding the appropriate forum (</w:t>
      </w:r>
      <w:r>
        <w:rPr>
          <w:rFonts w:ascii="arial" w:eastAsia="arial" w:hAnsi="arial" w:cs="arial"/>
          <w:i/>
          <w:color w:val="000000"/>
          <w:sz w:val="20"/>
          <w:lang w:val="en-US" w:eastAsia="en-US" w:bidi="ar-SA"/>
        </w:rPr>
        <w:t>JTG Management Services Ltd. v. Bank of Nanjing Co. Ltd.</w:t>
      </w:r>
      <w:r>
        <w:rPr>
          <w:rFonts w:ascii="arial" w:eastAsia="arial" w:hAnsi="arial" w:cs="arial"/>
          <w:color w:val="000000"/>
          <w:sz w:val="20"/>
          <w:lang w:val="en-US" w:eastAsia="en-US" w:bidi="ar-SA"/>
        </w:rPr>
        <w:t xml:space="preserve">, </w:t>
      </w:r>
      <w:hyperlink r:id="rId1109" w:history="1">
        <w:r>
          <w:rPr>
            <w:rFonts w:ascii="arial" w:eastAsia="arial" w:hAnsi="arial" w:cs="arial"/>
            <w:i/>
            <w:color w:val="0077CC"/>
            <w:sz w:val="20"/>
            <w:u w:val="single"/>
            <w:shd w:val="clear" w:color="auto" w:fill="FFFFFF"/>
            <w:lang w:val="en-US" w:eastAsia="en-US" w:bidi="ar-SA"/>
          </w:rPr>
          <w:t>2015 BCCA 200</w:t>
        </w:r>
      </w:hyperlink>
      <w:r>
        <w:rPr>
          <w:rFonts w:ascii="arial" w:eastAsia="arial" w:hAnsi="arial" w:cs="arial"/>
          <w:color w:val="000000"/>
          <w:sz w:val="20"/>
          <w:lang w:val="en-US" w:eastAsia="en-US" w:bidi="ar-SA"/>
        </w:rPr>
        <w:t>, at paras. 22-23):</w:t>
      </w:r>
      <w:r>
        <w:rPr>
          <w:rFonts w:ascii="arial" w:eastAsia="arial" w:hAnsi="arial" w:cs="arial"/>
          <w:sz w:val="20"/>
          <w:lang w:val="en-US" w:eastAsia="en-US" w:bidi="ar-SA"/>
        </w:rPr>
        <w:cr/>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each party resides;</w:t>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each party carries on business;</w:t>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cause of action arose;</w:t>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loss or damage occurred;</w:t>
      </w:r>
    </w:p>
    <w:p>
      <w:pPr>
        <w:numPr>
          <w:numId w:val="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juridical advantage to the plaintiff in this jurisdiction;</w:t>
      </w:r>
    </w:p>
    <w:p>
      <w:pPr>
        <w:numPr>
          <w:numId w:val="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juridical disadvantage to the defendant in this jurisdiction;</w:t>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convenience or inconvenience to potential witness;</w:t>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cost of conducting the proceeding in this jurisdiction;</w:t>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applicable substantive law;</w:t>
      </w:r>
    </w:p>
    <w:p>
      <w:pPr>
        <w:numPr>
          <w:numId w:val="6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difficulty and cost of [proving] foreign law, if necessary;</w:t>
      </w:r>
    </w:p>
    <w:p>
      <w:pPr>
        <w:numPr>
          <w:numId w:val="6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there are parallel proceedings in any other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Considering the first four factors the plaintiff corporation resides in British Columbia and the defendant resides in London, England. The business of the plaintiff is carried on in Africa and Asia with 4.83% of its issued shares held in British Columbia. The defendant works in London, England. His one contact with British Columbia was a telephone call he made to the BCSC in March 2013 essentially unrelated to the plaintiff's relationship with 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cause of action arose in London, England, as a result of the decision of AIM to delist the plaintiff because it did not have a nomad. There is no evidence that the advice given by the defendant to the plaintiff, or not given, that underlies this proceeding arose other than in England. I have discussed the incident involving the BCSC above and I have concluded it had little or no relationship with this litigation. Similarly, there is the allegation by the plaintiff of damage in the form of a loss of investment from British Columbia but I have found above that is also of minor significance. The primary forum where the damage occurred was in England.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With respect to juridical advantage/disadvantage, witnesses and cost, the plaintiff submits that there are a number of witnesses residing in British Columbia. In contrast, the defendant says that a number of his witnesses reside in England. There is no specific evidence of cost but presumably the travel costs would be the same. At the hearing of this application the plaintiff stated it would pay for the travel costs of the defendant's witnesses but that is of limited relevance to the legal issue of </w:t>
      </w:r>
      <w:r>
        <w:rPr>
          <w:rFonts w:ascii="arial" w:eastAsia="arial" w:hAnsi="arial" w:cs="arial"/>
          <w:i/>
          <w:color w:val="000000"/>
          <w:sz w:val="20"/>
          <w:lang w:val="en-US" w:eastAsia="en-US" w:bidi="ar-SA"/>
        </w:rPr>
        <w:t>forum convienens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As well, the plaintiff says that England does not have pre-trial discovery as in British Columbia and that is a juridical advantage to the latter jurisdiction. I understand it is factually correct that England does not have pre-trial discovery. However, I do not accept that there is naiveté in the legal proceedings of England such that they do not get to the truth in their own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There were no detailed submissions on the applicable law (or cost of proving foreign law) and, in any event, that would be an issue for the trial judge to decide (there is expert evidence from a solicitor in England on a legal point that would be considered by the trial judge). From the vantage point of the limited materials before me I am sceptical that the applicable law would be that of British Columbia. As discussed above, there is very little relationship between the </w:t>
      </w:r>
      <w:r>
        <w:rPr>
          <w:rFonts w:ascii="arial" w:eastAsia="arial" w:hAnsi="arial" w:cs="arial"/>
          <w:i/>
          <w:color w:val="000000"/>
          <w:sz w:val="20"/>
          <w:lang w:val="en-US" w:eastAsia="en-US" w:bidi="ar-SA"/>
        </w:rPr>
        <w:t>lis</w:t>
      </w:r>
      <w:r>
        <w:rPr>
          <w:rFonts w:ascii="arial" w:eastAsia="arial" w:hAnsi="arial" w:cs="arial"/>
          <w:color w:val="000000"/>
          <w:sz w:val="20"/>
          <w:lang w:val="en-US" w:eastAsia="en-US" w:bidi="ar-SA"/>
        </w:rPr>
        <w:t xml:space="preserve"> between the parties and this province. The primary issue between the parties relates to the role and responsibilities of nomads and QEs. These are centered in London, England. They may well be unique to that jurisdiction and there is no equivalent regulatory framework in British Columbia. To paraphrase a previous decision, what is in issue here is the conduct of nomads and QEs in England and their competence should be judged according to the laws and standards in that jurisdiction (</w:t>
      </w:r>
      <w:r>
        <w:rPr>
          <w:rFonts w:ascii="arial" w:eastAsia="arial" w:hAnsi="arial" w:cs="arial"/>
          <w:i/>
          <w:color w:val="000000"/>
          <w:sz w:val="20"/>
          <w:lang w:val="en-US" w:eastAsia="en-US" w:bidi="ar-SA"/>
        </w:rPr>
        <w:t>Pan-Afric Holdings Ltd. v. Ernst &amp; Young LLP</w:t>
      </w:r>
      <w:r>
        <w:rPr>
          <w:rFonts w:ascii="arial" w:eastAsia="arial" w:hAnsi="arial" w:cs="arial"/>
          <w:color w:val="000000"/>
          <w:sz w:val="20"/>
          <w:lang w:val="en-US" w:eastAsia="en-US" w:bidi="ar-SA"/>
        </w:rPr>
        <w:t xml:space="preserve">, </w:t>
      </w:r>
      <w:hyperlink r:id="rId1110" w:history="1">
        <w:r>
          <w:rPr>
            <w:rFonts w:ascii="arial" w:eastAsia="arial" w:hAnsi="arial" w:cs="arial"/>
            <w:i/>
            <w:color w:val="0077CC"/>
            <w:sz w:val="20"/>
            <w:u w:val="single"/>
            <w:shd w:val="clear" w:color="auto" w:fill="FFFFFF"/>
            <w:lang w:val="en-US" w:eastAsia="en-US" w:bidi="ar-SA"/>
          </w:rPr>
          <w:t>2007 BCSC 685</w:t>
        </w:r>
      </w:hyperlink>
      <w:r>
        <w:rPr>
          <w:rFonts w:ascii="arial" w:eastAsia="arial" w:hAnsi="arial" w:cs="arial"/>
          <w:color w:val="000000"/>
          <w:sz w:val="20"/>
          <w:lang w:val="en-US" w:eastAsia="en-US" w:bidi="ar-SA"/>
        </w:rPr>
        <w:t>, at paras. 36-37 and 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 conclude that the courts of England are the more appropriate and convenient forum.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D. </w:t>
      </w:r>
      <w:r>
        <w:rPr>
          <w:rFonts w:ascii="arial" w:eastAsia="arial" w:hAnsi="arial" w:cs="arial"/>
          <w:b/>
          <w:color w:val="000000"/>
          <w:sz w:val="20"/>
          <w:u w:val="single"/>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courts of British Columbia do not have territorial competence over the facts on which the plaintiff's claims are based: a tort committed in British Columbia and carrying on a business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The courts of England are a more appropriate forum for determining the </w:t>
      </w:r>
      <w:r>
        <w:rPr>
          <w:rFonts w:ascii="arial" w:eastAsia="arial" w:hAnsi="arial" w:cs="arial"/>
          <w:i/>
          <w:color w:val="000000"/>
          <w:sz w:val="20"/>
          <w:lang w:val="en-US" w:eastAsia="en-US" w:bidi="ar-SA"/>
        </w:rPr>
        <w:t>lis</w:t>
      </w:r>
      <w:r>
        <w:rPr>
          <w:rFonts w:ascii="arial" w:eastAsia="arial" w:hAnsi="arial" w:cs="arial"/>
          <w:color w:val="000000"/>
          <w:sz w:val="20"/>
          <w:lang w:val="en-US" w:eastAsia="en-US" w:bidi="ar-SA"/>
        </w:rPr>
        <w:t xml:space="preserve"> between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applicant has been substantially successful and it is entitled to his costs at Scale C from the respondent.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 STEEVES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49" style="position:absolute;z-index:25185689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111"/>
          <w:headerReference w:type="default" r:id="rId1112"/>
          <w:footerReference w:type="even" r:id="rId1113"/>
          <w:footerReference w:type="default" r:id="rId1114"/>
          <w:headerReference w:type="first" r:id="rId1115"/>
          <w:footerReference w:type="first" r:id="rId111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117" w:history="1">
        <w:r>
          <w:rPr>
            <w:rFonts w:ascii="arial" w:eastAsia="arial" w:hAnsi="arial" w:cs="arial"/>
            <w:b/>
            <w:bCs/>
            <w:i/>
            <w:color w:val="0077CC"/>
            <w:kern w:val="32"/>
            <w:sz w:val="28"/>
            <w:szCs w:val="32"/>
            <w:u w:val="single"/>
            <w:shd w:val="clear" w:color="auto" w:fill="FFFFFF"/>
            <w:lang w:val="en-US" w:eastAsia="en-US" w:bidi="ar-SA"/>
          </w:rPr>
          <w:t>Curtenau v. Kapusianyk, [2001] B.C.J. No. 1855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and Richmond,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E.R.A. Edwards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6,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13,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L010631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Richmond Small Claims Registry No. C9813064</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[2001] B.C.J. No. 1855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BCSC 1290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108 A.C.W.S. (3d) 188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Dr. David H. Kapusianyk, appellant, and Marius Curtenau, respondent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50" style="position:absolute;z-index:2517063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18" w:name="Keywords_44"/>
      <w:bookmarkEnd w:id="318"/>
      <w:r>
        <w:rPr>
          <w:rFonts w:ascii="arial" w:eastAsia="arial" w:hAnsi="arial" w:cs="arial"/>
          <w:b/>
          <w:color w:val="000000"/>
          <w:sz w:val="20"/>
          <w:lang w:val="en-US" w:eastAsia="en-US" w:bidi="ar-SA"/>
        </w:rPr>
        <w:t xml:space="preserve">Torts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Standard of care, particular persons and relationships — Dentists — Evidence, presumption of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(res ipsa loquitor) — Evidence and proof.</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19" w:name="Case Summary_44"/>
            <w:bookmarkEnd w:id="31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Appeal by the dentist, Kapusianyk, from a judgment that awarded the patient, Curtenau, damages of $6,000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contract. While performing root canal on Curtenau, Kapusianyk broke an instrument, which lodged in the tooth during the procedure and could not be removed. Curtenau instituted proceedings against Kapusianyk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contract. The statement of claim did not make a specific allegation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Kapusianyk for failing to warn of a material risk that a dental instrument could break and lodge in his mouth. The trial judge allowed the action and awarded Curtenau damages. Based on an expert report, the trial judge concluded that the fact that instruments separated on a daily basis in the mouths of patients constituted a material risk of which Curtenau should have been warned. Curtenau was not warned of the risk and was therefore unable to give informed consent. The trial judge also found that the broken instrument caused an infection which resulted in his having to undergo a procedure by another doctor. The trial judge applied the doctrine of res ipsa loquitur. Kapusianyk appealed the decision and submitted that the trial judge erred in granting a judgment based on a claim that was outside the scope of the pleadings and not canvassed at trial.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20" w:name="Holdings of Court_38"/>
            <w:bookmarkEnd w:id="320"/>
            <w:r>
              <w:rPr>
                <w:rFonts w:ascii="arial" w:eastAsia="arial" w:hAnsi="arial" w:cs="arial"/>
                <w:color w:val="000000"/>
                <w:sz w:val="20"/>
                <w:lang w:val="en-US" w:eastAsia="en-US" w:bidi="ar-SA"/>
              </w:rPr>
              <w:t>HELD: Appeal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Although negligent failure to warn was not alleged in the pleadings, it was open to the trial judge to raise the issue if it arose on the evidence at trial. However, as a result of the trial judge deciding the case on the issue of material risk, Kapusianyk was deprived of the opportunity of leading evidence on the question of the materiality of the risk. Further, the trial judge misinterpreted what evidence there was before the court on the issue of materiality of the risk of an instrument breaking. The trial judge also erred by applying the doctrine of res ipsa loquitor, which was abolished in a similar case. Finally, having concluded that there was a duty to warn, the trial judge erred in failing to answer the question of whether a reasonable person in Curtenau's position, fully informed of the risk, would have gone ahead with the procedure.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21" w:name="Counsel_46"/>
      <w:bookmarkEnd w:id="32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51" style="position:absolute;z-index:2517575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 Bogardus, for the appellant. M.R. Steven, for the respondent.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22" w:name="Judgment_46"/>
      <w:bookmarkEnd w:id="322"/>
      <w:r>
        <w:pict>
          <v:line id="_x0000_s1252" style="position:absolute;z-index:25180876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1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23" w:name="E.R.A. EDWARDS J."/>
            <w:bookmarkEnd w:id="323"/>
            <w:r>
              <w:rPr>
                <w:rFonts w:ascii="arial" w:eastAsia="arial" w:hAnsi="arial" w:cs="arial"/>
                <w:b/>
                <w:color w:val="000000"/>
                <w:sz w:val="30"/>
                <w:lang w:val="en-US" w:eastAsia="en-US" w:bidi="ar-SA"/>
              </w:rPr>
              <w:t>E.R.A. EDWARDS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is an appeal from a small claims judgment in the amount of $6,067.98 awarded to the respondent on February 1, 2001, following a trial on August 11, 2000, </w:t>
      </w:r>
      <w:hyperlink r:id="rId1118" w:history="1">
        <w:r>
          <w:rPr>
            <w:rFonts w:ascii="arial" w:eastAsia="arial" w:hAnsi="arial" w:cs="arial"/>
            <w:i/>
            <w:color w:val="0077CC"/>
            <w:sz w:val="20"/>
            <w:u w:val="single"/>
            <w:shd w:val="clear" w:color="auto" w:fill="FFFFFF"/>
            <w:lang w:val="en-US" w:eastAsia="en-US" w:bidi="ar-SA"/>
          </w:rPr>
          <w:t>[2001] B.C.J. No. 470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respondent as claimant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contract against the appellant, a dentist, the particulars of which were specified in the Statement of Claim attached to the Notice of Claim filed February 23, 1998,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Defendant is therefore negligent and in breach of contract, as follows:</w:t>
      </w:r>
    </w:p>
    <w:p>
      <w:pPr>
        <w:numPr>
          <w:numId w:val="3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 respect to the procedure that caused the Instrument Tip to break off;</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with respect to the advice regarding waiting a week and, if no infection occurred, not to seek further treatment;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failing to advise the Claimant to get the Instrument Tip removed immediately.</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improperly or inadequately instrumenting and obturating the Claimant's root canals.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learned trial judge released 20 pages of written reasons after reserving judgment for five months, concluding at paragraphs 57 and 60: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[57] I find that the evidence in this case supports the allegation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although the Claimant has not produced an expert report of the standard of care required. It strikes me that there was before me the expert report of Dr. Greenfield (sic) provided by the Defendant which purported to state that there was no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Defendant, but in my opinion failed to do so. What the report did demonstrate was the fact that instruments separate on a daily basis in the mouths of patients because of the elastic limits of the instruments used, and this fact, in my opinion, constitutes a material risk of which a patient should be warned. The Claimant was not warned of that risk and therefore was unable to make informed consent to the contemplated procedure, especially given its degree of difficulty. In my opinion there is no authority preventing me from using the expert report provided by the Defendant for the benefit of the Claimant.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[60] I also find that the evidence establishes on the balance of probabilities that the broken instrument lodged in the Claimant's mouth caused the infection which resulted in his having to undergo the rather painful procedure carried out by Dr. Corber. I further find that the doctrine of res ipsa loquitur applies to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alleged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appellant advances four grounds of appeal:</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learned trial judge erred in law in finding that the risk of a dental file breaking was a material risk and as such should have been disclosed to the claimant;</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learned trial judge erred in law in refusing to consider if a reasonable patient would have undergone the root canal treatment even if he had been properly informed of all material risks;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learned trial judge erred in law in granting judgment based on a claim that was outside the scope of the pleadings and not canvassed at trial;</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learned trial judge erred in fact and in law in finding that the file tip caused the infection in the claimant's tooth.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I deal first with the third ground. A solicitor prepared the Statement of Claim quoted above. It makes no specific allegation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the appellant for failing to warn of a material risk arising from the possibility an instrument (a file) used in a root canal procedure could break and lodge in the respondent's tooth, as in fact happened.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Negligent failure to warn was clearly not alleged in the pleadings. Nevertheless, it was open to the trial judge to raise the issue if it arose on the evidence at the trial. The trial judge did raise the issue during the course of the trial as the transcript discloses as follows: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MR. CLARK: Furthermore, the defendant gave the claimant the option of seeing a specialist, both before performing the root canal procedure and after the file broke off. Again, he gave him the option, would you like to attend a specialist. Both times the claimant said no. Well, didn't say no, but both times the claimant decided not to pursue that option.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defendant was not negligent in the manner in which the instrument -- he instrumented the roots. In Dr. Greenfeld's report, it's noted, at tab one.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Yes?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MR. CLARK: Sorry, at page 2, very top of the -- or sorry -- yes, page 2, very top of the page.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Yes.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MR. CLARK: "Concluded Dr. Kapusianyk provided the patient with appropriate information, obtained"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Where is that?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CLARK: Sorry?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Where are you reading from?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CLARK: At the very top of the page.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Okay, fine, yes.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COURT: No, no, I'm not talking about that. I'm talking about provided the patient with appropriate information, obtained informed consent. Surely that is what he heard from the doctor.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MR. CLARK: He'll be getting that from the records, Your Honour. From the records, the charts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Yes.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CLARK: -- and the notes of the defendant.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COURT: Well, there again, I have a little problem with that. From the records, okay. All right. Pardon me, I didn't see from the records it is concluded. Okay. Fine. Go ahead.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 appellant's counsel then brought to the trial judge's attention the authority of Kueper v. McMullin </w:t>
      </w:r>
      <w:hyperlink r:id="rId1119" w:history="1">
        <w:r>
          <w:rPr>
            <w:rFonts w:ascii="arial" w:eastAsia="arial" w:hAnsi="arial" w:cs="arial"/>
            <w:i/>
            <w:color w:val="0077CC"/>
            <w:sz w:val="20"/>
            <w:u w:val="single"/>
            <w:shd w:val="clear" w:color="auto" w:fill="FFFFFF"/>
            <w:lang w:val="en-US" w:eastAsia="en-US" w:bidi="ar-SA"/>
          </w:rPr>
          <w:t>(1986), 30 D.L.R. (4th) 408</w:t>
        </w:r>
      </w:hyperlink>
      <w:r>
        <w:rPr>
          <w:rFonts w:ascii="arial" w:eastAsia="arial" w:hAnsi="arial" w:cs="arial"/>
          <w:color w:val="000000"/>
          <w:sz w:val="20"/>
          <w:lang w:val="en-US" w:eastAsia="en-US" w:bidi="ar-SA"/>
        </w:rPr>
        <w:t xml:space="preserve"> (N.B.C.A.). The basic facts of that case and this one are the same. In both cases the defendant dentist broke an instrument which lodged in a tooth during the course of a root canal procedure and could not be removed.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Kueper the plaintiff did not plead or allege that the dentist "was under an obligation when initially describing the procedure to inform ... of the possibility of a drill bit breaking". In this case the same is true, yet the trial judge decided that the appellant had a duty to warn the respondent of this possibility because the trial judge found it constituted a material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This issue was not pleaded and not raised until the parties made their submissions to the trial judge. The transcript quoted above shows the trial judge did not indicate when duty to warn was raised that his decision might turn on a finding that the appellant negligently failed to warn of the risk of a broken instrument.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appellant's counsel argued that as a result of the trial judge deciding the case on this issue raised ex mero motu the appellant was deprived of the opportunity of leading evidence on the question of the materiality of the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Further, the appellant's counsel argues that the trial judge misinterpreted what evidence there was before the court on the issue of materiality of the risk of an instrument breaking and thereby made a palpable and over-riding error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For the reasons which follow I agree with both of these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Kueper the dentist did not tell the patient the drill had broken and lodged in the tooth. Nor did the dentist outline the options for dealing with that misadventure. He merely sealed the broken drill into the tooth in accordance with what the New Brunswick Court of Appeal stated to be the "most common procedure" which offered the "greatest hope of saving the tooth".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It was either conceded or decided by the court in Kueper that the possibility of an instrument breaking was "a risk which initially need not have been disclosed". The issue before the New Brunswick Court of Appeal was whether, after such a break occurred, the dentist was obliged to inform the patient of that fact and discuss the alternate courses of further treatment. The court held that there was such an obligation once the drill broke.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the present case the appellant informed the respondent of the fact the broken file tip was imbedded in the tooth when this occurred and tried unsuccessfully to remove it from the mesio-buccal root of tooth #16. There is a conflict in the evidence, unresolved by the trial judge, about whether the appellant told the respondent he could go to a specialist for a further attempt to remove the file tip or that this might be done later if infection set in after a week. Nothing turns on this conflict. The four-millimetre piece of the file tip was sealed into the tooth. The respondent had no further problem with his tooth #16 for several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Having brought the Kueper case to the trial judge's attention, appellant's trial counsel might assume the trial judge would find it persuasive on the absence of a duty to warn of the risk of a broken instrument before embarking on a root canal. Therefore it is understandable why trial counsel did not apply to reopen the case to present evidence or offer further argument on the materiality of the risk, the standard of practice with respect to warning patients of such risk or the question of causation, namely whether a reasonable person in the respondent's position properly informed would have proceeded with the root canal after a warning of the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Having reserved judgment, the trial judge decided the case on the issue of duty to warn which was not pleaded or fully argued before him. This deprived the appellant of the opportunity to make a full answer and defence by leading evidence and making submissions on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Notwithstanding the opposite result in Kueper, the trial judge concluded there was a duty to warn of the risk of instrument breakage prior to undertaking the root canal. He did so on the basis of the report of an expert, Dr. Greenfeld, which stated that such breakages are "common" and "occur daily".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other evidence of frequency of such breakages was that of the appellant. He testified that in his experience this might occur once a month or once every two months. He further testified he had done "thousands" of root canals over 18 years at the rate of one per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appellant explained that Dr. Greenfeld may have been reporting the experience of endodontists who specialise in root canals. He also testified that on less than ten occasions he had a file tip break during a root canal and on "100%" of them he left the broken file tip in the tooth. The appellant was not asked what the consequences had been on those occasions when he left a broken file tip in a tooth.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fact that instruments break during root canals, regardless of frequency, does not alone constitute evidence of material risk. The materiality of the risk depends on the frequency and consequences of these breakages.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only evidence on the question of consequences once a broken instrument is lodged in a tooth during a root canal is a statement in Dr. Greenfeld's report that a specialist journal article reported "it was found that the success rates for teeth in which instruments had separated was not different from those which did not have separated instruments present".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respondent in his final submission at the trial (transcript p. 53 lines 37-43) accepted the opinions of Dr. Greenfeld and of Dr. Corber, who amputated the mesio-buccal root of the #16 tooth. The respondent stated "that the tip of the instrument is not the - is not the cause of the pain or the infection."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Notwithstanding this position of the respondent and the evidence to the contrary, the trial judge found that the broken file tip caused the infection which resulted in the respondent having to undergo the subsequent procedure by Dr. Corber. He applied the doctrine of res ipsa loquitur to reach this conclusion. This was an error of law. The doctrine was effectively abolished in a case such as this, where there is another explanation for the October 1996 problem for which the respondent was treated by Dr. Corber. See Fontaine v. British Columbia (Official Administrator) </w:t>
      </w:r>
      <w:hyperlink r:id="rId223" w:history="1">
        <w:r>
          <w:rPr>
            <w:rFonts w:ascii="arial" w:eastAsia="arial" w:hAnsi="arial" w:cs="arial"/>
            <w:i/>
            <w:color w:val="0077CC"/>
            <w:sz w:val="20"/>
            <w:u w:val="single"/>
            <w:shd w:val="clear" w:color="auto" w:fill="FFFFFF"/>
            <w:lang w:val="en-US" w:eastAsia="en-US" w:bidi="ar-SA"/>
          </w:rPr>
          <w:t>(1997), 46 B.C.L.R. (3d) 1</w:t>
        </w:r>
      </w:hyperlink>
      <w:r>
        <w:rPr>
          <w:rFonts w:ascii="arial" w:eastAsia="arial" w:hAnsi="arial" w:cs="arial"/>
          <w:color w:val="000000"/>
          <w:sz w:val="20"/>
          <w:lang w:val="en-US" w:eastAsia="en-US" w:bidi="ar-SA"/>
        </w:rPr>
        <w:t xml:space="preserve"> (S.C.C.).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While the appellant acknowledged in response to a question from the trial judge that it was possible the respondent's problems with his tooth #16 in October 1996 could have been caused by the imbedded file tip, there was no evidence this was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Dr. Corber wrote two letters which were admitted as evidence by the trial judge. The first, sent to the appellant, dated November 8, 1997, states "the mesio-buccal and disto-buccal root canals have been inadequately instrumented and obturated" requiring retreatment of the root canals.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second, to the College of Dental Surgeons of British Columbia, dated May 27, 1997, stated that when the respondent returned for the retreatment "I realized the disto-buccal root had been the primary source of the patient's discomfort" and "I was able to visualize the extent of the periodontal problem associated with the mesio-buccal root ... there was a dehiscence present for the entire length of the root" and concluded "I do not feel the separated instrument per se presented a problem for this tooth. I do feel initial root canal treatment may have been better".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According to the testimony of the appellant at the trial a dehiscence is a hole in the bone associated with gum disease and unrelated to the root canal. Under questioning by the court and his own counsel, the appellant testified that Dr. Corber's statement that the "initial root canal treatment may have been better" meant that "maybe all of the infection was not cleared out ... in a different part of the tooth ..." (than the mesio-buccal canal that was amputated by Dr. Corber). In summary, Dr. Corber's opinion was that the discomfort the respondent had with his #16 tooth in October 1996 was not the result of the file tip sealed in it. The evidence was that this sort of occurrence was infrequent in the appellant's practice. The evidence in Dr. Greenfeld's report was that such occurrences do not increase the likelihood of failure in root canal procedures.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There was no evidence to support the trial judge's conclusion that the possibility of an instrument breaking or "separating" to use the experts' terminology, during the course of the root canal procedure was a "material risk of which a patient should be warned". This conclusion of law was based on a "palpable and over-riding error" of fact, namely that the risk was material. See Gomez v. Insurance Corp. of British Columbia </w:t>
      </w:r>
      <w:hyperlink r:id="rId1120" w:history="1">
        <w:r>
          <w:rPr>
            <w:rFonts w:ascii="arial" w:eastAsia="arial" w:hAnsi="arial" w:cs="arial"/>
            <w:i/>
            <w:color w:val="0077CC"/>
            <w:sz w:val="20"/>
            <w:u w:val="single"/>
            <w:shd w:val="clear" w:color="auto" w:fill="FFFFFF"/>
            <w:lang w:val="en-US" w:eastAsia="en-US" w:bidi="ar-SA"/>
          </w:rPr>
          <w:t>(1998), 45 B.C.L.R. (3d) 206</w:t>
        </w:r>
      </w:hyperlink>
      <w:r>
        <w:rPr>
          <w:rFonts w:ascii="arial" w:eastAsia="arial" w:hAnsi="arial" w:cs="arial"/>
          <w:color w:val="000000"/>
          <w:sz w:val="20"/>
          <w:lang w:val="en-US" w:eastAsia="en-US" w:bidi="ar-SA"/>
        </w:rPr>
        <w:t xml:space="preserve">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Further, having concluded there was a duty to warn, the trial judge made an error of law in failing to answer the question of whether a reasonable person in the respondent's position, fully informed of the risk, would have gone ahead with the root canal procedure. The trial judge, quoting this test as stated in the Kueper case, characterized it as "dangerous conjecture".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Since the decision of the Supreme Court of Canada in Reibl v. Hughes </w:t>
      </w:r>
      <w:hyperlink r:id="rId265" w:history="1">
        <w:r>
          <w:rPr>
            <w:rFonts w:ascii="arial" w:eastAsia="arial" w:hAnsi="arial" w:cs="arial"/>
            <w:i/>
            <w:color w:val="0077CC"/>
            <w:sz w:val="20"/>
            <w:u w:val="single"/>
            <w:shd w:val="clear" w:color="auto" w:fill="FFFFFF"/>
            <w:lang w:val="en-US" w:eastAsia="en-US" w:bidi="ar-SA"/>
          </w:rPr>
          <w:t>[1980] 2 S.C.R. 880</w:t>
        </w:r>
      </w:hyperlink>
      <w:r>
        <w:rPr>
          <w:rFonts w:ascii="arial" w:eastAsia="arial" w:hAnsi="arial" w:cs="arial"/>
          <w:color w:val="000000"/>
          <w:sz w:val="20"/>
          <w:lang w:val="en-US" w:eastAsia="en-US" w:bidi="ar-SA"/>
        </w:rPr>
        <w:t>, this modified objective test of causation must now be used by Canadian courts. The trial judge incorrectly distinguished the Kueper case on its facts and incorrectly ignored the legal test of causation set down in Reibl and applied in Kueper.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respondent's ultimate position at trial was that he had not received "the standard level of care for a root canal" from the appellant. This assertion was based on the comments in Dr. Corber's letters quoted above that the root canals were "inadequately instrumented and obturated" and "may have been better". The trial judge correctly noted that this evidence "unfortunately [fell] far short of the evidence required by the Claimant to establish the appropriate standard of care required by the profession of dentistry in the circumstances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appeal is allowed. The respondent's claim is dismissed. All moneys paid into court are to be paid out to the appellant. Counsel may make written submissions on costs if they are unable to resolve that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E.R.A. EDWARDS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53" style="position:absolute;z-index:25185792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121"/>
          <w:headerReference w:type="default" r:id="rId1122"/>
          <w:footerReference w:type="even" r:id="rId1123"/>
          <w:footerReference w:type="default" r:id="rId1124"/>
          <w:headerReference w:type="first" r:id="rId1125"/>
          <w:footerReference w:type="first" r:id="rId112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127" w:history="1">
        <w:r>
          <w:rPr>
            <w:rFonts w:ascii="arial" w:eastAsia="arial" w:hAnsi="arial" w:cs="arial"/>
            <w:b/>
            <w:bCs/>
            <w:i/>
            <w:color w:val="0077CC"/>
            <w:kern w:val="32"/>
            <w:sz w:val="28"/>
            <w:szCs w:val="32"/>
            <w:u w:val="single"/>
            <w:shd w:val="clear" w:color="auto" w:fill="FFFFFF"/>
            <w:lang w:val="en-US" w:eastAsia="en-US" w:bidi="ar-SA"/>
          </w:rPr>
          <w:t>Deo (Litigation guardian of) v. Vancouver School District No. 39, [2017] B.C.J. No. 1251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J.M. Gropper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6,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June 14,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S106826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[2017] B.C.J. No. 1251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2017 BCSC 1089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Isaac Deo, an infant, by his Litigation Guardian, Danny Deo, Plaintiff, and The Board of School Trustees of School District No. 39 (Vancouver), Kerri Wallin, John Doe, Jane Doe, Defendants, and Gyan Deo, Third Party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54" style="position:absolute;z-index:2517073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24" w:name="Keywords_45"/>
      <w:bookmarkEnd w:id="324"/>
      <w:r>
        <w:rPr>
          <w:rFonts w:ascii="arial" w:eastAsia="arial" w:hAnsi="arial" w:cs="arial"/>
          <w:b/>
          <w:color w:val="000000"/>
          <w:sz w:val="20"/>
          <w:lang w:val="en-US" w:eastAsia="en-US" w:bidi="ar-SA"/>
        </w:rPr>
        <w:t xml:space="preserve">Education law — Civil liabilities — Of school boards and schools — Injuries and property damage — Physical injuries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Vicarious liability of school boards and schools — For acts of staff — Application by defendant school board for summary trial dismissing action against it dismissed — Infant plaintiff had sustained serious injury when tree branch struck him on school grounds — Plaintiff alleged school failed to properly supervise plaintiff and that school board was vicariously liable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Summary trial would not provide parties with any meaningful benefit — Even if claim relating to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by named supervisor was dismissed, resolution of this issue did not promote overall resolution of the action or have any significant impact on cost or length of trial.</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Civil litigation — Civil procedure — Summary trial — Availability — Application by defendant school board for summary trial dismissing action against it dismissed — Infant plaintiff had sustained serious injury when tree branch struck him on school grounds — Plaintiff alleged school failed to properly supervise plaintiff and that school board was vicariously liable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Summary trial would not provide parties with any meaningful benefit — Even if claim relating to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by named supervisor was dismissed, resolution of this issue did not promote overall resolution of the action or have any significant impact on cost or length of trial.</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25" w:name="Case Summary_45"/>
            <w:bookmarkEnd w:id="32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school board for summary trial dismissing the action against it. The infant plaintiff had sustained serious injury when a tree branch struck him on the school grounds. The plaintiff alleged the school failed to properly supervise the plaintiff and that the school board was vicariously liable for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supervisors. The school board's previous summary trial application had been dismissed due to the limited evidence available regarding the circumstances of the accident and the fact that the plaintiff sought to be able to cross-examine the supervisors. The liability trial was scheduled in two months.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26" w:name="Holdings of Court_39"/>
            <w:bookmarkEnd w:id="326"/>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 summary trial would not provide the parties with any meaningful benefit. All the matters related to liability, including vicarious liability, could be thoroughly canvassed at the scheduled liability trial. There were gaps in the evidence that were not yet filled which had to be clarified at trial. Even if the school board succeeded in establishing at a summary trial that the claims for vicarious liability for the action of the named supervisor ought to be dismissed, the reasons why the accident was not seen by supervision that was undertaken at the relevant time remained a highly relevant area to be canvassed at trial. Whether the issue was resolved by summary trial would not affect the amount involved. The complexity of the matter remained in spite of the potential resolution of this one issue. Resolution of this one issue did not promote overall resolution of the action, or have any significant impact on the cost or length of trial. This militated against hiving off this issue and making a determination by way of summary trial.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27" w:name="Legislation Cited_30"/>
      <w:bookmarkEnd w:id="32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55" style="position:absolute;z-index:2517585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School Act, </w:t>
      </w:r>
      <w:hyperlink r:id="rId1128" w:history="1">
        <w:r>
          <w:rPr>
            <w:rFonts w:ascii="arial" w:eastAsia="arial" w:hAnsi="arial" w:cs="arial"/>
            <w:i/>
            <w:color w:val="0077CC"/>
            <w:sz w:val="20"/>
            <w:u w:val="single"/>
            <w:shd w:val="clear" w:color="auto" w:fill="FFFFFF"/>
            <w:lang w:val="en-US" w:eastAsia="en-US" w:bidi="ar-SA"/>
          </w:rPr>
          <w:t>R.S.B.C. 1996, c. 412, s. 94</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Rules, Rule 9-7, Rule 9-7(16)</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28" w:name="Counsel_47"/>
      <w:bookmarkEnd w:id="32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56" style="position:absolute;z-index:2518097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P.D. Warnett, M. Taghizadeh.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The Board of School Trustees of School District No. 39 (Vancouver) and Kerri Wallin: T.C. Hinkson.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Third Party: J.G. Barnum.</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29" w:name="Judgment_47"/>
      <w:bookmarkEnd w:id="329"/>
      <w:r>
        <w:pict>
          <v:line id="_x0000_s1257" style="position:absolute;z-index:25185894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8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30" w:name="J.M. GROPPER J. (orally)"/>
            <w:bookmarkEnd w:id="330"/>
            <w:r>
              <w:rPr>
                <w:rFonts w:ascii="arial" w:eastAsia="arial" w:hAnsi="arial" w:cs="arial"/>
                <w:b/>
                <w:color w:val="000000"/>
                <w:sz w:val="30"/>
                <w:lang w:val="en-US" w:eastAsia="en-US" w:bidi="ar-SA"/>
              </w:rPr>
              <w:t>J.M. GROPPER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defendant, Board of School Trustees of School District No. 39 (Vancouver) (the "School Board") applies for a second time under Rule 9-7 for an order that the claim of the plaintiff and the third party alleging that the school board is vicariously liable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third party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application also sought that the plaintiff's claim be dismissed against Kerri Wallin ("Principal Wallin"). The parties have consented to that dismissal and I have made the order. The issue remaining from that application is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issues in this application are:</w:t>
      </w:r>
      <w:r>
        <w:rPr>
          <w:rFonts w:ascii="arial" w:eastAsia="arial" w:hAnsi="arial" w:cs="arial"/>
          <w:sz w:val="20"/>
          <w:lang w:val="en-US" w:eastAsia="en-US" w:bidi="ar-SA"/>
        </w:rPr>
        <w:cr/>
      </w:r>
    </w:p>
    <w:p>
      <w:pPr>
        <w:numPr>
          <w:numId w:val="3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Should the school board be granted leave to bring a second application for summary trial?</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matter suitable for summary trial?</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leave is granted and the matter is suitable, should the court dismiss the claims of the plaintiff and the third party that the school board is vicariously liable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third party in accordance with the definition of "volunteer" under s. 94 of the </w:t>
      </w:r>
      <w:r>
        <w:rPr>
          <w:rFonts w:ascii="arial" w:eastAsia="arial" w:hAnsi="arial" w:cs="arial"/>
          <w:i/>
          <w:color w:val="000000"/>
          <w:sz w:val="20"/>
          <w:lang w:val="en-US" w:eastAsia="en-US" w:bidi="ar-SA"/>
        </w:rPr>
        <w:t>School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As noted, this is the second application for a summary trial by the school board. The first was heard and dismissed by Mr. Justice Sigurdson in October 2014, indexed at </w:t>
      </w:r>
      <w:hyperlink r:id="rId1129" w:history="1">
        <w:r>
          <w:rPr>
            <w:rFonts w:ascii="arial" w:eastAsia="arial" w:hAnsi="arial" w:cs="arial"/>
            <w:i/>
            <w:color w:val="0077CC"/>
            <w:sz w:val="20"/>
            <w:u w:val="single"/>
            <w:shd w:val="clear" w:color="auto" w:fill="FFFFFF"/>
            <w:lang w:val="en-US" w:eastAsia="en-US" w:bidi="ar-SA"/>
          </w:rPr>
          <w:t>2014 BCSC 2364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Justice Sigurdson set out the plaintiff's claim at paras. 8-11: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 The accident occurred [on April 21, 2010] in the school ground when the infant plaintiff, Isaac Deo, then seven years of age, went from a sandpit over to an area of the school ground near a tree where three girls of about the same age were playing, and during that play or activity, a branch of the tree apparently was pulled back and released and whipped and struck the eye of the plaintiff, causing serious damage.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 The plaintiff's claim is brought pursuant to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and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alleging a breach of the duty of care to reasonably supervise the plaintiff child.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 It appears that the application of the standard of appropriate supervision and the issue of causation depend upon many factors, including the nature and size of the area to supervise, the ages of the children, the nature of the activity, and the nature of any risk from the activity.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 There were apparently three supervisors in attendance that day, but none of them saw the accident or apparently were aware of it immediately upon it occurring.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Isaac's grandmother, Gyan Deo, ("Gyan") was with him on the day of the incident while he ate lunch inside the school. Isaac finished lunch at 12:30 p.m. and went outside. Gyan watched him play in the sandbox. At about 12:45 p.m., Gyan told Isaac she was leaving. The three girls called Isaac over to the maple tree.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As Gyan was walking off the school grounds, she heard Isaac scream and went back to where he was. Gyan took Isaac to the school office where they met with Susan Chan, an administrative assistant, and a first aid attendant at the school. Ms. Chan offered to call an ambulance for Isaac, but Gyan, according to the Principal Wallin's affidavit: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took charge at the time and declined an ambulance as best we could tell.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Principal Wallin says that the policy of the school board is to allow parents and relatives on the school property during recess and lunch hours to visit with the students, to eat lunch with them and to watch them play.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History of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notice of civil claim was filed October 14, 2010. The school board filed a third party notice against Gyan on October 16, 2012. On October 21 and 22, 2014, the school board and others brought the summary trial application before Sigurdson J., seeking dismissal of the action or, alternatively, dismissal of the claims against Principal Wallin and Susan Nichols. In the further alternative, they applied to sever liability and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Sigurdson J. dismissed the application for summary trial. He granted leave to reapply for dismissal of the claims against Principal Wallin and Susan Nichols and ordered severance.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dismissing the school board's summary trial application, Mr. Justice Sigurdson stated at paras. 15 to 17: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 My reasons for dismissing the summary trial application on this basis are as follows: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[16] First, the injury to the boy was very serious and life altering. I think that, although not determinative, is one relevant factor or consideration for having the case determined by a full trial, particularly where facts are unclear, there are gaps in the evidence, and the facts may well be much clearer at trial. Those uncertain or incomplete factual areas include the nature of the interchange between the boy and the girls near the tree, the nature of the playing or activity at the tree, and any possible risks to a young person of the activity, the nature and degree of any supervision, and the reasons why the accident was not seen by the supervision that was undertaken by the three supervisors at the relevant time.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 Secondly, and relevant to the aspects of the evidence that I have just mentioned, the plaintiff seeks to be able to cross-examine the three supervisors at trial. The plaintiff wishes to demonstrate that the supervision was inadequate and that with proper supervision the accident would have been avoided. The evidence of the supervisors is of course potentially very relevant, particularly given the defendants' position that there was no foreseeable risk of harm and the incident happened very quickly and could not have been avoided. The plaintiff challenges these propositions. The amount of time the boy played with the girls, whether the trees with young children playing was an activity that was risky, why, if adequate supervision was in place, the supervisors did not see the boy or become aware of the injury when it occurred are all largely factual and important questions that I find are relevant and not resolved or determinable on the state of the evidence on this summary trial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There was a third reason that Sigurdson J. gave for dismissing the summary trial application which concerned the nature of the evidence provided by the defendants. That matter is not relevant to my consideration today.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Sigurdson J. referred to the evidence that caused him to exercise discretion to dismiss the summary trial application at paras. 20 and 21: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 The only account of the accident then is the short affidavit of the young plaintiff.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[21] Moreover, there were steps taken by the school to prune the tree after the accident occurred, and there appears to be some dispute in the evidence as to the reason for that, which again is another factor in the whole of the evidence that I determined could not be resolved justly on the summary trial. However, even absent that aspect, I would still find the case unsuitable for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Sigurdson J. granted the school board liberty to bring on a further summary trial application in respect of the claim against Principal Wallin and Ms. Nichols.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On May 10, 2016, the plaintiff applied to amend its notice of civil claim to include the following paragraph:</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At all material times, the defendant Wallin, Jane Doe and John Doe and the third party, Gyan Deo were employees or volunteers of the defendant School Board and were acting within the scope of their employment and the defendant School Board is vicariously liable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defendants Wallin, Jane Joe, John Doe and the third party, Gyan Deo, pursuant to section 94 of the </w:t>
      </w:r>
      <w:r>
        <w:rPr>
          <w:rFonts w:ascii="arial" w:eastAsia="arial" w:hAnsi="arial" w:cs="arial"/>
          <w:i/>
          <w:color w:val="000000"/>
          <w:sz w:val="20"/>
          <w:lang w:val="en-US" w:eastAsia="en-US" w:bidi="ar-SA"/>
        </w:rPr>
        <w:t>School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c.412</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school board opposed this amendment unsuccessfully on May 10, 2016. Master Muir allowed the plaintiff's application to amend the notice of civil claim and it was filed on May 13,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On July 5, 2016, Gyan filed a response to the third party notice. In that response, she claims, in the alternative, that she was a volunteer of the school board acting within the course and scope of her volunteer position, and that the school board is vicariously liable for 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under s. 94 of the </w:t>
      </w:r>
      <w:r>
        <w:rPr>
          <w:rFonts w:ascii="arial" w:eastAsia="arial" w:hAnsi="arial" w:cs="arial"/>
          <w:i/>
          <w:color w:val="000000"/>
          <w:sz w:val="20"/>
          <w:lang w:val="en-US" w:eastAsia="en-US" w:bidi="ar-SA"/>
        </w:rPr>
        <w:t>School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Examinations for discovery have taken place including that of Gyan on October 18, 2016. The deposition of one of the supervisors is scheduled for June 16, 2017, and an examination of another supervisor is scheduled for June 26, 2017. The liability trial is scheduled for eight days commencing August 8, 2017.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Leave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As noted in the background, this is the second application by the school board.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Rule 9-7(16)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 further application without leave</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court does not grant judgment under subrule (15), the applicant may not apply again under subrule (2) without leave of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There is limited authority on the matter of leave to bring a further application for summary trial, including whether it should be brought at the same time as a summary trial application, or in advance of such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Mr. Justice Voith considered the matter of leave to bring a subsequent summary trial application in </w:t>
      </w:r>
      <w:r>
        <w:rPr>
          <w:rFonts w:ascii="arial" w:eastAsia="arial" w:hAnsi="arial" w:cs="arial"/>
          <w:i/>
          <w:color w:val="000000"/>
          <w:sz w:val="20"/>
          <w:lang w:val="en-US" w:eastAsia="en-US" w:bidi="ar-SA"/>
        </w:rPr>
        <w:t>Kitsul v. Slater Vecchio LLP</w:t>
      </w:r>
      <w:r>
        <w:rPr>
          <w:rFonts w:ascii="arial" w:eastAsia="arial" w:hAnsi="arial" w:cs="arial"/>
          <w:color w:val="000000"/>
          <w:sz w:val="20"/>
          <w:lang w:val="en-US" w:eastAsia="en-US" w:bidi="ar-SA"/>
        </w:rPr>
        <w:t xml:space="preserve">, </w:t>
      </w:r>
      <w:hyperlink r:id="rId1130" w:history="1">
        <w:r>
          <w:rPr>
            <w:rFonts w:ascii="arial" w:eastAsia="arial" w:hAnsi="arial" w:cs="arial"/>
            <w:i/>
            <w:color w:val="0077CC"/>
            <w:sz w:val="20"/>
            <w:u w:val="single"/>
            <w:shd w:val="clear" w:color="auto" w:fill="FFFFFF"/>
            <w:lang w:val="en-US" w:eastAsia="en-US" w:bidi="ar-SA"/>
          </w:rPr>
          <w:t>2015 BCSC 1394</w:t>
        </w:r>
      </w:hyperlink>
      <w:r>
        <w:rPr>
          <w:rFonts w:ascii="arial" w:eastAsia="arial" w:hAnsi="arial" w:cs="arial"/>
          <w:color w:val="000000"/>
          <w:sz w:val="20"/>
          <w:lang w:val="en-US" w:eastAsia="en-US" w:bidi="ar-SA"/>
        </w:rPr>
        <w:t>. In that case, the plaintiff sought leave to apply for summary trial as a separate application from the application for summary trial; that is, leave was sought before the application for summary trial was made. In considering whether leave should be granted, Voith J. noted at paras. 11 and 12: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 By virtue of R. 9-7(16)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and Wong J.'s earlier determination, it is now necessary for the plaintiff to first obtain this Court's leave before being able to again proceed with his summary-trial application.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 Both counsel agree there is very little guidance on what legal considerations or legal framework govern the application of R. 9-7(16). They further agree, and it seems self-evident, that in order for the plaintiff's summary application to proceed, some material circumstance or consideration which impeded or prevented the original application from proceeding, ought to have been addressed or removed.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At paragraph 15, Voith J. considered the purpose and object of summary trial proceedings. 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 Ultimately, I consider that these competing submissions somewhat miss the central issue. The animating purpose and central object of summary-trial proceedings is to provide the parties with a potential means of determining a dispute efficiently and expeditiously. In </w:t>
      </w:r>
      <w:r>
        <w:rPr>
          <w:rFonts w:ascii="arial" w:eastAsia="arial" w:hAnsi="arial" w:cs="arial"/>
          <w:i/>
          <w:color w:val="000000"/>
          <w:sz w:val="20"/>
          <w:lang w:val="en-US" w:eastAsia="en-US" w:bidi="ar-SA"/>
        </w:rPr>
        <w:t>Hryniak v. Mauldin</w:t>
      </w:r>
      <w:r>
        <w:rPr>
          <w:rFonts w:ascii="arial" w:eastAsia="arial" w:hAnsi="arial" w:cs="arial"/>
          <w:color w:val="000000"/>
          <w:sz w:val="20"/>
          <w:lang w:val="en-US" w:eastAsia="en-US" w:bidi="ar-SA"/>
        </w:rPr>
        <w:t xml:space="preserve">, </w:t>
      </w:r>
      <w:hyperlink r:id="rId1131" w:history="1">
        <w:r>
          <w:rPr>
            <w:rFonts w:ascii="arial" w:eastAsia="arial" w:hAnsi="arial" w:cs="arial"/>
            <w:i/>
            <w:color w:val="0077CC"/>
            <w:sz w:val="20"/>
            <w:u w:val="single"/>
            <w:shd w:val="clear" w:color="auto" w:fill="FFFFFF"/>
            <w:lang w:val="en-US" w:eastAsia="en-US" w:bidi="ar-SA"/>
          </w:rPr>
          <w:t>2014 SCC 7</w:t>
        </w:r>
      </w:hyperlink>
      <w:r>
        <w:rPr>
          <w:rFonts w:ascii="arial" w:eastAsia="arial" w:hAnsi="arial" w:cs="arial"/>
          <w:color w:val="000000"/>
          <w:sz w:val="20"/>
          <w:lang w:val="en-US" w:eastAsia="en-US" w:bidi="ar-SA"/>
        </w:rPr>
        <w:t>, the Court emphasized the important role that summary-judgment proceedings can play in addressing access to justice concerns and said: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[34] The summary judgment motion is an important tool for enhancing access to justice because it can provide a cheaper, faster alternative to a full trial. With the exception of Quebec, all provinces feature a summary judgment mechanism in their respective rules of civil procedure. Generally, summary judgment is available where there is no genuine issue for trial.</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[49] There will be no genuine issue requiring a trial when the judge is able to reach a fair and just determination on the merits on a motion for summary judgment. This will be the case when the process (1) allows the judge to make the necessary findings of fact, (2) allows the judge to apply the law to the facts, and (3) is a proportionate, more expeditious and less expensive means to achieve a just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Voith J. concluded that even if the first two of the three criteria referred to in para. 49 of </w:t>
      </w:r>
      <w:r>
        <w:rPr>
          <w:rFonts w:ascii="arial" w:eastAsia="arial" w:hAnsi="arial" w:cs="arial"/>
          <w:i/>
          <w:color w:val="000000"/>
          <w:sz w:val="20"/>
          <w:lang w:val="en-US" w:eastAsia="en-US" w:bidi="ar-SA"/>
        </w:rPr>
        <w:t>Hryniak</w:t>
      </w:r>
      <w:r>
        <w:rPr>
          <w:rFonts w:ascii="arial" w:eastAsia="arial" w:hAnsi="arial" w:cs="arial"/>
          <w:color w:val="000000"/>
          <w:sz w:val="20"/>
          <w:lang w:val="en-US" w:eastAsia="en-US" w:bidi="ar-SA"/>
        </w:rPr>
        <w:t xml:space="preserve"> were satisfied, the third requirement was not. Voith J. noted that a summary trial application was expected to take three days and the conventional trial was expected to take five.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Voith J. continued at paragraphs 17 and 18: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 It is manifest that a conventional trial has numerous advantages. It would allow the judge to see the witnesses and, in particular, Mr. Schroeder. It would also obviate the prospect of some issue surfacing that was not canvassed adequately in the affidavit material and that might give rise to further delay. Still further, the issue of proportionality, to the extent that that issue engages a consideration of the amounts in dispute and the importance of those issues, also likely militates, as Wong J. noted, in favour of a conventional trial.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 It is also not at all clear that a conventional trial would be more expensive in any meaningful way.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Because the summary trial did not provide the parties with any meaningful benefit, Voith J. declined to exercise his discretion to grant the plaintiff leave to bring a further summary trial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Applying the </w:t>
      </w:r>
      <w:r>
        <w:rPr>
          <w:rFonts w:ascii="arial" w:eastAsia="arial" w:hAnsi="arial" w:cs="arial"/>
          <w:i/>
          <w:color w:val="000000"/>
          <w:sz w:val="20"/>
          <w:lang w:val="en-US" w:eastAsia="en-US" w:bidi="ar-SA"/>
        </w:rPr>
        <w:t>Hryniak</w:t>
      </w:r>
      <w:r>
        <w:rPr>
          <w:rFonts w:ascii="arial" w:eastAsia="arial" w:hAnsi="arial" w:cs="arial"/>
          <w:color w:val="000000"/>
          <w:sz w:val="20"/>
          <w:lang w:val="en-US" w:eastAsia="en-US" w:bidi="ar-SA"/>
        </w:rPr>
        <w:t xml:space="preserve"> criteria here, even if the first two are met, (which I am not deciding) the third is not. The liability trial is scheduled two months hence, and all the matters related to liability, including vicarious liability, can be thoroughly canvassed.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 note that in his reasons for dismissing the school board's earlier summary trial application, Sigurdson J. considered that there were gaps in the evidence which had to be clarified at trial, and I will repeat them for ease of reference. Those uncertain or incomplete factual areas included the nature of the interchange between the boy and the girls near the tree, the nature of the playing or activity at the tree, and any possible risks to a young person of the activity, the nature and degree of any supervision, and the reasons why the accident was not seen by the supervision that was undertaken by the three supervisors at the relevant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 consider that those factual gaps are not yet filled, except perhaps the matter of the school board's vicarious liability for the actions of Gyan, which is the subject matter of this summary trial. Even if the school board succeeds in having this summary trial heard, and is successful in convincing me that the claims for vicarious liability for Gyan's actions ought to be dismissed, the reasons why the accident was not seen by supervision that was undertaken at the relevant time, remains a highly relevant area to be canvassed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I accept that there have been certain changes in the pleadings and statements made in the examinations for discovery that were not before Sigurdson J. in October 2014. This may satisfy the change in material circumstances that impeded or prevented the first application from proceeding. However, I find that this is insufficient as a basis to grant leave to bring a second summary trial because the third criterion in </w:t>
      </w:r>
      <w:r>
        <w:rPr>
          <w:rFonts w:ascii="arial" w:eastAsia="arial" w:hAnsi="arial" w:cs="arial"/>
          <w:i/>
          <w:color w:val="000000"/>
          <w:sz w:val="20"/>
          <w:lang w:val="en-US" w:eastAsia="en-US" w:bidi="ar-SA"/>
        </w:rPr>
        <w:t>Hryniak</w:t>
      </w:r>
      <w:r>
        <w:rPr>
          <w:rFonts w:ascii="arial" w:eastAsia="arial" w:hAnsi="arial" w:cs="arial"/>
          <w:color w:val="000000"/>
          <w:sz w:val="20"/>
          <w:lang w:val="en-US" w:eastAsia="en-US" w:bidi="ar-SA"/>
        </w:rPr>
        <w:t xml:space="preserve"> is not satisfied.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As a matter of practice, in my view, it would have been better if the school board sought leave before this application was made. The matter of leave would not require significant time for hearing and could have been addressed in general chambers without requiring all parties to address the issues of suitability and the merits of the application for summary trial. I do not consider the failure to obtain leave before proceeding with this application for summary trial itself as fatal to this application. I merely say that would be the preferred 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the event that I am incorrect in denying leave to the school board to bring the summary trial application, I will go on to consider the issue of suitability.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Suitability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On every application for summary trial, the court must first consider the suitability of granting judgment in favour of any party for all or part of the claim. The court must be in a position to find the facts necessary to decide the issues in the summary trial, referring to </w:t>
      </w:r>
      <w:r>
        <w:rPr>
          <w:rFonts w:ascii="arial" w:eastAsia="arial" w:hAnsi="arial" w:cs="arial"/>
          <w:i/>
          <w:color w:val="000000"/>
          <w:sz w:val="20"/>
          <w:lang w:val="en-US" w:eastAsia="en-US" w:bidi="ar-SA"/>
        </w:rPr>
        <w:t>Inspiration Management Ltd. v. McDermid St. Lawrence Ltd</w:t>
      </w:r>
      <w:r>
        <w:rPr>
          <w:rFonts w:ascii="arial" w:eastAsia="arial" w:hAnsi="arial" w:cs="arial"/>
          <w:color w:val="000000"/>
          <w:sz w:val="20"/>
          <w:lang w:val="en-US" w:eastAsia="en-US" w:bidi="ar-SA"/>
        </w:rPr>
        <w:t xml:space="preserve">. </w:t>
      </w:r>
      <w:hyperlink r:id="rId372" w:history="1">
        <w:r>
          <w:rPr>
            <w:rFonts w:ascii="arial" w:eastAsia="arial" w:hAnsi="arial" w:cs="arial"/>
            <w:i/>
            <w:color w:val="0077CC"/>
            <w:sz w:val="20"/>
            <w:u w:val="single"/>
            <w:shd w:val="clear" w:color="auto" w:fill="FFFFFF"/>
            <w:lang w:val="en-US" w:eastAsia="en-US" w:bidi="ar-SA"/>
          </w:rPr>
          <w:t>(1989), 36 B.C.L.R. (2d) 202</w:t>
        </w:r>
      </w:hyperlink>
      <w:r>
        <w:rPr>
          <w:rFonts w:ascii="arial" w:eastAsia="arial" w:hAnsi="arial" w:cs="arial"/>
          <w:color w:val="000000"/>
          <w:sz w:val="20"/>
          <w:lang w:val="en-US" w:eastAsia="en-US" w:bidi="ar-SA"/>
        </w:rPr>
        <w:t xml:space="preserve"> (C.A.), at para. 49. The Court set out the factors to be considered in </w:t>
      </w:r>
      <w:r>
        <w:rPr>
          <w:rFonts w:ascii="arial" w:eastAsia="arial" w:hAnsi="arial" w:cs="arial"/>
          <w:i/>
          <w:color w:val="000000"/>
          <w:sz w:val="20"/>
          <w:lang w:val="en-US" w:eastAsia="en-US" w:bidi="ar-SA"/>
        </w:rPr>
        <w:t>Gichuru v. Pallai</w:t>
      </w:r>
      <w:r>
        <w:rPr>
          <w:rFonts w:ascii="arial" w:eastAsia="arial" w:hAnsi="arial" w:cs="arial"/>
          <w:color w:val="000000"/>
          <w:sz w:val="20"/>
          <w:lang w:val="en-US" w:eastAsia="en-US" w:bidi="ar-SA"/>
        </w:rPr>
        <w:t xml:space="preserve">, </w:t>
      </w:r>
      <w:hyperlink r:id="rId945" w:history="1">
        <w:r>
          <w:rPr>
            <w:rFonts w:ascii="arial" w:eastAsia="arial" w:hAnsi="arial" w:cs="arial"/>
            <w:i/>
            <w:color w:val="0077CC"/>
            <w:sz w:val="20"/>
            <w:u w:val="single"/>
            <w:shd w:val="clear" w:color="auto" w:fill="FFFFFF"/>
            <w:lang w:val="en-US" w:eastAsia="en-US" w:bidi="ar-SA"/>
          </w:rPr>
          <w:t>2013 BCCA 60</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Dahl v. Royal Bank of Canada et al</w:t>
      </w:r>
      <w:r>
        <w:rPr>
          <w:rFonts w:ascii="arial" w:eastAsia="arial" w:hAnsi="arial" w:cs="arial"/>
          <w:color w:val="000000"/>
          <w:sz w:val="20"/>
          <w:lang w:val="en-US" w:eastAsia="en-US" w:bidi="ar-SA"/>
        </w:rPr>
        <w:t xml:space="preserve">. </w:t>
      </w:r>
      <w:hyperlink r:id="rId943" w:history="1">
        <w:r>
          <w:rPr>
            <w:rFonts w:ascii="arial" w:eastAsia="arial" w:hAnsi="arial" w:cs="arial"/>
            <w:i/>
            <w:color w:val="0077CC"/>
            <w:sz w:val="20"/>
            <w:u w:val="single"/>
            <w:shd w:val="clear" w:color="auto" w:fill="FFFFFF"/>
            <w:lang w:val="en-US" w:eastAsia="en-US" w:bidi="ar-SA"/>
          </w:rPr>
          <w:t>2005 BCSC 1263</w:t>
        </w:r>
      </w:hyperlink>
      <w:r>
        <w:rPr>
          <w:rFonts w:ascii="arial" w:eastAsia="arial" w:hAnsi="arial" w:cs="arial"/>
          <w:color w:val="000000"/>
          <w:sz w:val="20"/>
          <w:lang w:val="en-US" w:eastAsia="en-US" w:bidi="ar-SA"/>
        </w:rPr>
        <w:t xml:space="preserve"> at para. 12 (aff'd on appeal </w:t>
      </w:r>
      <w:hyperlink r:id="rId944" w:history="1">
        <w:r>
          <w:rPr>
            <w:rFonts w:ascii="arial" w:eastAsia="arial" w:hAnsi="arial" w:cs="arial"/>
            <w:i/>
            <w:color w:val="0077CC"/>
            <w:sz w:val="20"/>
            <w:u w:val="single"/>
            <w:shd w:val="clear" w:color="auto" w:fill="FFFFFF"/>
            <w:lang w:val="en-US" w:eastAsia="en-US" w:bidi="ar-SA"/>
          </w:rPr>
          <w:t>2006 BCCA 369</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 Cases since </w:t>
      </w:r>
      <w:r>
        <w:rPr>
          <w:rFonts w:ascii="arial" w:eastAsia="arial" w:hAnsi="arial" w:cs="arial"/>
          <w:i/>
          <w:color w:val="000000"/>
          <w:sz w:val="20"/>
          <w:lang w:val="en-US" w:eastAsia="en-US" w:bidi="ar-SA"/>
        </w:rPr>
        <w:t>Inspiration Management</w:t>
      </w:r>
      <w:r>
        <w:rPr>
          <w:rFonts w:ascii="arial" w:eastAsia="arial" w:hAnsi="arial" w:cs="arial"/>
          <w:color w:val="000000"/>
          <w:sz w:val="20"/>
          <w:lang w:val="en-US" w:eastAsia="en-US" w:bidi="ar-SA"/>
        </w:rPr>
        <w:t xml:space="preserve"> set out additional factors that should be considered in deciding whether a matter is suitable for determination pursuant to Rule18A. The additional factors trial judges take into account in determining whether a case is suitable include: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is the litigation extensive and will the summary trial take considerable time;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is credibility a crucial factor - and have the deponents of the conflicting affidavits been cross examined;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will the summary trial involve a substantial risk of wasting time and effort, and producing unnecessary complexity; and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does the application result in litigating in slices.</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Novin v. Novin</w:t>
      </w:r>
      <w:r>
        <w:rPr>
          <w:rFonts w:ascii="arial" w:eastAsia="arial" w:hAnsi="arial" w:cs="arial"/>
          <w:color w:val="000000"/>
          <w:sz w:val="20"/>
          <w:lang w:val="en-US" w:eastAsia="en-US" w:bidi="ar-SA"/>
        </w:rPr>
        <w:t xml:space="preserve">, </w:t>
      </w:r>
      <w:hyperlink r:id="rId1132" w:history="1">
        <w:r>
          <w:rPr>
            <w:rFonts w:ascii="arial" w:eastAsia="arial" w:hAnsi="arial" w:cs="arial"/>
            <w:i/>
            <w:color w:val="0077CC"/>
            <w:sz w:val="20"/>
            <w:u w:val="single"/>
            <w:shd w:val="clear" w:color="auto" w:fill="FFFFFF"/>
            <w:lang w:val="en-US" w:eastAsia="en-US" w:bidi="ar-SA"/>
          </w:rPr>
          <w:t>[2004] B.C.J. No. 2092</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Bacchus Agents (1981) Ltd. v. Philippe Dandurand Wines Ltd.</w:t>
      </w:r>
      <w:r>
        <w:rPr>
          <w:rFonts w:ascii="arial" w:eastAsia="arial" w:hAnsi="arial" w:cs="arial"/>
          <w:color w:val="000000"/>
          <w:sz w:val="20"/>
          <w:lang w:val="en-US" w:eastAsia="en-US" w:bidi="ar-SA"/>
        </w:rPr>
        <w:t xml:space="preserve">, </w:t>
      </w:r>
      <w:hyperlink r:id="rId480" w:history="1">
        <w:r>
          <w:rPr>
            <w:rFonts w:ascii="arial" w:eastAsia="arial" w:hAnsi="arial" w:cs="arial"/>
            <w:i/>
            <w:color w:val="0077CC"/>
            <w:sz w:val="20"/>
            <w:u w:val="single"/>
            <w:shd w:val="clear" w:color="auto" w:fill="FFFFFF"/>
            <w:lang w:val="en-US" w:eastAsia="en-US" w:bidi="ar-SA"/>
          </w:rPr>
          <w:t>[2002] B.C.J. No. 377</w:t>
        </w:r>
      </w:hyperlink>
      <w:r>
        <w:rPr>
          <w:rFonts w:ascii="arial" w:eastAsia="arial" w:hAnsi="arial" w:cs="arial"/>
          <w:color w:val="000000"/>
          <w:sz w:val="20"/>
          <w:lang w:val="en-US" w:eastAsia="en-US" w:bidi="ar-SA"/>
        </w:rPr>
        <w:t xml:space="preserve">, </w:t>
      </w:r>
      <w:hyperlink r:id="rId480" w:history="1">
        <w:r>
          <w:rPr>
            <w:rFonts w:ascii="arial" w:eastAsia="arial" w:hAnsi="arial" w:cs="arial"/>
            <w:i/>
            <w:color w:val="0077CC"/>
            <w:sz w:val="20"/>
            <w:u w:val="single"/>
            <w:shd w:val="clear" w:color="auto" w:fill="FFFFFF"/>
            <w:lang w:val="en-US" w:eastAsia="en-US" w:bidi="ar-SA"/>
          </w:rPr>
          <w:t>2002 BCCA 138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factors to be considered in determining suitability of a summary trial on Rule 9-7 are:</w:t>
      </w:r>
      <w:r>
        <w:rPr>
          <w:rFonts w:ascii="arial" w:eastAsia="arial" w:hAnsi="arial" w:cs="arial"/>
          <w:sz w:val="20"/>
          <w:lang w:val="en-US" w:eastAsia="en-US" w:bidi="ar-SA"/>
        </w:rPr>
        <w:cr/>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 involved;</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complexity of the matter;</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urgency;</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prejudice likely to arise by reason of the delay; and</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cost of taking the case forward to a conventional trial in relation to the amount involved, the course of the proceedings, credibility, whether the summary trial involves a substantial risk of wasting time and effort, and whether the reapplication results in litigation in slices.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I also refer to the recent decision of the Court of Appeal in </w:t>
      </w:r>
      <w:r>
        <w:rPr>
          <w:rFonts w:ascii="arial" w:eastAsia="arial" w:hAnsi="arial" w:cs="arial"/>
          <w:i/>
          <w:color w:val="000000"/>
          <w:sz w:val="20"/>
          <w:lang w:val="en-US" w:eastAsia="en-US" w:bidi="ar-SA"/>
        </w:rPr>
        <w:t>Kemp v. Vancouver Coastal Health Authority</w:t>
      </w:r>
      <w:r>
        <w:rPr>
          <w:rFonts w:ascii="arial" w:eastAsia="arial" w:hAnsi="arial" w:cs="arial"/>
          <w:color w:val="000000"/>
          <w:sz w:val="20"/>
          <w:lang w:val="en-US" w:eastAsia="en-US" w:bidi="ar-SA"/>
        </w:rPr>
        <w:t xml:space="preserve">, </w:t>
      </w:r>
      <w:hyperlink r:id="rId1133" w:history="1">
        <w:r>
          <w:rPr>
            <w:rFonts w:ascii="arial" w:eastAsia="arial" w:hAnsi="arial" w:cs="arial"/>
            <w:i/>
            <w:color w:val="0077CC"/>
            <w:sz w:val="20"/>
            <w:u w:val="single"/>
            <w:shd w:val="clear" w:color="auto" w:fill="FFFFFF"/>
            <w:lang w:val="en-US" w:eastAsia="en-US" w:bidi="ar-SA"/>
          </w:rPr>
          <w:t>2017 BCCA 229</w:t>
        </w:r>
      </w:hyperlink>
      <w:r>
        <w:rPr>
          <w:rFonts w:ascii="arial" w:eastAsia="arial" w:hAnsi="arial" w:cs="arial"/>
          <w:color w:val="000000"/>
          <w:sz w:val="20"/>
          <w:lang w:val="en-US" w:eastAsia="en-US" w:bidi="ar-SA"/>
        </w:rPr>
        <w:t>, which makes clear that a court may proceed to a summary trial on a discrete issue in the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I conclude that a summary trial, even on the issue of whether Gyan was a volunteer under the </w:t>
      </w:r>
      <w:r>
        <w:rPr>
          <w:rFonts w:ascii="arial" w:eastAsia="arial" w:hAnsi="arial" w:cs="arial"/>
          <w:i/>
          <w:color w:val="000000"/>
          <w:sz w:val="20"/>
          <w:lang w:val="en-US" w:eastAsia="en-US" w:bidi="ar-SA"/>
        </w:rPr>
        <w:t>School Act</w:t>
      </w:r>
      <w:r>
        <w:rPr>
          <w:rFonts w:ascii="arial" w:eastAsia="arial" w:hAnsi="arial" w:cs="arial"/>
          <w:color w:val="000000"/>
          <w:sz w:val="20"/>
          <w:lang w:val="en-US" w:eastAsia="en-US" w:bidi="ar-SA"/>
        </w:rPr>
        <w:t>, does not satisfy these factors. Whether the issue is resolved by summary trial will not affect the amount involved, the complexity of the matter, as outlined by Sigurdson J., remains in spite of the potential resolution of this one issue. Sigurdson J. referred to the evidentiary gaps which have not been filled. The examination for discovery and deposition of the two supervisors is imminent. There is no urgency in having this matter resolved, as an eight-day liability trial is pending. There will be no prejudice to the school board by reason of delay for the same reason. The conventional trial will take place. The time spent on addressing this single issue in a summary trial, most of one day, is not, in my respectful view, justified in the circumstances. This also goes to the factor of the risk of wasting time and effort which, with respect to this application on such a narrow issue, could be. While there are no issues of credibility, that one factor does not support proceeding to a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In respect of whether this application results in litigation in slices, I refer to the statement by Southin J. in </w:t>
      </w:r>
      <w:r>
        <w:rPr>
          <w:rFonts w:ascii="arial" w:eastAsia="arial" w:hAnsi="arial" w:cs="arial"/>
          <w:i/>
          <w:color w:val="000000"/>
          <w:sz w:val="20"/>
          <w:lang w:val="en-US" w:eastAsia="en-US" w:bidi="ar-SA"/>
        </w:rPr>
        <w:t>Bacchus Agents (1981) Ltd. v. Philippe Dandurand Wines Limited</w:t>
      </w:r>
      <w:r>
        <w:rPr>
          <w:rFonts w:ascii="arial" w:eastAsia="arial" w:hAnsi="arial" w:cs="arial"/>
          <w:color w:val="000000"/>
          <w:sz w:val="20"/>
          <w:lang w:val="en-US" w:eastAsia="en-US" w:bidi="ar-SA"/>
        </w:rPr>
        <w:t xml:space="preserve">, </w:t>
      </w:r>
      <w:hyperlink r:id="rId480" w:history="1">
        <w:r>
          <w:rPr>
            <w:rFonts w:ascii="arial" w:eastAsia="arial" w:hAnsi="arial" w:cs="arial"/>
            <w:i/>
            <w:color w:val="0077CC"/>
            <w:sz w:val="20"/>
            <w:u w:val="single"/>
            <w:shd w:val="clear" w:color="auto" w:fill="FFFFFF"/>
            <w:lang w:val="en-US" w:eastAsia="en-US" w:bidi="ar-SA"/>
          </w:rPr>
          <w:t>2002 BCCA 138</w:t>
        </w:r>
      </w:hyperlink>
      <w:r>
        <w:rPr>
          <w:rFonts w:ascii="arial" w:eastAsia="arial" w:hAnsi="arial" w:cs="arial"/>
          <w:color w:val="000000"/>
          <w:sz w:val="20"/>
          <w:lang w:val="en-US" w:eastAsia="en-US" w:bidi="ar-SA"/>
        </w:rPr>
        <w:t>, at para. 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"litigating in slices" . . . may become a hindrance to the "just, speedy and inexpensive determination" of the dispute "on its merits".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 find that resolution of this one issue does not promote overall resolution of the action, or have any significant impact on the cost or length of trial. This militates against hiving off this issue and making a determination by way of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On that basis, even if I had granted leave to bring the application, the school board has failed to satisfy me that the issue is suitable for disposition by summary trial, and thus the application for summary trial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school board's application had two aspects including seeking dismissal of the plaintiff's case against Principal Wallin. The plaintiff and the third party in their application responses agreed to dismiss the case against Principal Wallin. The school board takes the position that had it not made this application for summary trial, the respondents would not have agreed to dismiss the case against Principal Wallin.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Whether or not that is the case does not, in my view, provide a basis for awarding costs against the respondent for not doing so before filing their application response.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respect of the application for summary trial on the volunteer issue, I order the costs against the school board in any event of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J.M. GROPPER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58" style="position:absolute;z-index:25189376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134"/>
          <w:headerReference w:type="default" r:id="rId1135"/>
          <w:footerReference w:type="even" r:id="rId1136"/>
          <w:footerReference w:type="default" r:id="rId1137"/>
          <w:headerReference w:type="first" r:id="rId1138"/>
          <w:footerReference w:type="first" r:id="rId113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140" w:history="1">
        <w:r>
          <w:rPr>
            <w:rFonts w:ascii="arial" w:eastAsia="arial" w:hAnsi="arial" w:cs="arial"/>
            <w:b/>
            <w:bCs/>
            <w:i/>
            <w:color w:val="0077CC"/>
            <w:kern w:val="32"/>
            <w:sz w:val="28"/>
            <w:szCs w:val="32"/>
            <w:u w:val="single"/>
            <w:shd w:val="clear" w:color="auto" w:fill="FFFFFF"/>
            <w:lang w:val="en-US" w:eastAsia="en-US" w:bidi="ar-SA"/>
          </w:rPr>
          <w:t>Felty v. Ernst &amp; Young LLP, [2013] B.C.J. No. 961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J.D. Truscott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August 21-24, 27-30,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9,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S114999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[2013] B.C.J. No. 961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BCSC 815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50 B.C.L.R. (5th) 390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16 B.L.R. (5th) 98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CarswellBC 1215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228 A.C.W.S. (3d) 856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Anita Felty, Plaintiff, and Ernst &amp; Young LLP and Irene Jacob,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(259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59" style="position:absolute;z-index:2517084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31" w:name="Keywords_46"/>
      <w:bookmarkEnd w:id="331"/>
      <w:r>
        <w:rPr>
          <w:rFonts w:ascii="arial" w:eastAsia="arial" w:hAnsi="arial" w:cs="arial"/>
          <w:b/>
          <w:color w:val="000000"/>
          <w:sz w:val="20"/>
          <w:lang w:val="en-US" w:eastAsia="en-US" w:bidi="ar-SA"/>
        </w:rPr>
        <w:t xml:space="preserve">Professional responsibility — Self-governing professions — Duties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Professions — Public accountants — Action by Felty in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against Ernst &amp; Young (EY) allowed in part — Felty, a US citizen, separated from her Canadian husband — As part of a matrimonial property settlement, Felty transferred company shares to her husband — She was subsequently surprised by the imposition on her of US taxes as EY advised her lawyer that she did not have to pay any US tax on the transfer — Felty's lawyer bound Felty to the limitation of liability provision in the Engagement Agreement with EY and Felty's claims were limited to the amount paid to EY for its services.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Fraud and misrepresentation — Negligent misrepresentation (Hedley Byrne principle) — Action by Felty in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against Ernst &amp; Young (EY) allowed in part — Felty, a US citizen, separated from her Canadian husband — As part of a matrimonial property settlement, Felty transferred company shares to her husband — She was subsequently surprised by the imposition on her of US taxes as EY advised her lawyer that she did not have to pay any US tax on the transfer — Felty's lawyer bound Felty to the limitation of liability provision in the Engagement Agreement with EY and Felty's claims were limited to the amount paid to EY for its services.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32" w:name="Case Summary_46"/>
            <w:bookmarkEnd w:id="33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Felty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negligent misrepresentation against Ernst &amp; Young (EY). Felty, a US citizen, married a Canadian citizen. She separated from her husband in 2002 and was represented by Robin of Schuman Daltrop in relation to the pursuit of her matrimonial rights. Robin retained the firm of EY and signed an Engagement Agreement which included a limitation of liability provision. As part of a matrimonial property settlement, Felty transferred ten shares that she held in Delesalle Holdings to her husband. The result of the transfer was the imposition on her of US taxes in the amount of US $544,106 or CA $626,810. The tax requirement was completely unexpected by Felty as EY had advised her lawyer that she did not have to pay any US tax on the transfer. Felty submitted that EY and Jacob, an EY employee, negligently misrepresented that she owed no US tax on the transfer of shares and that she suffered loss as a result. Felty further took the position that she was not a party to the Engagement Agreement and therefore the limitation of liability provision should not affect her rights against EY and Jacob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negligent misrepresentation. The defendants took the position that the Engagement Agreement was entered into by Robin as Felty's agent and that Felty's loss clearly fell within the limitation of liability provision.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33" w:name="Holdings of Court_40"/>
            <w:bookmarkEnd w:id="333"/>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claim against Jacob was dismissed as she did not do anything negligently. She informed Robin that she had no ability to give US tax advice and had no duty to analyze or question the US tax advice she obtained from a US tax attorney. Felty authorized Robin to retain EY and Robin bound Felty as her principal to the limitation of liability provision. Accordingly, Felty's claims were limited to $15,314, the amount of the fees paid to EY for its services.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34" w:name="Legislation Cited_31"/>
      <w:bookmarkEnd w:id="33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60" style="position:absolute;z-index:2517596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Divorce Act, </w:t>
      </w:r>
      <w:hyperlink r:id="rId1141" w:history="1">
        <w:r>
          <w:rPr>
            <w:rFonts w:ascii="arial" w:eastAsia="arial" w:hAnsi="arial" w:cs="arial"/>
            <w:i/>
            <w:color w:val="0077CC"/>
            <w:sz w:val="20"/>
            <w:u w:val="single"/>
            <w:shd w:val="clear" w:color="auto" w:fill="FFFFFF"/>
            <w:lang w:val="en-US" w:eastAsia="en-US" w:bidi="ar-SA"/>
          </w:rPr>
          <w:t>R.S.C. 1985, c. 3 (2nd Supp.)</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Family Relations Act, </w:t>
      </w:r>
      <w:hyperlink r:id="rId317" w:history="1">
        <w:r>
          <w:rPr>
            <w:rFonts w:ascii="arial" w:eastAsia="arial" w:hAnsi="arial" w:cs="arial"/>
            <w:i/>
            <w:color w:val="0077CC"/>
            <w:sz w:val="20"/>
            <w:u w:val="single"/>
            <w:shd w:val="clear" w:color="auto" w:fill="FFFFFF"/>
            <w:lang w:val="en-US" w:eastAsia="en-US" w:bidi="ar-SA"/>
          </w:rPr>
          <w:t>RSBC 1996, CHAPTER 128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Income Tax Act (Canada), s. 73, s. 74.5(3)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Internal Revenue Code of 1986, s. 1041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Rules of Court,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35" w:name="Counsel_48"/>
      <w:bookmarkEnd w:id="33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61" style="position:absolute;z-index:2518108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B.G. Baynham, Q.C. and U. Radoja.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D.R. Brown and M. Nied.</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36" w:name="Judgment_48"/>
      <w:bookmarkEnd w:id="336"/>
      <w:r>
        <w:pict>
          <v:line id="_x0000_s1262" style="position:absolute;z-index:25185996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r>
        <w:rPr>
          <w:rFonts w:ascii="arial" w:eastAsia="arial" w:hAnsi="arial" w:cs="arial"/>
          <w:sz w:val="20"/>
          <w:lang w:val="en-US" w:eastAsia="en-US" w:bidi="ar-SA"/>
        </w:rPr>
        <w:cr/>
      </w:r>
    </w:p>
    <w:p>
      <w:pPr>
        <w:numPr>
          <w:numId w:val="3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BACKGROUND FACTS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FELTY</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MS. ROBIN</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MS. JACOB</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TAX ACCOUNTING FIRM</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SUBMISSIONS</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Limitation of liability</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Limitation of Liability</w:t>
      </w:r>
      <w:r>
        <w:rPr>
          <w:rFonts w:ascii="arial" w:eastAsia="arial" w:hAnsi="arial" w:cs="arial"/>
          <w:sz w:val="20"/>
          <w:lang w:val="en-US" w:eastAsia="en-US" w:bidi="ar-SA"/>
        </w:rPr>
        <w:cr/>
      </w:r>
    </w:p>
    <w:p>
      <w:pPr>
        <w:numPr>
          <w:numId w:val="9"/>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ANALYSIS AND DECISION</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Mitigation</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Claim against Ms. Jacob</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Limitation of Liability</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8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37" w:name="J.D. TRUSCOTT J."/>
            <w:bookmarkEnd w:id="337"/>
            <w:r>
              <w:rPr>
                <w:rFonts w:ascii="arial" w:eastAsia="arial" w:hAnsi="arial" w:cs="arial"/>
                <w:b/>
                <w:color w:val="000000"/>
                <w:sz w:val="30"/>
                <w:lang w:val="en-US" w:eastAsia="en-US" w:bidi="ar-SA"/>
              </w:rPr>
              <w:t>J.D. TRUSCOTT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 BACKGROUND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 Ms. Felty sues Ernst &amp; Young LLP ("EY") and its employee Irene Jacob ("Jacob")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US tax advice they provided to her in 2005 on the proposed transfer of ten shares that she held in Delesalle Holdings Ltd. ("DHL") to her husband who was a member of the Delesalle family and from whom she was separated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transfer of the shares to her separated husband was part of an overall settlement between the parties of their respective matrimonial property and spousal rights that culminated in a consent order of this Court on September 9, 2005. Subsequent to that date the parties divorced.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result of the transfer of the plaintiff's ten shares to her separated husband was the imposition on her of US taxes in the amount of US$544,106, being the equivalent of CA$626,810.11.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This US tax requirement was completely unexpected by Ms. Felty as EY had advised her lawyer that she did not have to pay any US tax on this transfer of her ten shares.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and her husband were married in 1980 in California. Her husband is a Canadian citizen who was in school in California when they met. The plaintiff was a US citizen and has remained so to this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Upon their marriage the plaintiff took the family name of her husband, Delesalle, and she and her husband moved to Canada where he joined the family business and became a shareholder in the family holding company DHL.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a Shareholders' Agreement amongst the shareholders of DHL, the plaintiff, being the wife of a family member, was given ten shares in the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An Addendum to the Shareholders' Agreement was entered into as of January 13, 1989, by all shareholders, including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This Addendum included a provision that said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event that a person (other than: (a) a trustee of a trust for the benefit of Marion F. Delesalle or descendants of Joseph P. Delesalle and Marion F. Delesalle or (b) a corporation controlled by such a person or trust) who is not related to Joseph P. Delesalle and Marion F. Delesalle for the purposes of the Income Tax Act of Canada is a shareholder of the Company, the Company shall have the option to acquire all of the shares held by or on behalf of such person from the holder thereof (the "Selling Shareholder") and the Selling Shareholder shall have the option to sell such shares to the Company in each case for their fair market value determined (without discount for any interest being a minority interest) on the date on which notice is given by the Company or the Selling Shareholder (as the case may be) of the exercise of such option. Such fair market value shall be as agreed between the Company and the Selling Shareholder or, failing agreement, as determined by a national firm of Chartered Accountants selected by the Company with the costs of the valuation paid by the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parties separated in 2002 and the plaintiff remained in the family home in Surrey, British Columbia with the two daughters of their relationship, while her husband moved into an apartment.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 hired the law firm of Schuman Daltrop &amp; Company to represent her in pursuing her matrimonial rights and her husband retained the law firm of Scarborough Herman Harvey &amp; Bluekens to represent him in pursuing his matrimonial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 was represented by Ms. Robin of the Schuman Daltrop firm while her husband was represented by Mr. Harvey (now the Honourable Mr. Justice Harvey) of the Scarborough Herman firm.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On September 17, 2003, Ms. Robin wrote to Mr. Harvey informing him that the lack of any payments of maintenance to the plaintiff by Mr. Delesalle was becoming a real issue and she set out an estimate of the plaintiff's expenses on a monthly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This brought about a reply from Mr. Harvey on September 25, 2003 that the plaintiff's monthly budget, net after tax, estimated by her to be $16,000, did not accord with his understanding of the parties' usual family expenditures when they lived together.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He indicated that the plaintiff had income available to her of $140,000 annually from her dividend income and no monies were being offered by Mr. Delesalle in this reply.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 says that while she was entitled to this dividend income, it remained in a company account as she had agreed not to use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Delesalle owned a number of assets in his name that required valuation for a potential division as family assets. The plaintiff herself had very little knowledge of the value of these assets.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For the purpose of obtaining an independent valuation, Ms. Robin retained the firm of Ernst &amp; Young Corporate Finance Inc. ("EYCF").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EYCF required Ms. Robin to execute an Engagement Agreement dated December 12, 2003, which she did on December 18, 2003, on behalf of the Schuman Daltrop firm, after registering her objection to a limitation of liability provision contained within the standard terms and conditions of the Agreement that limited EYCF's total liability to its client for any claim arising out of the performance of its services to the total fees paid to EYCF, regardless of the form of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EYCF informed Ms. Robin that this issue was non-negotiable and if she didn't wish to sign the Agreement as it was, EYCF would not take on the engagement. Faced with this choice she says she signed the Agreement. Ms. Robin says that EYCF wanted Schuman Daltrop to be bound by the contract to ensure its fees would be paid. She says EYCF billed her and she paid and charged the plaintiff in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Initially both the plaintiff and her husband evidenced some interest in attempting to reconcile, but when this did not come to pass both parties turned their attention to their respective matrimonial rights for the purpose of attempting to resolve all matters without recourse to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first offer of settlement was made by Mr. Harvey in a letter to Ms. Robin dated August 30, 2004, proposing a global settlement of all matters in the stated hope that they could be settled without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This offer advanced by Mr. Harvey was premised on the basis that it was not to be considered as an opening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offer was made to pay the plaintiff $4,000,000, not just as a payment for her DHL shares to be transferred to Mr. Delesalle, but also as a payment for her interest in all the corporate assets and for her spousal support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It was specifically indicated in the offer that the valuation of her shares could include a minority discount at a level which, in the opinion of Mr. Delesalle's advisors, would be acceptable to the US authorities and significantly reduce the plaintiff's exposure to tax on the gain which would result from the sale of her shares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 minority discount valuation of her shares was proposed on the basis that as a minority shareholder in DHL, which she was, the market value of her shares could be considered as being less than the value of the shares of the majority shareholders because of the limited market for the sale of minority shares.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Other assets were discussed in Mr. Harvey's letter as well, including the proposal that the plaintiff receive the family home in Surrey, British Columbia, while Mr. Delesalle receive the Whistler property, with an equalization payment from him to her of $200,000 to bridge the difference in values between the two properties.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Ms. Robin recognized that the plaintiff was a US citizen and there were US tax implications for her and she sought clarification from Mr. Harvey of his offer.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Harvey responded on September 21, 2004 with a Writ of Summons and Statement of Claim, while seeking Ms. Robin's assurance that before answering her questions she agree Mr. Delesalle's offer was acceptable to her client.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He indicated as well that his client's offer remained open but was subject to withdrawal at any time, to be replaced by a formal Offer to Settle. While he confirmed his client's proposal envisioned savings within the framework of the Canadian tax system, he said the fact that Ms. Robin's client was a US citizen was not something his client could control and her client would have to make her own arrangements to deal with her US tax concerns.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Ms. Robin responded the next day that she could not determine how Mr. Delesalle arrived at his offer of $4,000,000 and so she was instructed to decline the offer. She also took the position that her client's US citizenship was an integral part of any tax planning that she could be expected to benefit from.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Ms. Robin decided that she needed advice on US tax for her client and she retained Ms. Jacob of the EY accounting firm.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Ms. Jacob informed Ms. Robin that she personally could not provide the US tax advice but a tax attorney in their California office, Mr. Hobson, could provide that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On January 25, 2005, Ms. Jacob wrote to Mr. Hobson requesting his advice in written memorandum form of the US tax implications to the plaintiff as a US citizen living in Canada. She said that before proceeding she wanted a fee quote as she would need to obtain final authorization from her client.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 summary of the salient facts provided to Mr. Hobson included a preliminary indication of value of the plaintiff's ten shares of $4,000,000 and information about a recent buy-out of a family member with a value of that member's shares at closer to $2,800,000.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She informed Mr. Hobson the plaintiff would sell her shares to Mr. Delesalle at a 30% discounted value of $2,800,000 to reflect a minority share position and she would receive that money in cash for the transfer of the shares along with another $1,200,000 in cash in settlement of any other financial entitlement the plaintiff may have on the divorce.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She sought Mr. Hobson's advice on the US tax implications for her client of the proposed settlement and any other US tax issues which might arise with respect to her current situation and particularly her ownership of the shares. He was also asked to briefly comment on whether there might be an alternative approach to achieving the proposed settlement that would result in more favourable US tax implications for the client.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For this US tax advice, Ms. Jacob sought an Engagement Agreement for EY from Ms. Robin and she prepared an Agreement dated March 2, 2005, to be executed by Ms. Robin on behalf of Schuman Daltrop.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caption on the Engagement Agreement was "Re: Anita Delesalle - personal tax advice - Canadian &amp; 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initial paragraph of the Agreement said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letter will confirm our engagement to provide to Schuman Daltrop Basran &amp; Robin tax advice concerning the Canadian and US income tax implications to Anita Delesalle with respect to the proposed settlement and her interest in Delesalle Holdings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body of the Agreement referred to using information furnished by the law firm and reliance on the law firm for the accuracy and completeness of the information supplied.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Another provision of the Agreement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All advice and other services we provide pursuant to this arrangement are intended to be solely for the benefit of your firm and Anita Delesalle and not for the benefit of anyone else.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A fee quote for the US tax advice was provided in the Agreement in the range of $8,500-$9,500 plus expenses with the statement made that any adjustments to the fee arrangement would be discussed with the law firm.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 copy of EY's standard terms and conditions was attached and stated to be considered an integral part of the Engagement Agreement and to govern the respective rights and obligations of the parties arising therefrom.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One of the provisions in the standard terms and conditions was an identical limitation of liability provision as had been included in the Engagement Agreement with EYCF that limited any recovery against EY to their total fees.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Ms. Jacob signed the Agreement for EY and Ms. Robin signed the Agreement for Schuman Daltrop, without any objection. Ms. Robin says the EY services were for her and the invoices were to be sent to her and paid by her firm.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On April 5, 2005, Mr. Hobson in California responded to the request for US tax advice. He provided his opinion from a tax standpoint that the plaintiff wanted s. 1041 of the </w:t>
      </w:r>
      <w:r>
        <w:rPr>
          <w:rFonts w:ascii="arial" w:eastAsia="arial" w:hAnsi="arial" w:cs="arial"/>
          <w:i/>
          <w:color w:val="000000"/>
          <w:sz w:val="20"/>
          <w:lang w:val="en-US" w:eastAsia="en-US" w:bidi="ar-SA"/>
        </w:rPr>
        <w:t>Internal Revenue Code of 1986</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Code</w:t>
      </w:r>
      <w:r>
        <w:rPr>
          <w:rFonts w:ascii="arial" w:eastAsia="arial" w:hAnsi="arial" w:cs="arial"/>
          <w:color w:val="000000"/>
          <w:sz w:val="20"/>
          <w:lang w:val="en-US" w:eastAsia="en-US" w:bidi="ar-SA"/>
        </w:rPr>
        <w:t xml:space="preserve">") to apply to all transfers, including her sale of ten shares to Mr. Delesalle, as </w:t>
      </w:r>
      <w:r>
        <w:rPr>
          <w:rFonts w:ascii="arial" w:eastAsia="arial" w:hAnsi="arial" w:cs="arial"/>
          <w:i/>
          <w:color w:val="000000"/>
          <w:sz w:val="20"/>
          <w:lang w:val="en-US" w:eastAsia="en-US" w:bidi="ar-SA"/>
        </w:rPr>
        <w:t>Code</w:t>
      </w:r>
      <w:r>
        <w:rPr>
          <w:rFonts w:ascii="arial" w:eastAsia="arial" w:hAnsi="arial" w:cs="arial"/>
          <w:color w:val="000000"/>
          <w:sz w:val="20"/>
          <w:lang w:val="en-US" w:eastAsia="en-US" w:bidi="ar-SA"/>
        </w:rPr>
        <w:t xml:space="preserve"> s. 1041(a) provided that no gain or loss is to be recognized on the transfer of property from an individual to or in trust for a spouse or a former spouse if the transfer is incident to a divorce.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With this opinion in hand, Ms. Robin and the plaintiff approached settlement thereafter on the basis that the plaintiff did not have to be concerned about paying any US tax at all on the transfer of her ten shares and therefore did not have to be concerned about making any minority share claim in order to discount the value of her shares for sale to Mr. Delesalle for the purpose of reducing her US taxes.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next offer came from the plaintiff by letter of June 17, 2005 from Ms. Robin to Mr. Harvey.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This offer involved dividing up what was estimated to be over $20,000,000 of total assets, with the plaintiff to receive over $9,500,000 of asset value and Mr. Delesalle over $10,500,000 of asset value. This offer did not necessarily deal with only those amounts that were clearly family assets.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this offer the plaintiff offered to give up all entitlement to spousal support but took the position that Mr. Delesalle's preferred shares in DHL were family assets to also be included in the division. Ms. Robin also stipulated in her offer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separation agreement resulting from acceptance of this offer will contain wording that will meet the requirements of the Internal Revenue Code and section 1041, in particular, to ensure that the transfer of any cash is incident to divorce such that any US gain to Ms. Delesalle will be minimized if not eliminated.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This offer was subsequently put in the form of a formal Offer to Settle under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on July 19,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next offer came from Mr. Harvey on July 25, 2005, rejecting the plaintiff's offer and taking the position that the preferred shares of DHL and other shareholder loans owing to Mr. Delesalle from related companies were not family assets to be divided.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this offer Mr. Harvey said that his client was prepared to pay $4,150,000 to resolve all issues other than the issue of the preference shares and the shareholder loan accounts and the plaintiff's shares would be sold by her either back to DHL or to a company nominated by Mr. Delesalle.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offer was also stated to be contingent upon the plaintiff consenting to a dismissal of her claims for spousal support.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letter said that the issue of the preference shares seemed to be destined for judicial determination and this issue could be easily separated and litigated.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Defence counsel has calculated this offer to the plaintiff was to give her 48.8% of the total asset value and Mr. Delesalle 52.2% of the total asset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On August 18, 2005, Ms. Robin responded to Mr. Harvey's latest offer of July 25, 2005, seeking confirmation that the $4,150,000 would be paid to the plaintiff in after-tax dollars and in return she would transfer her ten shares to Mr. Delesalle. The letter also said "your client is agreeable to assuming the latent tax liability associated with this transfer in order that Mrs. Delesalle will pay no tax on the $4,150,000, whatsoever".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She said that this transaction would also effectively resolve all issues pertaining to the common shares in two related companies and settle the shareholder loan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Mr. Harvey responded to this in a letter of August 26, 2005, stating that he would attend to drafting the minutes of settlement and stating that he looked forward to receiving the wording Ms. Robin required to meet the plaintiff's US tax concerns. He did not respond to the statement in Ms. Robin's letter of August 18, 2005 that Mr. Delesalle would assume any latent tax liability for the transfer of the plaintiff's ten shares.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August 26, 2005 letter also dealt with arrangements for the trial of the issue of whether the preference shares were family assets or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trial on the preference shares proceeded in British Columbia Supreme Court on September 6-9, 2005, with the Court concluding that the preferred shares were not a family asset. On September 9, 2005, a consent order was entered including the following provisions:</w:t>
      </w:r>
      <w:r>
        <w:rPr>
          <w:rFonts w:ascii="arial" w:eastAsia="arial" w:hAnsi="arial" w:cs="arial"/>
          <w:sz w:val="20"/>
          <w:lang w:val="en-US" w:eastAsia="en-US" w:bidi="ar-SA"/>
        </w:rPr>
        <w:cr/>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shall transfer to the Defendant, for his own use absolutely thereafter, her ten (10) common shares in Delesalle Holdings Ltd. (hereinafter referred to as "DHL"), such transfer to occur at the Plaintiff's adjusted capital cost base in accordance with Section 73 of the </w:t>
      </w:r>
      <w:r>
        <w:rPr>
          <w:rFonts w:ascii="arial" w:eastAsia="arial" w:hAnsi="arial" w:cs="arial"/>
          <w:i/>
          <w:color w:val="000000"/>
          <w:sz w:val="20"/>
          <w:lang w:val="en-US" w:eastAsia="en-US" w:bidi="ar-SA"/>
        </w:rPr>
        <w:t>Income Tax Act</w:t>
      </w:r>
      <w:r>
        <w:rPr>
          <w:rFonts w:ascii="arial" w:eastAsia="arial" w:hAnsi="arial" w:cs="arial"/>
          <w:color w:val="000000"/>
          <w:sz w:val="20"/>
          <w:lang w:val="en-US" w:eastAsia="en-US" w:bidi="ar-SA"/>
        </w:rPr>
        <w:t xml:space="preserve"> (Canada);</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shall transfer to the Defendant, for his own use absolutely thereafter, all of her right, title, and interest in the property located at 20 - 4822 Spearhead Drive, Whistler, B.C. (hereinafter referred to as the "Whistler Condo") such transfer to occur at the Plaintiff's adjusted capital cost base in accordance with the Section 73 of the </w:t>
      </w:r>
      <w:r>
        <w:rPr>
          <w:rFonts w:ascii="arial" w:eastAsia="arial" w:hAnsi="arial" w:cs="arial"/>
          <w:i/>
          <w:color w:val="000000"/>
          <w:sz w:val="20"/>
          <w:lang w:val="en-US" w:eastAsia="en-US" w:bidi="ar-SA"/>
        </w:rPr>
        <w:t>Income Tax Act</w:t>
      </w:r>
      <w:r>
        <w:rPr>
          <w:rFonts w:ascii="arial" w:eastAsia="arial" w:hAnsi="arial" w:cs="arial"/>
          <w:color w:val="000000"/>
          <w:sz w:val="20"/>
          <w:lang w:val="en-US" w:eastAsia="en-US" w:bidi="ar-SA"/>
        </w:rPr>
        <w:t xml:space="preserve"> (Canada);</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shall transfer to the Plaintiff, for her own use absolutely thereafter, all of his right, title and interest in the property located at 16229 113th Avenue, Surrey, B.C. (the "113th Avenue Property");</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shall retain for his own use absolutely the condominium located at 316 - 2 Renaissance Square, New Westminster, BC together with the whole of the contents thereof;</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shall retain, for his own use absolutely, all the shareholdings in his name in YMF Holdings Ltd. (hereinafter "YMF"), Delbro Properties Ltd. (hereinafter "Delbro" and Fresno Holdings Ltd. (B.C.) (hereinafter "Fresno") together with the shareholders loans owing to the Defendant by YMF and Fresno;</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each of the Plaintiff and Defendant shall retain their shareholders loan account in DHL and the Plaintiff shall be paid out the balance of the amount owing to her, if any, within thirty (30) days from this date;</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shall retain, for her own use absolutely, her RRSP, having an approximate value of $46,000;</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shall retain, for his own absolutely, his Individual Pension Plan and the contents of Investment Account 019-77718-0, having an approximate value of $16,500, and Investment Account 16D-877E-8, having an approximate value of $34,778;</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 shall transfer to the Plaintiff, the contents of RBC Dominion Securities Account No. 803-31724-1-5, having an approximate value as at July 6, 2005, of $607,000 together with the contents of RBC Dominion Securities Investment Account 824-00290-1-0, having an approximate value as at July 6, 2005 of $128,000, provided the transfer occur at the Defendant's adjusted capital cost base in accordance with Section 73 of the </w:t>
      </w:r>
      <w:r>
        <w:rPr>
          <w:rFonts w:ascii="arial" w:eastAsia="arial" w:hAnsi="arial" w:cs="arial"/>
          <w:i/>
          <w:color w:val="000000"/>
          <w:sz w:val="20"/>
          <w:lang w:val="en-US" w:eastAsia="en-US" w:bidi="ar-SA"/>
        </w:rPr>
        <w:t>Income Tax Act</w:t>
      </w:r>
      <w:r>
        <w:rPr>
          <w:rFonts w:ascii="arial" w:eastAsia="arial" w:hAnsi="arial" w:cs="arial"/>
          <w:color w:val="000000"/>
          <w:sz w:val="20"/>
          <w:lang w:val="en-US" w:eastAsia="en-US" w:bidi="ar-SA"/>
        </w:rPr>
        <w:t xml:space="preserve"> (Canada);</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each of the Plaintiff and Defendant shall retain, for their own use absolutely, the automobiles currently registered in their possession;</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shall retain the contents of the 113th Avenue Property;</w:t>
      </w:r>
    </w:p>
    <w:p>
      <w:pPr>
        <w:numPr>
          <w:numId w:val="1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shall retain the contents of the Whistler Condo;</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 shall pay to the Plaintiff, in satisfaction of all of her claims except, as otherwise provided herein, both for the division of property and for support, whether pursuant to the </w:t>
      </w:r>
      <w:r>
        <w:rPr>
          <w:rFonts w:ascii="arial" w:eastAsia="arial" w:hAnsi="arial" w:cs="arial"/>
          <w:i/>
          <w:color w:val="000000"/>
          <w:sz w:val="20"/>
          <w:lang w:val="en-US" w:eastAsia="en-US" w:bidi="ar-SA"/>
        </w:rPr>
        <w:t>Family Relations Act</w:t>
      </w:r>
      <w:r>
        <w:rPr>
          <w:rFonts w:ascii="arial" w:eastAsia="arial" w:hAnsi="arial" w:cs="arial"/>
          <w:color w:val="000000"/>
          <w:sz w:val="20"/>
          <w:lang w:val="en-US" w:eastAsia="en-US" w:bidi="ar-SA"/>
        </w:rPr>
        <w:t xml:space="preserve"> </w:t>
      </w:r>
      <w:hyperlink r:id="rId317" w:history="1">
        <w:r>
          <w:rPr>
            <w:rFonts w:ascii="arial" w:eastAsia="arial" w:hAnsi="arial" w:cs="arial"/>
            <w:i/>
            <w:color w:val="0077CC"/>
            <w:sz w:val="20"/>
            <w:u w:val="single"/>
            <w:shd w:val="clear" w:color="auto" w:fill="FFFFFF"/>
            <w:lang w:val="en-US" w:eastAsia="en-US" w:bidi="ar-SA"/>
          </w:rPr>
          <w:t>R.S.B.C. 1996, c. 128</w:t>
        </w:r>
      </w:hyperlink>
      <w:r>
        <w:rPr>
          <w:rFonts w:ascii="arial" w:eastAsia="arial" w:hAnsi="arial" w:cs="arial"/>
          <w:color w:val="000000"/>
          <w:sz w:val="20"/>
          <w:lang w:val="en-US" w:eastAsia="en-US" w:bidi="ar-SA"/>
        </w:rPr>
        <w:t xml:space="preserve"> and amendments thereto or the </w:t>
      </w:r>
      <w:r>
        <w:rPr>
          <w:rFonts w:ascii="arial" w:eastAsia="arial" w:hAnsi="arial" w:cs="arial"/>
          <w:i/>
          <w:color w:val="000000"/>
          <w:sz w:val="20"/>
          <w:lang w:val="en-US" w:eastAsia="en-US" w:bidi="ar-SA"/>
        </w:rPr>
        <w:t>Divorce Act</w:t>
      </w:r>
      <w:r>
        <w:rPr>
          <w:rFonts w:ascii="arial" w:eastAsia="arial" w:hAnsi="arial" w:cs="arial"/>
          <w:color w:val="000000"/>
          <w:sz w:val="20"/>
          <w:lang w:val="en-US" w:eastAsia="en-US" w:bidi="ar-SA"/>
        </w:rPr>
        <w:t>, R.S.C. 1985, c. 3, the sum of $4,150,000;</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parties will cooperate in filing all necessary documents and elections with Canada Customs and Revenue Agency so as to ensure the transfer of the DHL shares, the Whistler Condo, and the Defendant's investment accounts are transferred on a tax neutral basis (including electing under Section 74.5(3) of the </w:t>
      </w:r>
      <w:r>
        <w:rPr>
          <w:rFonts w:ascii="arial" w:eastAsia="arial" w:hAnsi="arial" w:cs="arial"/>
          <w:i/>
          <w:color w:val="000000"/>
          <w:sz w:val="20"/>
          <w:lang w:val="en-US" w:eastAsia="en-US" w:bidi="ar-SA"/>
        </w:rPr>
        <w:t>Income Tax Act</w:t>
      </w:r>
      <w:r>
        <w:rPr>
          <w:rFonts w:ascii="arial" w:eastAsia="arial" w:hAnsi="arial" w:cs="arial"/>
          <w:color w:val="000000"/>
          <w:sz w:val="20"/>
          <w:lang w:val="en-US" w:eastAsia="en-US" w:bidi="ar-SA"/>
        </w:rPr>
        <w:t xml:space="preserve"> (Canada) and designating the 113th Avenue Property as their principal residence for the purposes of the </w:t>
      </w:r>
      <w:r>
        <w:rPr>
          <w:rFonts w:ascii="arial" w:eastAsia="arial" w:hAnsi="arial" w:cs="arial"/>
          <w:i/>
          <w:color w:val="000000"/>
          <w:sz w:val="20"/>
          <w:lang w:val="en-US" w:eastAsia="en-US" w:bidi="ar-SA"/>
        </w:rPr>
        <w:t>Income Tax Act</w:t>
      </w:r>
      <w:r>
        <w:rPr>
          <w:rFonts w:ascii="arial" w:eastAsia="arial" w:hAnsi="arial" w:cs="arial"/>
          <w:color w:val="000000"/>
          <w:sz w:val="20"/>
          <w:lang w:val="en-US" w:eastAsia="en-US" w:bidi="ar-SA"/>
        </w:rPr>
        <w:t xml:space="preserve"> (Canada) for all years in which they both resided in it) and the sum of $4,150,000 to be paid by the Defendant to the Plaintiff shall be received by her without incurring liability for Canadian income tax;</w:t>
      </w:r>
    </w:p>
    <w:p>
      <w:pPr>
        <w:numPr>
          <w:numId w:val="1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and Defendant shall take all necessary steps to ensure the provisions of Section 1041 of the Internal Revenue Code of 1986 will apply to the transfers herewith being ordered.</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other claims in the Statement of Claim and Counterclaim, including the Plaintiff's claim for spousal support, shall be dismissed as if there had been a trial on the merits, save and except the Defendant's claim for divorce which issue shall be adjourned generally, and for the Plaintiff's claim for a declaration that the Defendant's preference shares in Delesalle Holdings Ltd. are a family asset to which she is entitled to a prima facie one half interest and the Defendant's claim, in the alternative, that if the preference shares in his name are family assets that they ought be reapportioned to him in whole or in part as well as the Plaintiff's claim for a declaration that she is entitled to an interest in money received by the Defendant for redemption of preference shares in the year 2003 and court order interest on any monies received by him from the date of receipt to the date of trial;</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[sic] each of the parties shall bear their own costs of the action up to and including August 25,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On the basis of these provisions, defence counsel has calculated that the plaintiff received 48.4% of the total value of the assets without taking any tax into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plaintiff went to another tax accounting firm for the preparation of her 2005 tax return as that tax accounting firm had done for her in the past. That firm was fully aware that she was a US citizen.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On that tax accounting firm's analysis, the sale of the ten shares by the plaintiff to Mr. Delesalle had a value of $4,160,000, and the plaintiff owed US tax of approximately US$595,000.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That tax accounting firm determined that s. 1041(a) of the US tax </w:t>
      </w:r>
      <w:r>
        <w:rPr>
          <w:rFonts w:ascii="arial" w:eastAsia="arial" w:hAnsi="arial" w:cs="arial"/>
          <w:i/>
          <w:color w:val="000000"/>
          <w:sz w:val="20"/>
          <w:lang w:val="en-US" w:eastAsia="en-US" w:bidi="ar-SA"/>
        </w:rPr>
        <w:t>Code</w:t>
      </w:r>
      <w:r>
        <w:rPr>
          <w:rFonts w:ascii="arial" w:eastAsia="arial" w:hAnsi="arial" w:cs="arial"/>
          <w:color w:val="000000"/>
          <w:sz w:val="20"/>
          <w:lang w:val="en-US" w:eastAsia="en-US" w:bidi="ar-SA"/>
        </w:rPr>
        <w:t xml:space="preserve"> did not apply for the benefit of the plaintiff because s. 1041(d), which was headed "Special rule where spouse is nonresident alien" stated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Subsection (a) shall not apply if the spouse (or former spouse) of the individual making the transfer is a nonresident alien.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Mr. Delesalle was a nonresident alien of the United States, being a Canadian, and accordingly s. 1041(d) applied to eliminate any benefit of s. 1041(a) for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This tax accounting firm contacted the plaintiff on April 12, 2006, three days before the 2005 tax had to be paid, to give her the bad news, and she immediately contacted her investment advisors to issue a cheque for that amount to the US Treasury, which was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evidence is that while US tax must be paid by April 15, an extension can be obtained through to October 15 of any year for the filing of the return, and that extension was obtained by this tax accounting firm for the benefit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plaintiff and Ms. Robin communicated on this disaster and Ms. Robin spoke to Ms. Jacob. Ms. Jacob recommended to Ms. Robin that the plaintiff follow up with the tax accounting firm doing her tax return to determine if it had researched the issue of US tax on the transfer of the ten shares or whether it agreed with the EY opinion that Mr. Hobson had given that no US tax was payable.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tax accounting firm in turn contacted Ms. Jacob in September 2006 to find out if she was in contact with Mr. Hobson as the 2005 tax return had to be finalized by October 15,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In the final result, the US tax that the plaintiff was required to pay on the transfer of the ten shares to Mr. Delesalle was reduced to US$544,106 equal to CA$626,810.11.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Taking the value of the assets in the consent order that defence counsel has calculated and reducing the plaintiff's recovery by this tax has reduced her share of the assets to 45.8% of the total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MS. FELTY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plaintiff says in her evidence that as a US citizen living in Canada she always had to be concerned about her US tax obligations.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When Ms. Robin told her that she was going to hire a tax professional she instructed her to retain whoever she wanted and that turned out to be Ms. Jacob of 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She says she was not aware that Ms. Robin had signed the Engagement Agreement of March 2, 2005 until the time of trial although she agrees that it was executed by Ms. Robin on her behalf and she would be required to pay for Ms. Jacob's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When asked what she would have done if she had seen the limitation of liability clause herself in the Engagement Agreement before it had been signed, she says she doesn't know whether she had any other choice than to retain 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When her attention is brought to the evidence she gave on her examination for discovery concerning the March 2, 2005 Engagement Agreement, she agrees she said at that time that she didn't remember if she was provided with a copy of it before it was executed but that it would have been consistent with normal practice that she would have seen it prior to its execution. As to the standard terms and conditions of the Agreement, she said at that time she didn't remember but she reviewed everything so she was sure she had looked at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At trial she says that while her evidence given on examination for discovery was true at the time, at trial the only retainer agreement she recalls is with Ms. Robin and the answer that she gave on examination for discovery that she looked at the standard terms and conditions was a mistaken answer on her part because the Engagement Agreement looks like a document that Ms. Robin would execute on her behalf.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She also says that she was not aware that Ms. Robin had signed the December 12, 2003 Engagement Agreement on her behalf with EYCF.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When her attention is brought to her evidence given on examination for discovery concerning this Engagement Agreement, she agrees she said at that time that it looked like Ms. Robin had accepted it on her behalf, that she understood Ms. Robin had retained EYCF on her behalf and for her benefit and she was responsible for paying for their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When asked at trial if she had any practice of discussing engagement agreements with Ms. Robin before their execution, she says that she would not look at engagement letters.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When her attention is directed again to her evidence on examination for discovery, she agrees she said at that time that she had no memory of seeing the Engagement Agreement of December 12, 2003, before it was signed, but it would have been usual that Ms. Robin would have provided her with something like that before execution.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She also agrees that on her examination for discovery she said she reviewed all documents she was provided and with respect to the standard terms and conditions in the Engagement Agreement she would have glanced at them but most of the time relied on Ms. Robin. She said the December 12, 2003 Engagement Agreement looked very normal to her as it was not the first legal document she had ever seen.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She confirms at trial she did pay all the EY accounts and the EYCF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She says she was never aware that Mr. Hobson of EY in California was involved as she always thought that it was Ms. Jacob that was providing the tax services. She says she only became aware of Mr. Hobson after she learned that she had to pay US taxes.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It is her evidence that she only agreed to make the June 17, 2005 offer to Mr. Delesalle which had her agreeing to take a substantial discount from a 50% settlement and agreeing to terminate her spousal support rights, because by then she had been told of the EY opinion that she did not have to pay any US tax and her thinking was if she could obtain a lot of cash she wouldn't need any spousal maintenance.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She says that if she had known a settlement was being discussed in which she was going to have to pay US taxes of $400,000 to $500,000 it would have changed everything for her and she would have gone back to the table to renegotiate or proceed to court on everything.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She says she would have fought harder for compensation, that she would have tried to negotiate her taxes into the settlement and she would have asked for the Whistler property. She says she could have been more ruthless in negotiations although she acknowledges that is not her personality. She says she would not have been so accommodating but otherwise cannot say what all her options would have been.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She also says that by 2004 she just wanted to have the dispute over with her husband, she wanted some give and take between them but did not want to go to war, and she wanted to move on with her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When she learned that she owed the US tax, she says she asked Ms. Robin to look into the issue but did not ask her to talk to Mr. Harvey about reopening the settlement. She says she didn't want to do that as it was not Mr. Delesalle's fault that she had to pay the US tax and she didn't want to open up new wounds or jeopardize her relationship with their daughters.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After learning that she owed these US taxes she says she didn't know how to reduce her taxes at that time as she is not a tax expert and she had hired accountants to perform the tax duties required to be done. She didn't seek any advice about ways to mitigate her US tax liability including any advice from her tax accounting firm doing her 2005 US tax return.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She says she did however tell that tax accounting firm to talk to EY and take good notes and she also signed a retainer agreement with that tax accounting firm on March 27, 2007 that called for it to provide services necessary to address her US taxation on assets transferred to her husband pursuant to her divorce, including discussions with third parties relating to the same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However she says she doesn't think there was a lot of progress and she was never told how the EY error had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MS. ROBIN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When Ms. Robin first met with Ms. Jacob, Ms. Jacob told her that she couldn't give US tax advice and had to refer the matter to someone else within 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Ms. Robin says she cannot recall if Ms. Jacob contacted her in early February 2005 with a fee quote from a US colleague but allows that this is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She also says she doesn't recall whether in the same discussion that she told Ms. Jacob that she would be meeting with the plaintiff soon to seek her approval to the fee quote, although she allows that this is also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She also has no recall of telling Ms. Jacob on February 16, 2005 that she had discussed this fee quote with the plaintiff who had approved it and approved retaining EY for the tax advice, but she says this must have happened.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She also has no recall of Ms. Jacob saying that she would have to set up a new retainer for this US tax advice but again says this is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She says the proposal by Mr. Harvey to separate out the issue of whether the preference shares were a family asset and litigate only that issue while settling everything else was of considerable benefit to the plaintiff considering the risks in going to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She agrees that the risks of going to court included the risk of some assets not being considered family assets, some assets having lower values than originally assumed for settlement purposes, the loss of the value of getting cash in a settlement that might not be available at trial, the cost of further litigation and the loss of the possible benefit of settlement in feeling good about oneself in settling rather than litigating with a former partner and upsetting their daughters.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xml:space="preserve">  When it came time for settlement in September 2005, Ms. Robin says she went to Ms. Jacob for advice on what the wording should be in the consent order to reflect the opinion of Mr. Hobson. Ms. Jacob told her the wording should be taken from the Hobson memo and all that was required was to say that the share transfer was pursuant to s. 1041 of the US </w:t>
      </w:r>
      <w:r>
        <w:rPr>
          <w:rFonts w:ascii="arial" w:eastAsia="arial" w:hAnsi="arial" w:cs="arial"/>
          <w:i/>
          <w:color w:val="000000"/>
          <w:sz w:val="20"/>
          <w:lang w:val="en-US" w:eastAsia="en-US" w:bidi="ar-SA"/>
        </w:rPr>
        <w:t>Code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She says that in 2006 after settlement when the plaintiff learned of her tax obligations she talked to the person at the plaintiff's tax accounting firm who was doing the plaintiff's 2005 tax return and asked that person if she knew that the transfer had been done pursuant to the US tax </w:t>
      </w:r>
      <w:r>
        <w:rPr>
          <w:rFonts w:ascii="arial" w:eastAsia="arial" w:hAnsi="arial" w:cs="arial"/>
          <w:i/>
          <w:color w:val="000000"/>
          <w:sz w:val="20"/>
          <w:lang w:val="en-US" w:eastAsia="en-US" w:bidi="ar-SA"/>
        </w:rPr>
        <w:t>Code</w:t>
      </w:r>
      <w:r>
        <w:rPr>
          <w:rFonts w:ascii="arial" w:eastAsia="arial" w:hAnsi="arial" w:cs="arial"/>
          <w:color w:val="000000"/>
          <w:sz w:val="20"/>
          <w:lang w:val="en-US" w:eastAsia="en-US" w:bidi="ar-SA"/>
        </w:rPr>
        <w:t xml:space="preserve"> because at that time she thought the plaintiff's tax accounting firm had made a mistake.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She telephoned Ms. Jacob at EY pointing her finger at the plaintiff's tax accounting firm and she says it wasn't until she was contacted to appear at trial that she learned that it was EY who had given the wrong advice in the first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Ms. Robin also says that if EY had given the advice in the first place that significant tax would be payable by the plaintiff on the share transfer, it would have been a different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She says she is quite confident that a different deal would have been reached and believes Mr. Harvey would have understood the plaintiff's tax obligations had to be considered because she was a US citizen during her marriage to Mr. Delesalle and as his wife he would have known it was always a problem for him in the negotiations.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She says she had originally expected the plaintiff would at least be entitled to a minority share discount for US tax purposes.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In 2006 she says she did not seek to advise the plaintiff of ways to reduce her US tax because she was not asked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She did not consider the prospect of asking Mr. Delesalle to reopen the settlement because she continued to believe that EY was right on its original US tax advice and the plaintiff's tax accounting firm was wrong.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MS. JACOB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Ms. Jacob says that when she got the fee quote from Mr. Hobson for his US tax advice for the plaintiff, she called Ms. Robin to advise of this and Ms. Robin said that she would discuss this with the plaintiff and get back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Subsequently Ms. Jacob says Ms. Robin confirmed that she had received approval from the plaintiff for the fee quote for this advice and she made contemporaneous notes of that conversation confirming this information from Ms. Robin which she produces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Ms. Jacob set up the March 2, 2005 Engagement Agreement as a new engagement agreement for this US tax advice and she confirms Ms. Robin never registered any objection to her about the standard terms. She says if Ms. Robin had wanted to change any of the terms it would have required the approval of a tax partner as she had no personal authority.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She agrees she did have a discussion with Ms. Robin about the part of Mr. Hobson's opinion that says, "You will also see that from a tax standpoint Anita wants section 1041 of the Internal Revenue Code of 1986 to apply to all transfers."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However she says she would not have advised Ms. Robin what to put in the consent order. She says she doesn't recall Ms. Robin asking her and she wouldn't have given advice because she considered it to be legal advice. She says her response would have been if asked to refer to what Mr. Hobson had said.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She says she heard from Ms. Robin in June 2006 that the plaintiff was advised to pay US tax of approximately $500,000. She says she told Ms. Robin at that time to talk to the plaintiff's tax accounting firm and ask if they had researched the issue and if it disagreed with Mr. Hobson's opinion. If so she said Ms. Robin should contact her again and EY could be retained further.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She says she subsequently received a number of calls from the plaintiff's tax accounting firm saying that it didn't agree with Mr. Hobson's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She says she also tried to track down Mr. Hobson but he had left the California office of 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xml:space="preserve">  She never read the US tax </w:t>
      </w:r>
      <w:r>
        <w:rPr>
          <w:rFonts w:ascii="arial" w:eastAsia="arial" w:hAnsi="arial" w:cs="arial"/>
          <w:i/>
          <w:color w:val="000000"/>
          <w:sz w:val="20"/>
          <w:lang w:val="en-US" w:eastAsia="en-US" w:bidi="ar-SA"/>
        </w:rPr>
        <w:t>Code</w:t>
      </w:r>
      <w:r>
        <w:rPr>
          <w:rFonts w:ascii="arial" w:eastAsia="arial" w:hAnsi="arial" w:cs="arial"/>
          <w:color w:val="000000"/>
          <w:sz w:val="20"/>
          <w:lang w:val="en-US" w:eastAsia="en-US" w:bidi="ar-SA"/>
        </w:rPr>
        <w:t xml:space="preserve"> s. 1041 herself.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TAX ACCOUNTING FIRM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The plaintiff's tax accounting firm doing her tax returns concluded the plaintiff did not have a lot of knowledge of taxation issues when it first became aware on February 14, 2006 that she had been involved in divorce proceedings with her husband.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It agrees that it was required to prepare the plaintiff's tax returns in the most tax-efficient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By March 3, 2006 it knew that there had been a divorce settlement and that the plaintiff was to receive $4,000,000 in cash tax-free.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xml:space="preserve">  This tax accounting firm determined by April 12, 2006 that the plaintiff owed close to $595,000 of US tax and so informed the plaintiff that date. It had recognized by that date that US tax </w:t>
      </w:r>
      <w:r>
        <w:rPr>
          <w:rFonts w:ascii="arial" w:eastAsia="arial" w:hAnsi="arial" w:cs="arial"/>
          <w:i/>
          <w:color w:val="000000"/>
          <w:sz w:val="20"/>
          <w:lang w:val="en-US" w:eastAsia="en-US" w:bidi="ar-SA"/>
        </w:rPr>
        <w:t>Code</w:t>
      </w:r>
      <w:r>
        <w:rPr>
          <w:rFonts w:ascii="arial" w:eastAsia="arial" w:hAnsi="arial" w:cs="arial"/>
          <w:color w:val="000000"/>
          <w:sz w:val="20"/>
          <w:lang w:val="en-US" w:eastAsia="en-US" w:bidi="ar-SA"/>
        </w:rPr>
        <w:t xml:space="preserve"> 1041 did not apply for the benefit of the plaintiff because Mr. Delesalle was a nonresident alien and s. 1041(d) applied to eliminate any benefit from s. 1041(a) for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xml:space="preserve">  This tax accounting firm has a slightly different Engagement Agreement that it had the plaintiff sign. It contains a provision that it will not be liable to a client for any amount in excess of its fees, but excepts from that the case of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wilful misconduct on its 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In early 2007, it was still trying to determine why there was a discrepancy between its opinion of the US tax obligations of the plaintiff and Mr. Hobson's opinions so that if it was proven wrong it could do something on the 2006 US tax return for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This tax accounting firm did not think that anything could be done to minimize the plaintiff's taxes for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It submitted an account to the plaintiff on June 30, 2006 for the period up to June 27, 2006 in an amount of $26,000 for fees. Of this amount over $20,000 related to the issue of the ten shares and the Whistler property transfers.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SUBMISSIONS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The plaintiff submits that she has succeeded in making out a claim in tort against EY for the negligent misrepresentation that she owed no US tax on the transfer of her ten shares to Mr. Delesalle and the transfer of her interest in the Whistler property to him, and as a result she has suffered loss. She takes the position that she personally was not a party to the March 2, 2005 Engagement Agreement with 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She agrees as a matter of law she must prove that she would not have entered into the transaction that resulted in her tax loss but for the misrepresentation (</w:t>
      </w:r>
      <w:r>
        <w:rPr>
          <w:rFonts w:ascii="arial" w:eastAsia="arial" w:hAnsi="arial" w:cs="arial"/>
          <w:i/>
          <w:color w:val="000000"/>
          <w:sz w:val="20"/>
          <w:lang w:val="en-US" w:eastAsia="en-US" w:bidi="ar-SA"/>
        </w:rPr>
        <w:t>Rainbow Industrial Caterers Ltd. v. Canadian National Railway</w:t>
      </w:r>
      <w:r>
        <w:rPr>
          <w:rFonts w:ascii="arial" w:eastAsia="arial" w:hAnsi="arial" w:cs="arial"/>
          <w:color w:val="000000"/>
          <w:sz w:val="20"/>
          <w:lang w:val="en-US" w:eastAsia="en-US" w:bidi="ar-SA"/>
        </w:rPr>
        <w:t xml:space="preserve">, </w:t>
      </w:r>
      <w:hyperlink r:id="rId1142" w:history="1">
        <w:r>
          <w:rPr>
            <w:rFonts w:ascii="arial" w:eastAsia="arial" w:hAnsi="arial" w:cs="arial"/>
            <w:i/>
            <w:color w:val="0077CC"/>
            <w:sz w:val="20"/>
            <w:u w:val="single"/>
            <w:shd w:val="clear" w:color="auto" w:fill="FFFFFF"/>
            <w:lang w:val="en-US" w:eastAsia="en-US" w:bidi="ar-SA"/>
          </w:rPr>
          <w:t>[1991] 3 S.C.R. 3</w:t>
        </w:r>
      </w:hyperlink>
      <w:r>
        <w:rPr>
          <w:rFonts w:ascii="arial" w:eastAsia="arial" w:hAnsi="arial" w:cs="arial"/>
          <w:color w:val="000000"/>
          <w:sz w:val="20"/>
          <w:lang w:val="en-US" w:eastAsia="en-US" w:bidi="ar-SA"/>
        </w:rPr>
        <w:t>). She submits she has met this requirement by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As a consequence of this negligent misrepresentation it is submitted that she has lost the ability to apply the minority share discount tax benefit that she was entitled to, which at a discount of 30% would have saved her tax of CA$158,994.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In addition it is submitted there was also the possibility of triggering Canadian tax to offset US tax that would have benefitted Mr. Delesalle, and this would have further reduced her US tax obligations.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She says she would not have entered into the settlement on the terms she did but on different terms, including a term that Mr. Delesalle pay all remaining US tax obligations of her on the transfer of the ten shares and the transfer of her interest in the Whistler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Both she and Ms. Robin testified that they would have negotiated different terms in settlement to deal with this tax obligation and it is submitted that Mr. Delesalle would have been prepared to assume this tax responsibility because both parties recognized the importance of the tax consequences to the plaintiff during the course of the negotiations.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It is submitted that it was Mr. Delesalle who insisted on having the plaintiff's ten shares and her interest in the Whistler property while she did not have any obligation to transfer them to him. She was also giving up her claim for spousal support and accepting less than 50% of the value of the family assets. For all of these reasons she submits the Court should find that Mr. Delesalle would have been prepared to assume her US tax liability in order to maintain the existing Settlement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The plaintiff says this conclusion should be reached by the Court in addition because an adverse inference should be drawn against the defendants for their failure to call Mr. Delesalle as a witness if he was going to give any evidence to the contrary.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xml:space="preserve">  The plaintiff also submits that Ms. Jacob was negligent in advising Ms. Robin to incorporate s. 1041 of the US tax </w:t>
      </w:r>
      <w:r>
        <w:rPr>
          <w:rFonts w:ascii="arial" w:eastAsia="arial" w:hAnsi="arial" w:cs="arial"/>
          <w:i/>
          <w:color w:val="000000"/>
          <w:sz w:val="20"/>
          <w:lang w:val="en-US" w:eastAsia="en-US" w:bidi="ar-SA"/>
        </w:rPr>
        <w:t>Code</w:t>
      </w:r>
      <w:r>
        <w:rPr>
          <w:rFonts w:ascii="arial" w:eastAsia="arial" w:hAnsi="arial" w:cs="arial"/>
          <w:color w:val="000000"/>
          <w:sz w:val="20"/>
          <w:lang w:val="en-US" w:eastAsia="en-US" w:bidi="ar-SA"/>
        </w:rPr>
        <w:t xml:space="preserve"> into the court order of September 9, 2005, without confirming that the opinion was correct and that the reference in the order to s. 1041 would benefit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xml:space="preserve">  It is also submitted that because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provision of the US tax advice, the plaintiff had to incur additional tax accounting fees for the investigation of the opinions of Mr. Hobson to confirm it was wrong, and she should be entitled to recover the fees charged by EY for Mr. Hobson's opinion of $15,314.95, and $30,000 for the fees she had to pay to the other tax accounting firm for their investigation of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At a minimum it is submitted that EY should be held liable following the entry of the September 9, 2005 consent order incorporating the settlement terms, for the failure to claim the plaintiff's minority share tax rights in her 2005 income tax return once it was learned that Mr. Hobson's opinion was in error.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That 2005 income tax return for the plaintiff was not filed until October 15, 2006. It is submitted that in the spring of 2006 when the plaintiff was told she had to pay substantial US tax because of the error of Mr. Hobson, EY must have been aware shortly thereafter that Mr. Hobson's opinion was obviously wrong and should have ensured that the plaintiff's 2005 income tax return included a claim for her minority shares tax benefit.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In addition it is submitted that EY and the other tax accounting firm filing the 2005 income tax return should be held jointly and severally liable for failing to claim the minority share right as, both being tax accounting firms, they should have ensured that this benefit was included within the plaintiff's 2005 income tax return when filed.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Finally, it is submitted that the Court should order prejudgment interest at an enhanced rate on the plaintiff's damages as she has had to liquidate her investments in order to make the US tax payment.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Limitation of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The plaintiff submits that she was not a party to the Engagement Agreement between EY and Schuman Daltrop of March 2, 2005 and therefore the limitation of liability provision concluded in the standard terms and conditions should not affect her rights against EY and Ms. Jacob for negligent misrepresentation and negligent provision of their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It is submitted that the legal onus rests on the defendants to apply this limitation of liability provision to the plaintiff by proving that she is a party to the Agreement, and this onus cannot be met when the Agreement is clearly made only as between EY and Schuman Daltrop.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The plaintiff did not sign the Agreement and it is submitted that there is insufficient indication of Ms. Robin entering the Agreement as agent for Ms. Felty to impose contractual liability on her simply because she was in a solicitor/client relationship with Schuman Daltrop (</w:t>
      </w:r>
      <w:r>
        <w:rPr>
          <w:rFonts w:ascii="arial" w:eastAsia="arial" w:hAnsi="arial" w:cs="arial"/>
          <w:i/>
          <w:color w:val="000000"/>
          <w:sz w:val="20"/>
          <w:lang w:val="en-US" w:eastAsia="en-US" w:bidi="ar-SA"/>
        </w:rPr>
        <w:t>Her Majesty the Queen v. R.</w:t>
      </w:r>
      <w:r>
        <w:rPr>
          <w:rFonts w:ascii="arial" w:eastAsia="arial" w:hAnsi="arial" w:cs="arial"/>
          <w:color w:val="000000"/>
          <w:sz w:val="20"/>
          <w:lang w:val="en-US" w:eastAsia="en-US" w:bidi="ar-SA"/>
        </w:rPr>
        <w:t xml:space="preserve">, </w:t>
      </w:r>
      <w:hyperlink r:id="rId1143" w:history="1">
        <w:r>
          <w:rPr>
            <w:rFonts w:ascii="arial" w:eastAsia="arial" w:hAnsi="arial" w:cs="arial"/>
            <w:i/>
            <w:color w:val="0077CC"/>
            <w:sz w:val="20"/>
            <w:u w:val="single"/>
            <w:shd w:val="clear" w:color="auto" w:fill="FFFFFF"/>
            <w:lang w:val="en-US" w:eastAsia="en-US" w:bidi="ar-SA"/>
          </w:rPr>
          <w:t>2010 FCA 206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The plaintiff submits that it is a well recognized principle that an agent can contract on a personal basis and whether the agent has done so or only contracted on behalf of its principal will depend on the agent's objective intention as determined by the proper construction of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If the agent signs in their personal name without any qualifications it is submitted that the presumption is that the agent has bound itself personally unless a contrary intention plainly appears from the rest of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Ms. Robin signed the March 2, 2005 Engagement Agreement with EY in her name on behalf of Schuman Daltrop.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It is submitted there is no indication in the Agreement that Ms. Robin was signing on behalf of the plaintiff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The Engagement Agreement is addressed only to Ms. Robin and not to the plaintiff. The Agreement confirms the engagement to provide tax advice to Schuman Daltrop and not to the plaintiff, and while the tax advice is stated as being for the benefit of Schuman Daltrop and the plaintiff, it is submitted the "client" mentioned in the standard terms and conditions can only be considered as Schuman Daltrop, in the context of the rest of the Agreement, as the entire Agreement only deals with the rights and obligations of EY and Schuman Daltrop and not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Ms. Robin says she retained EY to provide her with tax advice she needed to properly advise her client, the plaintiff. The EY invoices were submitted only to Ms. Robin and not to the plaintiff and Ms. Robin accepted that her firm had the obligation to pay these invoices as it had retained 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While Ms. Robin obtained reimbursement from the plaintiff for the EY fees, through her own fee accounts to the plaintiff, it is submitted that this does not make the plaintiff a party to the Engagement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Alternatively, it is submitted that if it is determined that the plaintiff is also a party to the Engagement Agreement along with Schuman Daltrop, the limitation of liability provision is at best ambiguous as to what provisions are to apply to the plaintiff or only to Schuman Daltrop when Schuman Daltrop is also a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When an agent has entered into a contract on its own behalf alongside its principal, it is submitted it must be carefully ascertained what covenants have been made on behalf of the principal and what covenants have been made on behalf of the agent (</w:t>
      </w:r>
      <w:r>
        <w:rPr>
          <w:rFonts w:ascii="arial" w:eastAsia="arial" w:hAnsi="arial" w:cs="arial"/>
          <w:i/>
          <w:color w:val="000000"/>
          <w:sz w:val="20"/>
          <w:lang w:val="en-US" w:eastAsia="en-US" w:bidi="ar-SA"/>
        </w:rPr>
        <w:t>Barnett v. Rademaker</w:t>
      </w:r>
      <w:r>
        <w:rPr>
          <w:rFonts w:ascii="arial" w:eastAsia="arial" w:hAnsi="arial" w:cs="arial"/>
          <w:color w:val="000000"/>
          <w:sz w:val="20"/>
          <w:lang w:val="en-US" w:eastAsia="en-US" w:bidi="ar-SA"/>
        </w:rPr>
        <w:t xml:space="preserve">, </w:t>
      </w:r>
      <w:hyperlink r:id="rId1144" w:history="1">
        <w:r>
          <w:rPr>
            <w:rFonts w:ascii="arial" w:eastAsia="arial" w:hAnsi="arial" w:cs="arial"/>
            <w:i/>
            <w:color w:val="0077CC"/>
            <w:sz w:val="20"/>
            <w:u w:val="single"/>
            <w:shd w:val="clear" w:color="auto" w:fill="FFFFFF"/>
            <w:lang w:val="en-US" w:eastAsia="en-US" w:bidi="ar-SA"/>
          </w:rPr>
          <w:t>2004 BCSC 1060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A limitation of liability clause must be construed strictly against the maker and any ambiguity is to be resolved against the maker and in favour of the party seeking to avoid its application (</w:t>
      </w:r>
      <w:r>
        <w:rPr>
          <w:rFonts w:ascii="arial" w:eastAsia="arial" w:hAnsi="arial" w:cs="arial"/>
          <w:i/>
          <w:color w:val="000000"/>
          <w:sz w:val="20"/>
          <w:lang w:val="en-US" w:eastAsia="en-US" w:bidi="ar-SA"/>
        </w:rPr>
        <w:t>Baur v. Bank of Montreal</w:t>
      </w:r>
      <w:r>
        <w:rPr>
          <w:rFonts w:ascii="arial" w:eastAsia="arial" w:hAnsi="arial" w:cs="arial"/>
          <w:color w:val="000000"/>
          <w:sz w:val="20"/>
          <w:lang w:val="en-US" w:eastAsia="en-US" w:bidi="ar-SA"/>
        </w:rPr>
        <w:t xml:space="preserve">, </w:t>
      </w:r>
      <w:hyperlink r:id="rId1145" w:history="1">
        <w:r>
          <w:rPr>
            <w:rFonts w:ascii="arial" w:eastAsia="arial" w:hAnsi="arial" w:cs="arial"/>
            <w:i/>
            <w:color w:val="0077CC"/>
            <w:sz w:val="20"/>
            <w:u w:val="single"/>
            <w:shd w:val="clear" w:color="auto" w:fill="FFFFFF"/>
            <w:lang w:val="en-US" w:eastAsia="en-US" w:bidi="ar-SA"/>
          </w:rPr>
          <w:t>[1980] 2 S.C.R. 102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Consumers' Gas v. Peterborough</w:t>
      </w:r>
      <w:r>
        <w:rPr>
          <w:rFonts w:ascii="arial" w:eastAsia="arial" w:hAnsi="arial" w:cs="arial"/>
          <w:color w:val="000000"/>
          <w:sz w:val="20"/>
          <w:lang w:val="en-US" w:eastAsia="en-US" w:bidi="ar-SA"/>
        </w:rPr>
        <w:t xml:space="preserve">, </w:t>
      </w:r>
      <w:hyperlink r:id="rId1146" w:history="1">
        <w:r>
          <w:rPr>
            <w:rFonts w:ascii="arial" w:eastAsia="arial" w:hAnsi="arial" w:cs="arial"/>
            <w:i/>
            <w:color w:val="0077CC"/>
            <w:sz w:val="20"/>
            <w:u w:val="single"/>
            <w:shd w:val="clear" w:color="auto" w:fill="FFFFFF"/>
            <w:lang w:val="en-US" w:eastAsia="en-US" w:bidi="ar-SA"/>
          </w:rPr>
          <w:t>[1981] 2 S.C.R. 613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Alternatively it is submitted that the limitation of liability provision is unenforceable against the plaintiff on the grounds of public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It is submitted that while the freedom to contract is a societal value to be cherished, it is open to abuse in a commercial context.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It is submitted EY insisted on this form of agreement and there was no choice by Ms. Robin not to accept it. It was a contract of adhesion with no chance for Ms. Robin or the plaintiff to negotiate its terms. The plaintiff needed this tax advice that only tax accountants and tax attorneys can give.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xml:space="preserve">  It is submitted that to allow this major accounting firm to hide behind their own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through a limitation of liability provision when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sole cause of the plaintiff's entire loss, would be contrary to public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xml:space="preserve">  If accountants can hide behind provisions such as this and not be accountable for their own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then it is submitted so can every other professional offering expert services to people who are forced to rely upon these services as a matter of necessity. It is submitted the weaker party must be protected from this abuse by professionals.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It is submitted the public policy of ensuring professionals are accountable to the public should outweigh the policy of protecting freedom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On the facts here Ms. Robin retained EY in September 2004 and EY was incurring fees since that time up to March 2005. It was only March 2, 2005 that Ms. Jacob presented the Engagement Agreement to Ms. Robin for the first time and it is submitted at that point Ms. Robin had no choice but to go ahead and sign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It is submitted that in all the circumstance the Court should not enforce this limitation of liability provision against the plaintiff for her claim in this action, as a matter of public policy.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The defendants submit that the claim against Ms. Jacob should be dismissed as having no merit whatsoever.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It is submitted Ms. Jacob made it clear to Ms. Robin that she could not provide the US tax advice herself. She obtained the quote for services from Mr. Hobson in California for his services and Ms. Robin approved that quote before Mr. Hobson went ahead with his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xml:space="preserve">  Ms. Jacob reviewed Mr. Hobson's opinion to ensure it appeared reasonable and it is submitted there is no basis to suggest she should have engaged in a more intensive review or should have personally read the Internal Revenue </w:t>
      </w:r>
      <w:r>
        <w:rPr>
          <w:rFonts w:ascii="arial" w:eastAsia="arial" w:hAnsi="arial" w:cs="arial"/>
          <w:i/>
          <w:color w:val="000000"/>
          <w:sz w:val="20"/>
          <w:lang w:val="en-US" w:eastAsia="en-US" w:bidi="ar-SA"/>
        </w:rPr>
        <w:t>Code</w:t>
      </w:r>
      <w:r>
        <w:rPr>
          <w:rFonts w:ascii="arial" w:eastAsia="arial" w:hAnsi="arial" w:cs="arial"/>
          <w:color w:val="000000"/>
          <w:sz w:val="20"/>
          <w:lang w:val="en-US" w:eastAsia="en-US" w:bidi="ar-SA"/>
        </w:rPr>
        <w:t xml:space="preserve"> provisions relied upon by Mr. Hobson.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Additionally it is pointed out that s. 19 of the standard terms and conditions to the March 2, 2005 Engagement Agreement limits any claim of the client to only against EY and stipulates that no claim should be brought against any persons involved in the performance of the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It is submitted this provisions protects Ms. Jacob from any claim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The defendants agree with the plaintiff that it is her duty to prove on a balance of probabilities that but for the incorrect tax advice, she would not have entered into the settlement on those terms.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They submit that the plaintiff has failed to discharge this obligation on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They point out that the plaintiff says in her evidence that she was interested in a little give and take with Mr. Delesalle but not interested in a war. She says she considered the settlement reflected in the December 9, 2005 court order to be unfair to her but says she didn't want to fight about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She says if she had known about her US tax obligations prior to settlement she could have been more ruthless in negotiations with Mr. Delesalle and would have fought harder and not been so accommodating, but she is unable to say what she would have done differently with the proper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The defendants submit the evidence indicates the plaintiff was in need of funds for her monthly expenses and for her litigation costs. She recognized that going to trial on all the issues would be more expensive than going to trial on only the preference shares issues, and she just wanted to settle and have the dispute conclude.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If the plaintiff had gone to trial over the ten shares, it is submitted she would have had to abide by the DHL Addendum Agreement which required her to sell to DHL at its request at a fair market value determined without any discount to her for her interest as a minority shareholder.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This would have required her to pay Canadian tax on the disposition of the shares at their full value, and that may have been more than her US tax turned out to 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The defendants submit that a comparison of the first offer made to the plaintiff in August 2004 to the final settlement amount indicates that the settlement amount was only marginally higher than the initial offer of August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It is submitted that this is compelling evidence that the plaintiff would have simply accepted the best offer she thought was available on the eve of trial, even if it included the payment of US tax, rather than go to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Alternatively the defendants submit that if the Court should conclude that the plaintiff has met her onus of establishing that she would not have entered into the terms of the consent order, she has failed to establish any reasonable probability that she would have done better by negotiation or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It is pointed out that Mr. Delesalle was resolute in his position from the outset. As trial approached he only increased his offer in an immaterial amount and he always took the position that the plaintiff's US taxes were her concern and not his concern.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Mr. Delesalle always considered that the plaintiff would have to pay US tax on the ten shares because he factored a minority share position for her into his first offer.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Accordingly it is submitted that he was not going to change his position as trial approached that the US taxes were her problem and not his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The defendants submit that in any event incorporating a minority share discount into the settlement would not have been ultimately in the plaintiff's best interest because it would have reduced the value of the shares in the family assets of which she was seeking one-half. A full share value would have increased the overall value of the family assets and the plaintiff would have received more for her one-half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In addition it is submitted a minority share discount would have provided no benefit for her because the Addendum Agreement offered her the right to sell the shares at full market value without any minority discount, and it is submitted with this right in existence it is extremely unlikely the US Internal Revenue Agency would have been prepared to accept her share value at a minority discount.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Accordingly, even if the plaintiff had known of her US tax obligations prior to settlement and sought to improve her rights in settlement by incorporating a minority share position in order to save some of her tax, that effort would not have been successful.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The defendants further submit that offering Mr. Delesalle an increased cost base and seeking compensation for payment for that benefit in settlement, would never have been successful, because there was no evidence he was in any need of any increased cost base. Therefore it remains only as a matter of pure speculation.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With the increased cost of going to trial on all the issues, it is submitted there is even less reason to conclude the plaintiff would have gone to trial over the family assets, even with knowledge of her US tax obligations.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In conclusion, the defendants submit the plaintiff has not proven any realistic chance of improving her recovery by continuing to negotiate or by going to trial, and her claim should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Alternatively, the defendants submit that if the Court finds that further negotiations with Mr. Delesalle would have had a reasonable chance of success in persuading him to contribute to her US tax obligations, the very most the plaintiff could have persuaded Mr. Delesalle to pay was 50% of her tax obligations and from this best result the Court would still have to assess the level of that chance and discount that chance appropriately.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The defendants further submit that if there is found to have been a reasonable chance for the plaintiff to negotiate a better deal with Mr. Delesalle to cover at least part of her taxes, she has failed to mitigate this claim by approaching Mr. Delesalle after the September 9, 2005 order and after she learned of her US tax obligations, to obtain his contribution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She also should have included a minority share discount in her 2005 income tax return herself, and the failure of her to do so was also a failure to mitigate her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xml:space="preserve">  Further in this regard the failure of her tax accounting firm to claim the minority share discount in her 2005 tax return should be visited on the plaintiff as her failure of mitigation, as by law a principal is responsible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its agent.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Limitation of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The defendants submit that the Engagement Agreement of March 2, 2005 was entered into by Ms. Robin as the agent for the plaintiff who was a disclosed principal to EY and Ms. Robin thereby bound the plaintiff as a party to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xml:space="preserve">  Reliance is placed on the case of </w:t>
      </w:r>
      <w:r>
        <w:rPr>
          <w:rFonts w:ascii="arial" w:eastAsia="arial" w:hAnsi="arial" w:cs="arial"/>
          <w:i/>
          <w:color w:val="000000"/>
          <w:sz w:val="20"/>
          <w:lang w:val="en-US" w:eastAsia="en-US" w:bidi="ar-SA"/>
        </w:rPr>
        <w:t>Shaw, Salter &amp; Plommer v. Phipps &amp; Cosgrove</w:t>
      </w:r>
      <w:r>
        <w:rPr>
          <w:rFonts w:ascii="arial" w:eastAsia="arial" w:hAnsi="arial" w:cs="arial"/>
          <w:color w:val="000000"/>
          <w:sz w:val="20"/>
          <w:lang w:val="en-US" w:eastAsia="en-US" w:bidi="ar-SA"/>
        </w:rPr>
        <w:t xml:space="preserve">, </w:t>
      </w:r>
      <w:hyperlink r:id="rId1147" w:history="1">
        <w:r>
          <w:rPr>
            <w:rFonts w:ascii="arial" w:eastAsia="arial" w:hAnsi="arial" w:cs="arial"/>
            <w:i/>
            <w:color w:val="0077CC"/>
            <w:sz w:val="20"/>
            <w:u w:val="single"/>
            <w:shd w:val="clear" w:color="auto" w:fill="FFFFFF"/>
            <w:lang w:val="en-US" w:eastAsia="en-US" w:bidi="ar-SA"/>
          </w:rPr>
          <w:t>[1926] B.C.J. No. 15</w:t>
        </w:r>
      </w:hyperlink>
      <w:r>
        <w:rPr>
          <w:rFonts w:ascii="arial" w:eastAsia="arial" w:hAnsi="arial" w:cs="arial"/>
          <w:color w:val="000000"/>
          <w:sz w:val="20"/>
          <w:lang w:val="en-US" w:eastAsia="en-US" w:bidi="ar-SA"/>
        </w:rPr>
        <w:t>, where Chief Justice Macdonald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 a solicitor acts for his client to the knowledge of the other contracting party, he is in the same position as a mere agent in a commercial transaction, speaks for his client and binds his client and not himself.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xml:space="preserve">  Dealing specifically with the limitation of liability provision itself, the defendants cite </w:t>
      </w:r>
      <w:r>
        <w:rPr>
          <w:rFonts w:ascii="arial" w:eastAsia="arial" w:hAnsi="arial" w:cs="arial"/>
          <w:i/>
          <w:color w:val="000000"/>
          <w:sz w:val="20"/>
          <w:lang w:val="en-US" w:eastAsia="en-US" w:bidi="ar-SA"/>
        </w:rPr>
        <w:t>Tercon Contractors Ltd. v. British Columbia (Transportation and Highways)</w:t>
      </w:r>
      <w:r>
        <w:rPr>
          <w:rFonts w:ascii="arial" w:eastAsia="arial" w:hAnsi="arial" w:cs="arial"/>
          <w:color w:val="000000"/>
          <w:sz w:val="20"/>
          <w:lang w:val="en-US" w:eastAsia="en-US" w:bidi="ar-SA"/>
        </w:rPr>
        <w:t xml:space="preserve">, </w:t>
      </w:r>
      <w:hyperlink r:id="rId593" w:history="1">
        <w:r>
          <w:rPr>
            <w:rFonts w:ascii="arial" w:eastAsia="arial" w:hAnsi="arial" w:cs="arial"/>
            <w:i/>
            <w:color w:val="0077CC"/>
            <w:sz w:val="20"/>
            <w:u w:val="single"/>
            <w:shd w:val="clear" w:color="auto" w:fill="FFFFFF"/>
            <w:lang w:val="en-US" w:eastAsia="en-US" w:bidi="ar-SA"/>
          </w:rPr>
          <w:t>2010 SCC 4</w:t>
        </w:r>
      </w:hyperlink>
      <w:r>
        <w:rPr>
          <w:rFonts w:ascii="arial" w:eastAsia="arial" w:hAnsi="arial" w:cs="arial"/>
          <w:color w:val="000000"/>
          <w:sz w:val="20"/>
          <w:lang w:val="en-US" w:eastAsia="en-US" w:bidi="ar-SA"/>
        </w:rPr>
        <w:t>, where Mr. Justice Binnie, in dissent, set out a three-prong test for determining the enforceability of an exclusion clause, which test was accepted by Mr. Justice Cromwell writing for the majority.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These three prongs are as follows:</w:t>
      </w:r>
      <w:r>
        <w:rPr>
          <w:rFonts w:ascii="arial" w:eastAsia="arial" w:hAnsi="arial" w:cs="arial"/>
          <w:sz w:val="20"/>
          <w:lang w:val="en-US" w:eastAsia="en-US" w:bidi="ar-SA"/>
        </w:rPr>
        <w:cr/>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First, whether the exclusion clause even applies to the circumstances established by the evidence;</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Second, if the exclusion clause does apply to the circumstances, whether it was unconscionable at the time the contract was made as might arise from situations of unequal bargaining power between the parties;</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Third, if the exclusion clause is held to be valid and applicable, should the court nevertheless refuse to enforce it because of an overriding public policy, proof of which lies on the party seeking to avoid enforcement of the clause, that outweighs the very strong public interest in the enforcement of contracts.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xml:space="preserve">  On the issue of unconscionability, defence counsel cites </w:t>
      </w:r>
      <w:r>
        <w:rPr>
          <w:rFonts w:ascii="arial" w:eastAsia="arial" w:hAnsi="arial" w:cs="arial"/>
          <w:i/>
          <w:color w:val="000000"/>
          <w:sz w:val="20"/>
          <w:lang w:val="en-US" w:eastAsia="en-US" w:bidi="ar-SA"/>
        </w:rPr>
        <w:t>Roy v. 1216393 Ontario Inc.</w:t>
      </w:r>
      <w:r>
        <w:rPr>
          <w:rFonts w:ascii="arial" w:eastAsia="arial" w:hAnsi="arial" w:cs="arial"/>
          <w:color w:val="000000"/>
          <w:sz w:val="20"/>
          <w:lang w:val="en-US" w:eastAsia="en-US" w:bidi="ar-SA"/>
        </w:rPr>
        <w:t xml:space="preserve">, </w:t>
      </w:r>
      <w:hyperlink r:id="rId1148" w:history="1">
        <w:r>
          <w:rPr>
            <w:rFonts w:ascii="arial" w:eastAsia="arial" w:hAnsi="arial" w:cs="arial"/>
            <w:i/>
            <w:color w:val="0077CC"/>
            <w:sz w:val="20"/>
            <w:u w:val="single"/>
            <w:shd w:val="clear" w:color="auto" w:fill="FFFFFF"/>
            <w:lang w:val="en-US" w:eastAsia="en-US" w:bidi="ar-SA"/>
          </w:rPr>
          <w:t>2011 BCCA 500</w:t>
        </w:r>
      </w:hyperlink>
      <w:r>
        <w:rPr>
          <w:rFonts w:ascii="arial" w:eastAsia="arial" w:hAnsi="arial" w:cs="arial"/>
          <w:color w:val="000000"/>
          <w:sz w:val="20"/>
          <w:lang w:val="en-US" w:eastAsia="en-US" w:bidi="ar-SA"/>
        </w:rPr>
        <w:t xml:space="preserve">, where Mr. Justice Tysoe writing for the Court accepted the requirements laid out in </w:t>
      </w:r>
      <w:r>
        <w:rPr>
          <w:rFonts w:ascii="arial" w:eastAsia="arial" w:hAnsi="arial" w:cs="arial"/>
          <w:i/>
          <w:color w:val="000000"/>
          <w:sz w:val="20"/>
          <w:lang w:val="en-US" w:eastAsia="en-US" w:bidi="ar-SA"/>
        </w:rPr>
        <w:t>Principal Investments Ltd. v. Thiele Estate</w:t>
      </w:r>
      <w:r>
        <w:rPr>
          <w:rFonts w:ascii="arial" w:eastAsia="arial" w:hAnsi="arial" w:cs="arial"/>
          <w:color w:val="000000"/>
          <w:sz w:val="20"/>
          <w:lang w:val="en-US" w:eastAsia="en-US" w:bidi="ar-SA"/>
        </w:rPr>
        <w:t xml:space="preserve"> </w:t>
      </w:r>
      <w:hyperlink r:id="rId1149" w:history="1">
        <w:r>
          <w:rPr>
            <w:rFonts w:ascii="arial" w:eastAsia="arial" w:hAnsi="arial" w:cs="arial"/>
            <w:i/>
            <w:color w:val="0077CC"/>
            <w:sz w:val="20"/>
            <w:u w:val="single"/>
            <w:shd w:val="clear" w:color="auto" w:fill="FFFFFF"/>
            <w:lang w:val="en-US" w:eastAsia="en-US" w:bidi="ar-SA"/>
          </w:rPr>
          <w:t>(1987), 12 B.C.L.R. (2d) 258</w:t>
        </w:r>
      </w:hyperlink>
      <w:r>
        <w:rPr>
          <w:rFonts w:ascii="arial" w:eastAsia="arial" w:hAnsi="arial" w:cs="arial"/>
          <w:color w:val="000000"/>
          <w:sz w:val="20"/>
          <w:lang w:val="en-US" w:eastAsia="en-US" w:bidi="ar-SA"/>
        </w:rPr>
        <w:t>, that there be proof of inequality in the positions of the parties arising out of some factor such as ignorance, need or distress of the weaker, leaving him or her in the power of the stronger, and proof of substantial unfairness in the bargain obtained by the stronger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Cain v. Clarica Life Insurance Co.</w:t>
      </w:r>
      <w:r>
        <w:rPr>
          <w:rFonts w:ascii="arial" w:eastAsia="arial" w:hAnsi="arial" w:cs="arial"/>
          <w:color w:val="000000"/>
          <w:sz w:val="20"/>
          <w:lang w:val="en-US" w:eastAsia="en-US" w:bidi="ar-SA"/>
        </w:rPr>
        <w:t xml:space="preserve">, </w:t>
      </w:r>
      <w:hyperlink r:id="rId1150" w:history="1">
        <w:r>
          <w:rPr>
            <w:rFonts w:ascii="arial" w:eastAsia="arial" w:hAnsi="arial" w:cs="arial"/>
            <w:i/>
            <w:color w:val="0077CC"/>
            <w:sz w:val="20"/>
            <w:u w:val="single"/>
            <w:shd w:val="clear" w:color="auto" w:fill="FFFFFF"/>
            <w:lang w:val="en-US" w:eastAsia="en-US" w:bidi="ar-SA"/>
          </w:rPr>
          <w:t>2005 ABCA 437</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Titus v. William F. Cooke Enterprises Inc.</w:t>
      </w:r>
      <w:r>
        <w:rPr>
          <w:rFonts w:ascii="arial" w:eastAsia="arial" w:hAnsi="arial" w:cs="arial"/>
          <w:color w:val="000000"/>
          <w:sz w:val="20"/>
          <w:lang w:val="en-US" w:eastAsia="en-US" w:bidi="ar-SA"/>
        </w:rPr>
        <w:t xml:space="preserve">, </w:t>
      </w:r>
      <w:hyperlink r:id="rId1151" w:history="1">
        <w:r>
          <w:rPr>
            <w:rFonts w:ascii="arial" w:eastAsia="arial" w:hAnsi="arial" w:cs="arial"/>
            <w:i/>
            <w:color w:val="0077CC"/>
            <w:sz w:val="20"/>
            <w:u w:val="single"/>
            <w:shd w:val="clear" w:color="auto" w:fill="FFFFFF"/>
            <w:lang w:val="en-US" w:eastAsia="en-US" w:bidi="ar-SA"/>
          </w:rPr>
          <w:t>2007 ONCA 573</w:t>
        </w:r>
      </w:hyperlink>
      <w:r>
        <w:rPr>
          <w:rFonts w:ascii="arial" w:eastAsia="arial" w:hAnsi="arial" w:cs="arial"/>
          <w:color w:val="000000"/>
          <w:sz w:val="20"/>
          <w:lang w:val="en-US" w:eastAsia="en-US" w:bidi="ar-SA"/>
        </w:rPr>
        <w:t>, four necessary elements for a finding of unconscionability were set out as follows:</w:t>
      </w:r>
      <w:r>
        <w:rPr>
          <w:rFonts w:ascii="arial" w:eastAsia="arial" w:hAnsi="arial" w:cs="arial"/>
          <w:sz w:val="20"/>
          <w:lang w:val="en-US" w:eastAsia="en-US" w:bidi="ar-SA"/>
        </w:rPr>
        <w:cr/>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grossly unfair and improvident transaction; and</w:t>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victim's lack of independent legal advice or other suitable advice; and</w:t>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overwhelming imbalance in bargaining power caused by the victim's ignorance of business, illiteracy, ignorance of the language of the bargain, blindness, deafness, illness, senility, or similar disability; and</w:t>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other party knowingly taking advantage of this vulnerability.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Ma v. MIV Therapeutics Inc.</w:t>
      </w:r>
      <w:r>
        <w:rPr>
          <w:rFonts w:ascii="arial" w:eastAsia="arial" w:hAnsi="arial" w:cs="arial"/>
          <w:color w:val="000000"/>
          <w:sz w:val="20"/>
          <w:lang w:val="en-US" w:eastAsia="en-US" w:bidi="ar-SA"/>
        </w:rPr>
        <w:t xml:space="preserve">, </w:t>
      </w:r>
      <w:hyperlink r:id="rId1152" w:history="1">
        <w:r>
          <w:rPr>
            <w:rFonts w:ascii="arial" w:eastAsia="arial" w:hAnsi="arial" w:cs="arial"/>
            <w:i/>
            <w:color w:val="0077CC"/>
            <w:sz w:val="20"/>
            <w:u w:val="single"/>
            <w:shd w:val="clear" w:color="auto" w:fill="FFFFFF"/>
            <w:lang w:val="en-US" w:eastAsia="en-US" w:bidi="ar-SA"/>
          </w:rPr>
          <w:t>2004 BCCA 483</w:t>
        </w:r>
      </w:hyperlink>
      <w:r>
        <w:rPr>
          <w:rFonts w:ascii="arial" w:eastAsia="arial" w:hAnsi="arial" w:cs="arial"/>
          <w:color w:val="000000"/>
          <w:sz w:val="20"/>
          <w:lang w:val="en-US" w:eastAsia="en-US" w:bidi="ar-SA"/>
        </w:rPr>
        <w:t>, Mr. Justice Braidwood writing for the Court said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do not suggest that the question of independent advice would carry the day in every case, but in most cases, as here, its presence will be overwhelming.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Here it is submitted the plaintiff was privy to the Engagement Agreement and it is therefore binding on her. It was executed by Ms. Robin on her behalf and on instructions from her. She was the disclosed principal and Ms. Robin was her agent. The plaintiff knew the services to be performed under the Agreement were for her benefit and she would be responsible for paying for these services which she in fact did pay for.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It is submitted that the loss of the plaintiff clearly falls within the limitation of liability provision because the "claim" referred to in the provision could only be the plaintiff's claim as Schuman Daltrop would have no claim against EY for any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It is submitted the plaintiff had the benefit of independent legal advice from Ms. Robin for this Engagement Agreement and therefore the limitation of liability provision within the Agreement cannot be considered as an unconscionable attempt by EY to take advantage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In addition there is no evidence to suggest the plaintiff had no other choices for tax advisors and therefore there is no unfairness in enforcing the limitation of liability provision against the plaintiff as a matter of public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xml:space="preserve">  The Engagement Agreement of the other tax accounting firm has a limitation of liability provision in it that excepts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wilful misconduct, so it is not true to say that the plaintiff or Ms. Robin had no choice but to accept the Engagement Agreement prepared by 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For all of the above reasons, the plaintiff's claim to avoid the limitation of liability provision should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It is submitted that under the Engagement Agreement the plaintiff's only claims against EY are for EY's fees of $15,315.51.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ANALYSIS AND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The plaintiff says that by 2004 she just wanted the dispute to be over with her husband. While she wanted some give and take between them, she did not want to go to war but wanted to move on with her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She also considered the settlement reflected in the December 9, 2005 court order to be unfair to her, but says that she did not want to fight about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Her counsel, Ms. Robin, also considered a settlement of all issues other than the preference shares to be in the best interests of the plaintiff, in order to avoid the risk of some assets included in the settlement not being considered family assets at trial, the risk of some of those assets not having the full value assigned to them for settlement purposes, and the risk of a trade-off of assets at trial rather than a substantial cash payment to the plaintiff. In addition there was the increasing cost of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Finally there was a risk at trial that the plaintiff would be required to sell her shares to DHL under the Addendum Agreement and may not have been able to claim any minority share tax position with the US Internal Revenue Service ("IRS"), because the Addendum Agreement called for a sale at full market value with no minority discount.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This possibility would have left the plaintiff in the same position she did end up in after the IRS assessed her full tax on the sale of her shares at their full market value on her 2005 tax return.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I accept all this evidence and conclude the plaintiff would not have gone to trial even with knowledge of her US tax obligations.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Mr. Delesalle was resolute from the beginning that he was not going to bear any responsibility for the plaintiff's US tax obligations. He did however offer a minority share tax position to her in settlement but otherwise his offers do not indicate any significant movement from his original position, and he did not in fact move very far in final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There was no onus on the defendants to call Mr. Delesalle as a witness. The onus rested on the plaintiff if she wished to prove he would have agreed to something different than the consent order of September 9,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I am unable to accept that Mr. Delesalle would have moved any further than he already did in settlement. To determine otherwise in my opinion would amount to pure speculation. I conclude he would not have agreed to assume any of her tax liability nor given up the Whistler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The plaintiff never sought the Whistler property in settlement negotiations. She wanted the Surrey matrimonial home where she lived with her children. I have significant doubts that she would have jeopardized her ability to obtain that property by opening up the negotiations to include the Whistler property. I find that she has not satisfied her onus to prove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The plaintiff also never really pursued her spousal support claim even though Ms. Robin says it was a major concession to give it up. The negotiations were always about the properties and other assets only, and her wish to obtain a lot of cash in settlement and not continue the war in litigation. As it was, she still obtained a lot of cash in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I am not prepared to find she has satisfied her onus on this issue either.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The defendants suggest that the plaintiff could have relied on the legal doctrine of unilateral mistake to force Mr. Delesalle to increase his settlement offer after her tax position became clear.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I am unable to accept this submission as the doctrine of unilateral mistake requires a finding that Mr. Delesalle knew that Ms. Felty had to pay US tax regardless of the tax advice she was receiving that no US tax was payable.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This finding is unlikely when Mr. Harvey had already declared that the US taxes were the plaintiff's problem so that she was on notice of this, and it was not Mr. Delesalle's problem, and the plaintiff was receiving her tax advice from a US tax expert.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There is no obligation on a party to take on risky litigation which I consider this would have been.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In addition, by April 2006 when the plaintiff was told of her tax obligations, I expect that settlement as set out in the consent order had already completed at least in part with the exchange of assets and money so it was probably too late to do anything about the terms of settlement.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Mitigation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The plaintiff's tax loss could not be mitigated by claiming a minority share tax benefit after September 9, 2005 for the following reason.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Any claim for minority share tax benefit taken by the plaintiff in her 2005 tax return or following would have resulted in the US IRS requiring proof of that, and the only document that was in existence that confirmed the actual settlement was the consent order of September 9, 2005 which did not disclose a minority share tax claim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After the September 9, 2005 order the taxes could not be mitigated further through a claim of a minority share tax benefit.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Claim against Ms. Jacob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I dismiss the claim against Ms. Jacob on the evidence and apart from any protection she has in the Engagement Agreement. She did not do anything negligently. She obtained US tax advice as she told Ms. Robin she needed to do and she forwarded that US tax advice on to Ms. Robin. Ms. Robin did not look to Ms. Jacob for that US tax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Ms. Jacob had no duty to analyze or question Mr. Hobson's opinion when it was received. She had already informed Ms. Robin she had no ability to give US tax advice. Both she and Ms. Robin were relying upon Mr. Hobson's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xml:space="preserve">  Ms. Jacob also did not commit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telling Ms. Robin what to say about s. 1041 of the </w:t>
      </w:r>
      <w:r>
        <w:rPr>
          <w:rFonts w:ascii="arial" w:eastAsia="arial" w:hAnsi="arial" w:cs="arial"/>
          <w:i/>
          <w:color w:val="000000"/>
          <w:sz w:val="20"/>
          <w:lang w:val="en-US" w:eastAsia="en-US" w:bidi="ar-SA"/>
        </w:rPr>
        <w:t>I.R. Code</w:t>
      </w:r>
      <w:r>
        <w:rPr>
          <w:rFonts w:ascii="arial" w:eastAsia="arial" w:hAnsi="arial" w:cs="arial"/>
          <w:color w:val="000000"/>
          <w:sz w:val="20"/>
          <w:lang w:val="en-US" w:eastAsia="en-US" w:bidi="ar-SA"/>
        </w:rPr>
        <w:t xml:space="preserve"> in the consent order. I find that Ms. Robin was told to include no more than what Mr. Hobson said to include and Ms. Robin understood that and was not looking to Ms. Jacob for any further advice.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Limitation of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I find the plaintiff was given a copy of the March 2, 2005 Engagement Agreement by Ms. Robin before Ms. Robin executed it and she read the standard terms and conditions and gave Ms. Robin authority to incur the fees quoted.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The plaintiff says that it would have been normal practice for her to have seen these kinds of agreements and read these standard terms and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I find the plaintiff authorized Ms. Robin to retain EY for the US tax advice and knew that it would be on her behalf and she accepted responsibility to pay those EY fees. She reimbursed Ms. Robin for these fees and directly paid some of them herself.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The first and most fundamental issue is whether the Engagement Agreement was entered into with the law firm only as the plaintiff's agent on her behalf, or only with the law firm as the principal, or with the law firm signing as both principal and agent for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The Agreement was addressed to Ms. Robin at her law firm and included a place at the end of the Agreement for her signature on behalf of the law firm. It did not indicate that it was to be signed by Ms. Robin on behalf of the plaintiff as well and there was no place for the plaintiff's signature personally or for Ms. Robin to indicate she was signing on her behalf.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I am confident the Agreement was not addressed to the plaintiff for signature because EY had no information about the plaintiff's ability to pay their fees directly or to honour the other obligations of the "client" in the Agreement and the plaintiff had not sought to retain their services in the first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I conclude the "client" in the standard terms and conditions that were incorporated into the Agreement must be Ms. Robin and her law firm and not the plaintiff because there are obligations put on the "client" in the Agreement that could only refer to the law firm in my 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I am also confident the Agreement was only addressed to Ms. Robin and her law firm because the law firm was a major downtown law firm that could be expected to honour its obligations under the Agreement as the "client" and it had been the one to seek EY's services in the first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I conclude EY wanted the law firm as a contracting party with the obligations in the Agreement placed upon it. I therefore conclude the law firm was one of the contracting parties in its own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The Agreement indicates that the advice is to be given to Ms. Robin's law firm concerning the tax implications to the plaintiff and it states that all advice and other services pursuant to the Agreement are intended to be solely for the benefit of both the law firm and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The limitation of liability provision in the standard terms and conditions limits EY's total liability for any claim arising out of the performance of its services to the total fees paid to EY for its services. The limitation of liability section in the standard terms and conditions sets out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parties agree that:</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EY's total liability for any Claim arising out of the performance of the Services, regardless of the form of Claim, shall in no event exceed an amount equal to the total fees paid to EY for the Services. This clause shall not limit EY's liability for death, personal injury or property damage caused by the negligent acts or omissions of EY and its partners and staff, or for loss or damage caused by their fraud or wilful misconduct.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The only way the plaintiff can be subject to this limitation of liability is if it is found that the plaintiff is also a "party" to this provision and it is found that the law firm signed the Agreement on its own behalf and also as agent for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This being a limitation of liability provision in a contract, the onus rests on EY to prove that this provision in the Agreement applies to the plaintiff as a contracting party through the agency of Ms. Robin and her law firm.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The defendants submit the plaintiff is privy to the Agreement and it is binding on her because she was a disclosed principal, Ms. Robin was her agent, and Ms. Robin executed the Agreement on her behalf and on her instructions.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xml:space="preserve">  Reliance is placed on the decision in </w:t>
      </w:r>
      <w:r>
        <w:rPr>
          <w:rFonts w:ascii="arial" w:eastAsia="arial" w:hAnsi="arial" w:cs="arial"/>
          <w:i/>
          <w:color w:val="000000"/>
          <w:sz w:val="20"/>
          <w:lang w:val="en-US" w:eastAsia="en-US" w:bidi="ar-SA"/>
        </w:rPr>
        <w:t>Shaw, Salter &amp; Plommer v. Phipps &amp; Cosgrov</w:t>
      </w:r>
      <w:r>
        <w:rPr>
          <w:rFonts w:ascii="arial" w:eastAsia="arial" w:hAnsi="arial" w:cs="arial"/>
          <w:color w:val="000000"/>
          <w:sz w:val="20"/>
          <w:lang w:val="en-US" w:eastAsia="en-US" w:bidi="ar-SA"/>
        </w:rPr>
        <w:t xml:space="preserve"> e (1926), 37 B.C.R. 184 where it was stated by Macdonald C.J.A. at para. 1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 a solicitor acts for his client to the knowledge of the other contracting party, he is in the same position as a mere agent in a commercial transaction, speaks for his client and binds his client and not himself.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However, Macdonald C.J.A. went on to say in the same passage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therefore, no question that the general rule applies unless the solicitor has made himself, by contract, personally responsible.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That is the situation here. Ms. Robin clearly made her law firm personally liable on the Agreement, so the decision is distinguishable to that extent.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It is also interesting to note the judgment of Galliher J.A. in the same case where it was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 I have been unable to find in the evidence that has been cited to us, and some that I have read myself in the appeal book not cited, that there is sufficient to take this case out of the general rule which seems to be laid down in the decided cases. I may say, that it seems a little strange, in a sense, that a solicitor goes to some person, who has absolutely no interest in the action at all, and requires his services as a witness to assist him in the case he is conducting for his client and the witness perhaps may not know the parties for whom the solicitor is acting or know anything about it, yet he is engaged to do certain work in connection with the matter, and to give evidence upon it which will assist the parties employing him in the action when it comes to hearing.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 However, I am not making the law and I am bound by the authorities. Under the authorities I see no escape from it, that there is no evidence from which we can draw the almost conclusive inference that it was the solicitor who was contracting on his own behalf, or making himself responsible, at all events, and when one finds himself in such a position, one must be guided by the authorities. I have to come to the conclusion that the appeal should be allowed.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The judgment of McPhillips J.A. also expressed some regret at having to allow the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xml:space="preserve">  The plaintiff cites </w:t>
      </w:r>
      <w:r>
        <w:rPr>
          <w:rFonts w:ascii="arial" w:eastAsia="arial" w:hAnsi="arial" w:cs="arial"/>
          <w:i/>
          <w:color w:val="000000"/>
          <w:sz w:val="20"/>
          <w:lang w:val="en-US" w:eastAsia="en-US" w:bidi="ar-SA"/>
        </w:rPr>
        <w:t>Her Majesty the Queen v. Merchant Law Group</w:t>
      </w:r>
      <w:r>
        <w:rPr>
          <w:rFonts w:ascii="arial" w:eastAsia="arial" w:hAnsi="arial" w:cs="arial"/>
          <w:color w:val="000000"/>
          <w:sz w:val="20"/>
          <w:lang w:val="en-US" w:eastAsia="en-US" w:bidi="ar-SA"/>
        </w:rPr>
        <w:t xml:space="preserve">, </w:t>
      </w:r>
      <w:hyperlink r:id="rId1143" w:history="1">
        <w:r>
          <w:rPr>
            <w:rFonts w:ascii="arial" w:eastAsia="arial" w:hAnsi="arial" w:cs="arial"/>
            <w:i/>
            <w:color w:val="0077CC"/>
            <w:sz w:val="20"/>
            <w:u w:val="single"/>
            <w:shd w:val="clear" w:color="auto" w:fill="FFFFFF"/>
            <w:lang w:val="en-US" w:eastAsia="en-US" w:bidi="ar-SA"/>
          </w:rPr>
          <w:t>2010 FCA 206</w:t>
        </w:r>
      </w:hyperlink>
      <w:r>
        <w:rPr>
          <w:rFonts w:ascii="arial" w:eastAsia="arial" w:hAnsi="arial" w:cs="arial"/>
          <w:color w:val="000000"/>
          <w:sz w:val="20"/>
          <w:lang w:val="en-US" w:eastAsia="en-US" w:bidi="ar-SA"/>
        </w:rPr>
        <w:t>, where Dawson J.A., giving reasons for the court, said at para. 25: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25 In my respectful view, the Judge erred in law by relying upon the general nature of the solicitor-client relationship. As a matter of law it does not follow that, because the solicitor-client relationship is generally one of agency, all financial obligations incurred by a lawyer while providing legal services are incurred as agent of its clients.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The issue in that case was whether the law firm incurred certain disbursements for its own benefit or as agent for its clients. The Minister of National Revenue was seeking the payment of GST from the law firm for these disbursements and the law firm was opposing on the basis that the disbursements were all incurred for its clients and not for its own benefit.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Early in his judgment Dawson J.A. set out the following at paras. 12-14: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 Disbursements incurred by a lawyer can be incurred in one of two ways. Disbursements can be incurred by a lawyer as the client's agent, or can be the lawyer's own expense incurred in the course of providing legal services. There is no dispute about how disbursements should be treated in either situation.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 In the former situation, the lawyer is not the recipient of the supply as defined by subsection 123(1) of the Act so long as the lawyer is not the entity liable to pay the consideration owing under the agreement with the third-party supplier. The lawyer does not provide a supply. The lawyer is simply acting as an agent or conduit of his or her principal. In such case, the disbursement does not form part of the lawyer's expenses. It is the client's obligation and the lawyer pays the account on the client's behalf.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 In the latter situation, where the lawyer is a "recipient" of a supply, the disbursement is the lawyer's expense. The client may reimburse the lawyer for the expense, but the client had no obligation to pay the third-party supplier. The lawyer incurred the expense in order to provide legal services to the client. Because the goods or services were acquired for use or consumption in the course of providing legal services, lawyers who are GST registrants may claim an input tax credit so as to remove GST from the original disbursement. The pre-GST disbursement is then charged by the lawyer to the client. If exigible, GST is then levied on the entire account to the client, including the pre-GST disbursement.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In the end result because of a lack of evidence Dawson J.A. said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26 The absence of any evidence to support the conclusion that it was the respondent's clients who were bound to the contracts with third-party suppliers means that the respondent could not meet the onus upon it to establish that it acted as agent for its clients when it incurred disbursements. It follows that goods and services that attracted the disbursements were taxable supplies received by the respondent so that it was required to collect and remit GST on the disbursements.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In the situation before me Ms. Robin clearly took on the obligation on behalf of her firm to pay EY's account and carry out the other responsibilities of the "client" under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251</w:t>
      </w:r>
      <w:r>
        <w:rPr>
          <w:rFonts w:ascii="arial" w:eastAsia="arial" w:hAnsi="arial" w:cs="arial"/>
          <w:color w:val="000000"/>
          <w:sz w:val="20"/>
          <w:lang w:val="en-US" w:eastAsia="en-US" w:bidi="ar-SA"/>
        </w:rPr>
        <w:t>  The question remains whether the plaintiff was equally obliged to pay the EY account directly if called upon to do so, and took on any obligations that are set down to be carried out by the "party" in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252</w:t>
      </w:r>
      <w:r>
        <w:rPr>
          <w:rFonts w:ascii="arial" w:eastAsia="arial" w:hAnsi="arial" w:cs="arial"/>
          <w:color w:val="000000"/>
          <w:sz w:val="20"/>
          <w:lang w:val="en-US" w:eastAsia="en-US" w:bidi="ar-SA"/>
        </w:rPr>
        <w:t>  This would include being subject to the limitation of liability provision.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253</w:t>
      </w:r>
      <w:r>
        <w:rPr>
          <w:rFonts w:ascii="arial" w:eastAsia="arial" w:hAnsi="arial" w:cs="arial"/>
          <w:color w:val="000000"/>
          <w:sz w:val="20"/>
          <w:lang w:val="en-US" w:eastAsia="en-US" w:bidi="ar-SA"/>
        </w:rPr>
        <w:t>  Most of the case law and text books on agency deal with the issues of whether the agent was acting only as an agent within its authority for a disclosed principal, in which case the principal has liability directly to the third party and the agent does not, or the agent was acting for an undisclosed principal, in which case the agent can have personal liability to the third party and the principal may or may not have liability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254</w:t>
      </w:r>
      <w:r>
        <w:rPr>
          <w:rFonts w:ascii="arial" w:eastAsia="arial" w:hAnsi="arial" w:cs="arial"/>
          <w:color w:val="000000"/>
          <w:sz w:val="20"/>
          <w:lang w:val="en-US" w:eastAsia="en-US" w:bidi="ar-SA"/>
        </w:rPr>
        <w:t>  There are very few cases where the agent contracts personally and the issue is whether the agent is also contracting as agent on behalf of the principal.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255</w:t>
      </w:r>
      <w:r>
        <w:rPr>
          <w:rFonts w:ascii="arial" w:eastAsia="arial" w:hAnsi="arial" w:cs="arial"/>
          <w:color w:val="000000"/>
          <w:sz w:val="20"/>
          <w:lang w:val="en-US" w:eastAsia="en-US" w:bidi="ar-SA"/>
        </w:rPr>
        <w:t>  Here the principal, being the plaintiff, was disclosed in the Agreement and the Agreement was stated to be for her benefit as well as for the benefit of the law firm.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256</w:t>
      </w:r>
      <w:r>
        <w:rPr>
          <w:rFonts w:ascii="arial" w:eastAsia="arial" w:hAnsi="arial" w:cs="arial"/>
          <w:color w:val="000000"/>
          <w:sz w:val="20"/>
          <w:lang w:val="en-US" w:eastAsia="en-US" w:bidi="ar-SA"/>
        </w:rPr>
        <w:t>  This is a close call as in my view this Agreement is not particularly well-drafted.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257</w:t>
      </w:r>
      <w:r>
        <w:rPr>
          <w:rFonts w:ascii="arial" w:eastAsia="arial" w:hAnsi="arial" w:cs="arial"/>
          <w:color w:val="000000"/>
          <w:sz w:val="20"/>
          <w:lang w:val="en-US" w:eastAsia="en-US" w:bidi="ar-SA"/>
        </w:rPr>
        <w:t>  On balance, however, with some reservation, I conclude that Ms. Robin also bound the plaintiff as her principal to at least some of the requirements in the Agreement including the limitation of liability provision in the standard terms and conditions. I agree with the defence that this provision only makes sense if applied to the plaintiff as she is the only one who might have a claim against 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258</w:t>
      </w:r>
      <w:r>
        <w:rPr>
          <w:rFonts w:ascii="arial" w:eastAsia="arial" w:hAnsi="arial" w:cs="arial"/>
          <w:color w:val="000000"/>
          <w:sz w:val="20"/>
          <w:lang w:val="en-US" w:eastAsia="en-US" w:bidi="ar-SA"/>
        </w:rPr>
        <w:t>  I also do not find the limitation of liability provision in the Engagement Agreement to be an unconscionable inclusion in the Agreement. The plaintiff was independently advised with legal advice from Ms. Robin and the evidence is that there was at least one other available choice for Ms. Robin to retain and that was the plaintiff's income tax accounting firm that had a different and less onerous limitation of liability provision in its Engagement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259</w:t>
      </w:r>
      <w:r>
        <w:rPr>
          <w:rFonts w:ascii="arial" w:eastAsia="arial" w:hAnsi="arial" w:cs="arial"/>
          <w:color w:val="000000"/>
          <w:sz w:val="20"/>
          <w:lang w:val="en-US" w:eastAsia="en-US" w:bidi="ar-SA"/>
        </w:rPr>
        <w:t>  Accordingly I must limit the plaintiff's claims to the amount of the fees paid to EY to its services of $15,314.95.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J.D. TRUSCOTT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pPr>
      <w:r>
        <w:rPr>
          <w:rFonts w:ascii="arial" w:eastAsia="arial" w:hAnsi="arial" w:cs="arial"/>
          <w:sz w:val="20"/>
          <w:lang w:val="en-US" w:eastAsia="en-US" w:bidi="ar-SA"/>
        </w:rPr>
        <w:br/>
      </w:r>
      <w:r>
        <w:pict>
          <v:line id="_x0000_s1263" style="position:absolute;z-index:251894784"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Fabian v. Song, [2018] B.C.J. No. 896</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Karim v. Li, [2015] B.C.J. No. 618</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Kilian v. Valentin, [2012] B.C.J. No. 2009</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Lewis v. Gibson, [2018] B.C.J. No. 3341</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Worobetz v. Fooks, [2015] B.C.J. No. 171</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Ashabi v. Lemaire, [2002] B.C.J. No. 1396</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Bingo City Games Inc. v. British Columbia Lottery Corp., [2003] B.C.J. No. 2895</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Chouinard v. O'Connor, [2011] B.C.J. No. 1397</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Cojocaru (Guardian ad litem of) v. British Columbia Women's Hospital and Health Center, [2009] B.C.J. No. 731</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Morgan v. Sun Peaks Resort Corporation, [2013] I.L.R. para. G-2539</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 v. D.J.W., [2009] B.C.J. No. 2015</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Salo v. Insurance Corp. of British Columbia, [2017] I.L.R. para. M-3016</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Widdowson v. Rockwell, [2017] I.L.R. para. G-2769</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Riley v. Ritsco, [2017] B.C.J. No. 1070</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Ball v. GAP (Canada) Inc., [2001] B.C.J. No. 1545</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Bryan v. Gill, [2013] B.C.J. No. 2282</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Burnett Estate v. St. Jude Medical, Inc., [2009] B.C.J. No. 2403</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College of New Caledonia v. Kraft Construction Co., [2007] B.C.J. No. 2065</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Cryderman v. Giesbrecht, [2006] B.C.J. No. 1148</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Dimen v. Binning, [2007] B.C.J. No. 2732</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Forest &amp; Marine Financial Limited Partnership v. Triple C Logging Co., [2002] B.C.J. No. 2202</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Gemex Developments Corp. v. Coquitlam (City), [2009] B.C.J. No. 93</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Guzman Gonzalez v. Dueck, [2012] B.C.J. No. 1101</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Gwininitxw v. British Columbia (Attorney General), [2013] B.C.J. No. 2383</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Jalbert v. Saanich (District), [2007] B.C.J. No. 1028</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Jim Pattison Enterprises v. British Columbia (Workers' Compensation Board), [2009] B.C.J. No. 156</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Jones v. Treloar, [2013] B.C.J. No. 496</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Krause v. Gill, [2006] B.C.J. No. 2203</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Peragine v. Serena, [2012] B.C.J. No. 1698</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Peterson v. Cabot, [2000] B.C.J. No. 2088</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Pitcher v. Brown, [2015] B.C.J. No. 1737</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Precision Plating Ltd. v. Axa Pacific Insurance Co., [2014] B.C.J. No. 649</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Qualizza v. Lee, [2007] B.C.J. No. 429</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Roy v. Canada (Attorney General), [2002] B.C.J. No. 1587</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Schulze (Litigation guardian of) v. Strain, [2010] B.C.J. No. 2090</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Thomson v. Hunt, [2010] B.C.J. No. 2615</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Townline Enterprises Ltd. v. Pollex, [2010] B.C.J. No. 1035</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Warlow v. Dr. Sadeghi, [2019] B.C.J. No. 517</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W.J.R. v. British Columbia, [2005] B.C.J. No. 561</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Zalaba v. Lau, [2017] B.C.J. No. 622</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Gilbert v. Bottle, [2011] B.C.J. No. 1931</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Ward v. Klaus, [2010] B.C.J. No. 1695</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Tejani (Guardian ad litem of) v. Greenan, [2001] B.C.J. No. 1749</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Birkich (Litigation guardian of) v. Cantafio, [2016] B.C.J. No. 44</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Leweke v. Saanich School District No. 63, [2004] B.C.J. No. 1985</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Chingee v. British Columbia, [2016] B.C.J. No. 866</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CIC Capital Fund Ltd. v. Rawlinson, 2016 CCSG para. 51,553</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Curtenau v. Kapusianyk, [2001] B.C.J. No. 1855</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Deo (Litigation guardian of) v. Vancouver School District No. 39, [2017] B.C.J. No. 1251</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Felty v. Ernst &amp; Young LLP, [2013] B.C.J. No. 961</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2"/>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4"/>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2"/>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3"/>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4"/>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5"/>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6"/>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7"/>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8"/>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lowerRoman"/>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0"/>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2"/>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3"/>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4"/>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5"/>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6"/>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7"/>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2"/>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3"/>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4"/>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000001F"/>
    <w:multiLevelType w:val="multilevel"/>
    <w:tmpl w:val="0000001F"/>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0000020"/>
    <w:multiLevelType w:val="multilevel"/>
    <w:tmpl w:val="00000020"/>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00000021"/>
    <w:multiLevelType w:val="multilevel"/>
    <w:tmpl w:val="0000002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00000022"/>
    <w:multiLevelType w:val="multilevel"/>
    <w:tmpl w:val="00000022"/>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00000023"/>
    <w:multiLevelType w:val="multilevel"/>
    <w:tmpl w:val="00000023"/>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00000024"/>
    <w:multiLevelType w:val="multilevel"/>
    <w:tmpl w:val="00000024"/>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00000025"/>
    <w:multiLevelType w:val="multilevel"/>
    <w:tmpl w:val="00000025"/>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00000026"/>
    <w:multiLevelType w:val="multilevel"/>
    <w:tmpl w:val="00000026"/>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00000027"/>
    <w:multiLevelType w:val="multilevel"/>
    <w:tmpl w:val="00000027"/>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nsid w:val="00000028"/>
    <w:multiLevelType w:val="multilevel"/>
    <w:tmpl w:val="00000028"/>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nsid w:val="00000029"/>
    <w:multiLevelType w:val="multilevel"/>
    <w:tmpl w:val="00000029"/>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nsid w:val="0000002A"/>
    <w:multiLevelType w:val="multilevel"/>
    <w:tmpl w:val="0000002A"/>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nsid w:val="0000002B"/>
    <w:multiLevelType w:val="multilevel"/>
    <w:tmpl w:val="0000002B"/>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nsid w:val="0000002C"/>
    <w:multiLevelType w:val="multilevel"/>
    <w:tmpl w:val="0000002C"/>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nsid w:val="0000002D"/>
    <w:multiLevelType w:val="multilevel"/>
    <w:tmpl w:val="0000002D"/>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nsid w:val="0000002E"/>
    <w:multiLevelType w:val="multilevel"/>
    <w:tmpl w:val="0000002E"/>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nsid w:val="0000002F"/>
    <w:multiLevelType w:val="multilevel"/>
    <w:tmpl w:val="0000002F"/>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nsid w:val="00000030"/>
    <w:multiLevelType w:val="multilevel"/>
    <w:tmpl w:val="00000030"/>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
    <w:nsid w:val="00000031"/>
    <w:multiLevelType w:val="multilevel"/>
    <w:tmpl w:val="00000031"/>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
    <w:nsid w:val="00000032"/>
    <w:multiLevelType w:val="multilevel"/>
    <w:tmpl w:val="00000032"/>
    <w:lvl w:ilvl="0">
      <w:start w:val="2"/>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
    <w:nsid w:val="00000033"/>
    <w:multiLevelType w:val="multilevel"/>
    <w:tmpl w:val="00000033"/>
    <w:lvl w:ilvl="0">
      <w:start w:val="3"/>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nsid w:val="00000034"/>
    <w:multiLevelType w:val="multilevel"/>
    <w:tmpl w:val="00000034"/>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2">
    <w:nsid w:val="00000035"/>
    <w:multiLevelType w:val="multilevel"/>
    <w:tmpl w:val="00000035"/>
    <w:lvl w:ilvl="0">
      <w:start w:val="2"/>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3">
    <w:nsid w:val="00000036"/>
    <w:multiLevelType w:val="multilevel"/>
    <w:tmpl w:val="00000036"/>
    <w:lvl w:ilvl="0">
      <w:start w:val="3"/>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4">
    <w:nsid w:val="00000037"/>
    <w:multiLevelType w:val="multilevel"/>
    <w:tmpl w:val="00000037"/>
    <w:lvl w:ilvl="0">
      <w:start w:val="4"/>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5">
    <w:nsid w:val="00000038"/>
    <w:multiLevelType w:val="multilevel"/>
    <w:tmpl w:val="00000038"/>
    <w:lvl w:ilvl="0">
      <w:start w:val="5"/>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6">
    <w:nsid w:val="00000039"/>
    <w:multiLevelType w:val="multilevel"/>
    <w:tmpl w:val="00000039"/>
    <w:lvl w:ilvl="0">
      <w:start w:val="6"/>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7">
    <w:nsid w:val="0000003A"/>
    <w:multiLevelType w:val="multilevel"/>
    <w:tmpl w:val="0000003A"/>
    <w:lvl w:ilvl="0">
      <w:start w:val="7"/>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8">
    <w:nsid w:val="0000003B"/>
    <w:multiLevelType w:val="multilevel"/>
    <w:tmpl w:val="0000003B"/>
    <w:lvl w:ilvl="0">
      <w:start w:val="8"/>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9">
    <w:nsid w:val="0000003C"/>
    <w:multiLevelType w:val="multilevel"/>
    <w:tmpl w:val="0000003C"/>
    <w:lvl w:ilvl="0">
      <w:start w:val="1"/>
      <w:numFmt w:val="lowerRoman"/>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0">
    <w:nsid w:val="0000003D"/>
    <w:multiLevelType w:val="multilevel"/>
    <w:tmpl w:val="0000003D"/>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1">
    <w:nsid w:val="0000003E"/>
    <w:multiLevelType w:val="multilevel"/>
    <w:tmpl w:val="0000003E"/>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2">
    <w:nsid w:val="0000003F"/>
    <w:multiLevelType w:val="multilevel"/>
    <w:tmpl w:val="0000003F"/>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3">
    <w:nsid w:val="00000040"/>
    <w:multiLevelType w:val="multilevel"/>
    <w:tmpl w:val="00000040"/>
    <w:lvl w:ilvl="0">
      <w:start w:val="4"/>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4">
    <w:nsid w:val="00000041"/>
    <w:multiLevelType w:val="multilevel"/>
    <w:tmpl w:val="00000041"/>
    <w:lvl w:ilvl="0">
      <w:start w:val="5"/>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5">
    <w:nsid w:val="00000042"/>
    <w:multiLevelType w:val="multilevel"/>
    <w:tmpl w:val="00000042"/>
    <w:lvl w:ilvl="0">
      <w:start w:val="6"/>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6">
    <w:nsid w:val="00000043"/>
    <w:multiLevelType w:val="multilevel"/>
    <w:tmpl w:val="00000043"/>
    <w:lvl w:ilvl="0">
      <w:start w:val="7"/>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7">
    <w:nsid w:val="00000044"/>
    <w:multiLevelType w:val="multilevel"/>
    <w:tmpl w:val="00000044"/>
    <w:lvl w:ilvl="0">
      <w:start w:val="8"/>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8">
    <w:nsid w:val="00000045"/>
    <w:multiLevelType w:val="multilevel"/>
    <w:tmpl w:val="00000045"/>
    <w:lvl w:ilvl="0">
      <w:start w:val="1"/>
      <w:numFmt w:val="lowerRoman"/>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9">
    <w:nsid w:val="00000046"/>
    <w:multiLevelType w:val="multilevel"/>
    <w:tmpl w:val="00000046"/>
    <w:lvl w:ilvl="0">
      <w:start w:val="10"/>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0">
    <w:nsid w:val="00000047"/>
    <w:multiLevelType w:val="multilevel"/>
    <w:tmpl w:val="00000047"/>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1">
    <w:nsid w:val="00000048"/>
    <w:multiLevelType w:val="multilevel"/>
    <w:tmpl w:val="00000048"/>
    <w:lvl w:ilvl="0">
      <w:start w:val="2"/>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2">
    <w:nsid w:val="00000049"/>
    <w:multiLevelType w:val="multilevel"/>
    <w:tmpl w:val="00000049"/>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3">
    <w:nsid w:val="0000004A"/>
    <w:multiLevelType w:val="multilevel"/>
    <w:tmpl w:val="0000004A"/>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4">
    <w:nsid w:val="0000004B"/>
    <w:multiLevelType w:val="multilevel"/>
    <w:tmpl w:val="0000004B"/>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5">
    <w:nsid w:val="0000004C"/>
    <w:multiLevelType w:val="multilevel"/>
    <w:tmpl w:val="0000004C"/>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6">
    <w:nsid w:val="0000004D"/>
    <w:multiLevelType w:val="multilevel"/>
    <w:tmpl w:val="0000004D"/>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7">
    <w:nsid w:val="0000004E"/>
    <w:multiLevelType w:val="multilevel"/>
    <w:tmpl w:val="0000004E"/>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8">
    <w:nsid w:val="0000004F"/>
    <w:multiLevelType w:val="multilevel"/>
    <w:tmpl w:val="0000004F"/>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9">
    <w:nsid w:val="00000050"/>
    <w:multiLevelType w:val="multilevel"/>
    <w:tmpl w:val="00000050"/>
    <w:lvl w:ilvl="0">
      <w:start w:val="2"/>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0">
    <w:nsid w:val="00000051"/>
    <w:multiLevelType w:val="multilevel"/>
    <w:tmpl w:val="00000051"/>
    <w:lvl w:ilvl="0">
      <w:start w:val="3"/>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1">
    <w:nsid w:val="00000052"/>
    <w:multiLevelType w:val="multilevel"/>
    <w:tmpl w:val="00000052"/>
    <w:lvl w:ilvl="0">
      <w:start w:val="4"/>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2">
    <w:nsid w:val="00000053"/>
    <w:multiLevelType w:val="multilevel"/>
    <w:tmpl w:val="00000053"/>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3">
    <w:nsid w:val="00000054"/>
    <w:multiLevelType w:val="multilevel"/>
    <w:tmpl w:val="00000054"/>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4">
    <w:nsid w:val="00000055"/>
    <w:multiLevelType w:val="multilevel"/>
    <w:tmpl w:val="00000055"/>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5">
    <w:nsid w:val="00000056"/>
    <w:multiLevelType w:val="multilevel"/>
    <w:tmpl w:val="00000056"/>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6">
    <w:nsid w:val="00000057"/>
    <w:multiLevelType w:val="multilevel"/>
    <w:tmpl w:val="00000057"/>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7">
    <w:nsid w:val="00000058"/>
    <w:multiLevelType w:val="multilevel"/>
    <w:tmpl w:val="00000058"/>
    <w:lvl w:ilvl="0">
      <w:start w:val="2"/>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8">
    <w:nsid w:val="00000059"/>
    <w:multiLevelType w:val="multilevel"/>
    <w:tmpl w:val="00000059"/>
    <w:lvl w:ilvl="0">
      <w:start w:val="3"/>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9">
    <w:nsid w:val="0000005A"/>
    <w:multiLevelType w:val="multilevel"/>
    <w:tmpl w:val="0000005A"/>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0">
    <w:nsid w:val="0000005B"/>
    <w:multiLevelType w:val="multilevel"/>
    <w:tmpl w:val="0000005B"/>
    <w:lvl w:ilvl="0">
      <w:start w:val="2"/>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1">
    <w:nsid w:val="0000005C"/>
    <w:multiLevelType w:val="multilevel"/>
    <w:tmpl w:val="0000005C"/>
    <w:lvl w:ilvl="0">
      <w:start w:val="3"/>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2">
    <w:nsid w:val="0000005D"/>
    <w:multiLevelType w:val="multilevel"/>
    <w:tmpl w:val="0000005D"/>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3">
    <w:nsid w:val="0000005E"/>
    <w:multiLevelType w:val="multilevel"/>
    <w:tmpl w:val="0000005E"/>
    <w:lvl w:ilvl="0">
      <w:start w:val="2"/>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4">
    <w:nsid w:val="0000005F"/>
    <w:multiLevelType w:val="multilevel"/>
    <w:tmpl w:val="0000005F"/>
    <w:lvl w:ilvl="0">
      <w:start w:val="3"/>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5">
    <w:nsid w:val="00000060"/>
    <w:multiLevelType w:val="multilevel"/>
    <w:tmpl w:val="00000060"/>
    <w:lvl w:ilvl="0">
      <w:start w:val="4"/>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6">
    <w:nsid w:val="00000061"/>
    <w:multiLevelType w:val="multilevel"/>
    <w:tmpl w:val="00000061"/>
    <w:lvl w:ilvl="0">
      <w:start w:val="1"/>
      <w:numFmt w:val="decimal"/>
      <w:lvlText w:val="45."/>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7">
    <w:nsid w:val="00000062"/>
    <w:multiLevelType w:val="multilevel"/>
    <w:tmpl w:val="00000062"/>
    <w:lvl w:ilvl="0">
      <w:start w:val="1"/>
      <w:numFmt w:val="decimal"/>
      <w:lvlText w:val="49."/>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8">
    <w:nsid w:val="00000063"/>
    <w:multiLevelType w:val="multilevel"/>
    <w:tmpl w:val="00000063"/>
    <w:lvl w:ilvl="0">
      <w:start w:val="1"/>
      <w:numFmt w:val="decimal"/>
      <w:lvlText w:val="50."/>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9">
    <w:nsid w:val="00000064"/>
    <w:multiLevelType w:val="multilevel"/>
    <w:tmpl w:val="00000064"/>
    <w:lvl w:ilvl="0">
      <w:start w:val="1"/>
      <w:numFmt w:val="decimal"/>
      <w:lvlText w:val="33."/>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0">
    <w:nsid w:val="00000065"/>
    <w:multiLevelType w:val="multilevel"/>
    <w:tmpl w:val="00000065"/>
    <w:lvl w:ilvl="0">
      <w:start w:val="1"/>
      <w:numFmt w:val="decimal"/>
      <w:lvlText w:val="34."/>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1">
    <w:nsid w:val="00000066"/>
    <w:multiLevelType w:val="multilevel"/>
    <w:tmpl w:val="00000066"/>
    <w:lvl w:ilvl="0">
      <w:start w:val="1"/>
      <w:numFmt w:val="decimal"/>
      <w:lvlText w:val="35."/>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2">
    <w:nsid w:val="00000067"/>
    <w:multiLevelType w:val="multilevel"/>
    <w:tmpl w:val="00000067"/>
    <w:lvl w:ilvl="0">
      <w:start w:val="1"/>
      <w:numFmt w:val="decimal"/>
      <w:lvlText w:val="36."/>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3">
    <w:nsid w:val="00000068"/>
    <w:multiLevelType w:val="multilevel"/>
    <w:tmpl w:val="00000068"/>
    <w:lvl w:ilvl="0">
      <w:start w:val="1"/>
      <w:numFmt w:val="decimal"/>
      <w:lvlText w:val="37."/>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4">
    <w:nsid w:val="00000069"/>
    <w:multiLevelType w:val="multilevel"/>
    <w:tmpl w:val="00000069"/>
    <w:lvl w:ilvl="0">
      <w:start w:val="1"/>
      <w:numFmt w:val="decimal"/>
      <w:lvlText w:val="38."/>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5">
    <w:nsid w:val="0000006A"/>
    <w:multiLevelType w:val="multilevel"/>
    <w:tmpl w:val="0000006A"/>
    <w:lvl w:ilvl="0">
      <w:start w:val="1"/>
      <w:numFmt w:val="decimal"/>
      <w:lvlText w:val="39."/>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6">
    <w:nsid w:val="0000006B"/>
    <w:multiLevelType w:val="multilevel"/>
    <w:tmpl w:val="0000006B"/>
    <w:lvl w:ilvl="0">
      <w:start w:val="1"/>
      <w:numFmt w:val="decimal"/>
      <w:lvlText w:val="40."/>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7">
    <w:nsid w:val="0000006C"/>
    <w:multiLevelType w:val="multilevel"/>
    <w:tmpl w:val="0000006C"/>
    <w:lvl w:ilvl="0">
      <w:start w:val="6"/>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8">
    <w:nsid w:val="0000006D"/>
    <w:multiLevelType w:val="multilevel"/>
    <w:tmpl w:val="0000006D"/>
    <w:lvl w:ilvl="0">
      <w:start w:val="7"/>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9">
    <w:nsid w:val="0000006E"/>
    <w:multiLevelType w:val="multilevel"/>
    <w:tmpl w:val="0000006E"/>
    <w:lvl w:ilvl="0">
      <w:start w:val="7"/>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0">
    <w:nsid w:val="0000006F"/>
    <w:multiLevelType w:val="multilevel"/>
    <w:tmpl w:val="0000006F"/>
    <w:lvl w:ilvl="0">
      <w:start w:val="8"/>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1">
    <w:nsid w:val="00000070"/>
    <w:multiLevelType w:val="multilevel"/>
    <w:tmpl w:val="00000070"/>
    <w:lvl w:ilvl="0">
      <w:start w:val="1"/>
      <w:numFmt w:val="lowerRoman"/>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2">
    <w:nsid w:val="00000071"/>
    <w:multiLevelType w:val="multilevel"/>
    <w:tmpl w:val="00000071"/>
    <w:lvl w:ilvl="0">
      <w:start w:val="10"/>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3">
    <w:nsid w:val="00000072"/>
    <w:multiLevelType w:val="multilevel"/>
    <w:tmpl w:val="00000072"/>
    <w:lvl w:ilvl="0">
      <w:start w:val="1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4">
    <w:nsid w:val="00000073"/>
    <w:multiLevelType w:val="multilevel"/>
    <w:tmpl w:val="00000073"/>
    <w:lvl w:ilvl="0">
      <w:start w:val="12"/>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5">
    <w:nsid w:val="00000074"/>
    <w:multiLevelType w:val="multilevel"/>
    <w:tmpl w:val="00000074"/>
    <w:lvl w:ilvl="0">
      <w:start w:val="13"/>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6">
    <w:nsid w:val="00000075"/>
    <w:multiLevelType w:val="multilevel"/>
    <w:tmpl w:val="00000075"/>
    <w:lvl w:ilvl="0">
      <w:start w:val="14"/>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7">
    <w:nsid w:val="00000076"/>
    <w:multiLevelType w:val="multilevel"/>
    <w:tmpl w:val="00000076"/>
    <w:lvl w:ilvl="0">
      <w:start w:val="15"/>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8">
    <w:nsid w:val="00000077"/>
    <w:multiLevelType w:val="multilevel"/>
    <w:tmpl w:val="00000077"/>
    <w:lvl w:ilvl="0">
      <w:start w:val="16"/>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9">
    <w:nsid w:val="00000078"/>
    <w:multiLevelType w:val="multilevel"/>
    <w:tmpl w:val="00000078"/>
    <w:lvl w:ilvl="0">
      <w:start w:val="17"/>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0">
    <w:nsid w:val="00000079"/>
    <w:multiLevelType w:val="multilevel"/>
    <w:tmpl w:val="00000079"/>
    <w:lvl w:ilvl="0">
      <w:start w:val="18"/>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1">
    <w:nsid w:val="0000007A"/>
    <w:multiLevelType w:val="multilevel"/>
    <w:tmpl w:val="0000007A"/>
    <w:lvl w:ilvl="0">
      <w:start w:val="19"/>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2">
    <w:nsid w:val="0000007B"/>
    <w:multiLevelType w:val="multilevel"/>
    <w:tmpl w:val="0000007B"/>
    <w:lvl w:ilvl="0">
      <w:start w:val="20"/>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3">
    <w:nsid w:val="0000007C"/>
    <w:multiLevelType w:val="multilevel"/>
    <w:tmpl w:val="0000007C"/>
    <w:lvl w:ilvl="0">
      <w:start w:val="2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4">
    <w:nsid w:val="0000007D"/>
    <w:multiLevelType w:val="multilevel"/>
    <w:tmpl w:val="0000007D"/>
    <w:lvl w:ilvl="0">
      <w:start w:val="1"/>
      <w:numFmt w:val="decimal"/>
      <w:lvlText w:val="v."/>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5">
    <w:nsid w:val="0000007E"/>
    <w:multiLevelType w:val="multilevel"/>
    <w:tmpl w:val="0000007E"/>
    <w:lvl w:ilvl="0">
      <w:start w:val="1"/>
      <w:numFmt w:val="decimal"/>
      <w:lvlText w:val="4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6">
    <w:nsid w:val="0000007F"/>
    <w:multiLevelType w:val="multilevel"/>
    <w:tmpl w:val="0000007F"/>
    <w:lvl w:ilvl="0">
      <w:start w:val="1"/>
      <w:numFmt w:val="decimal"/>
      <w:lvlText w:val="42."/>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7">
    <w:nsid w:val="00000080"/>
    <w:multiLevelType w:val="multilevel"/>
    <w:tmpl w:val="00000080"/>
    <w:lvl w:ilvl="0">
      <w:start w:val="1"/>
      <w:numFmt w:val="decimal"/>
      <w:lvlText w:val="43."/>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8">
    <w:nsid w:val="00000081"/>
    <w:multiLevelType w:val="multilevel"/>
    <w:tmpl w:val="00000081"/>
    <w:lvl w:ilvl="0">
      <w:start w:val="1"/>
      <w:numFmt w:val="decimal"/>
      <w:lvlText w:val="44."/>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9">
    <w:nsid w:val="00000082"/>
    <w:multiLevelType w:val="multilevel"/>
    <w:tmpl w:val="00000082"/>
    <w:lvl w:ilvl="0">
      <w:start w:val="1"/>
      <w:numFmt w:val="decimal"/>
      <w:lvlText w:val="45."/>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0">
    <w:nsid w:val="00000083"/>
    <w:multiLevelType w:val="multilevel"/>
    <w:tmpl w:val="00000083"/>
    <w:lvl w:ilvl="0">
      <w:start w:val="1"/>
      <w:numFmt w:val="decimal"/>
      <w:lvlText w:val="46."/>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1">
    <w:nsid w:val="00000084"/>
    <w:multiLevelType w:val="multilevel"/>
    <w:tmpl w:val="00000084"/>
    <w:lvl w:ilvl="0">
      <w:start w:val="1"/>
      <w:numFmt w:val="decimal"/>
      <w:lvlText w:val="47."/>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2">
    <w:nsid w:val="00000085"/>
    <w:multiLevelType w:val="multilevel"/>
    <w:tmpl w:val="00000085"/>
    <w:lvl w:ilvl="0">
      <w:start w:val="1"/>
      <w:numFmt w:val="decimal"/>
      <w:lvlText w:val="48."/>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3">
    <w:nsid w:val="00000086"/>
    <w:multiLevelType w:val="multilevel"/>
    <w:tmpl w:val="00000086"/>
    <w:lvl w:ilvl="0">
      <w:start w:val="1"/>
      <w:numFmt w:val="decimal"/>
      <w:lvlText w:val="49."/>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4">
    <w:nsid w:val="00000087"/>
    <w:multiLevelType w:val="multilevel"/>
    <w:tmpl w:val="00000087"/>
    <w:lvl w:ilvl="0">
      <w:start w:val="1"/>
      <w:numFmt w:val="decimal"/>
      <w:lvlText w:val="50."/>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5">
    <w:nsid w:val="00000088"/>
    <w:multiLevelType w:val="multilevel"/>
    <w:tmpl w:val="00000088"/>
    <w:lvl w:ilvl="0">
      <w:start w:val="1"/>
      <w:numFmt w:val="decimal"/>
      <w:lvlText w:val="5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6">
    <w:nsid w:val="00000089"/>
    <w:multiLevelType w:val="multilevel"/>
    <w:tmpl w:val="00000089"/>
    <w:lvl w:ilvl="0">
      <w:start w:val="1"/>
      <w:numFmt w:val="decimal"/>
      <w:lvlText w:val="52."/>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7">
    <w:nsid w:val="0000008A"/>
    <w:multiLevelType w:val="multilevel"/>
    <w:tmpl w:val="0000008A"/>
    <w:lvl w:ilvl="0">
      <w:start w:val="1"/>
      <w:numFmt w:val="decimal"/>
      <w:lvlText w:val="53."/>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8">
    <w:nsid w:val="0000008B"/>
    <w:multiLevelType w:val="multilevel"/>
    <w:tmpl w:val="0000008B"/>
    <w:lvl w:ilvl="0">
      <w:start w:val="1"/>
      <w:numFmt w:val="decimal"/>
      <w:lvlText w:val="54."/>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9">
    <w:nsid w:val="0000008C"/>
    <w:multiLevelType w:val="multilevel"/>
    <w:tmpl w:val="0000008C"/>
    <w:lvl w:ilvl="0">
      <w:start w:val="1"/>
      <w:numFmt w:val="decimal"/>
      <w:lvlText w:val="55."/>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0">
    <w:nsid w:val="0000008D"/>
    <w:multiLevelType w:val="multilevel"/>
    <w:tmpl w:val="0000008D"/>
    <w:lvl w:ilvl="0">
      <w:start w:val="1"/>
      <w:numFmt w:val="decimal"/>
      <w:lvlText w:val="56."/>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1">
    <w:nsid w:val="0000008E"/>
    <w:multiLevelType w:val="multilevel"/>
    <w:tmpl w:val="0000008E"/>
    <w:lvl w:ilvl="0">
      <w:start w:val="1"/>
      <w:numFmt w:val="decimal"/>
      <w:lvlText w:val="57."/>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2">
    <w:nsid w:val="0000008F"/>
    <w:multiLevelType w:val="multilevel"/>
    <w:tmpl w:val="0000008F"/>
    <w:lvl w:ilvl="0">
      <w:start w:val="1"/>
      <w:numFmt w:val="decimal"/>
      <w:lvlText w:val="58."/>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3">
    <w:nsid w:val="00000090"/>
    <w:multiLevelType w:val="multilevel"/>
    <w:tmpl w:val="00000090"/>
    <w:lvl w:ilvl="0">
      <w:start w:val="1"/>
      <w:numFmt w:val="decimal"/>
      <w:lvlText w:val="59."/>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4">
    <w:nsid w:val="00000091"/>
    <w:multiLevelType w:val="multilevel"/>
    <w:tmpl w:val="00000091"/>
    <w:lvl w:ilvl="0">
      <w:start w:val="1"/>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5">
    <w:nsid w:val="00000092"/>
    <w:multiLevelType w:val="multilevel"/>
    <w:tmpl w:val="00000092"/>
    <w:lvl w:ilvl="0">
      <w:start w:val="2"/>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6">
    <w:nsid w:val="00000093"/>
    <w:multiLevelType w:val="multilevel"/>
    <w:tmpl w:val="00000093"/>
    <w:lvl w:ilvl="0">
      <w:start w:val="3"/>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7">
    <w:nsid w:val="00000094"/>
    <w:multiLevelType w:val="multilevel"/>
    <w:tmpl w:val="00000094"/>
    <w:lvl w:ilvl="0">
      <w:start w:val="4"/>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8">
    <w:nsid w:val="00000095"/>
    <w:multiLevelType w:val="multilevel"/>
    <w:tmpl w:val="00000095"/>
    <w:lvl w:ilvl="0">
      <w:start w:val="1"/>
      <w:numFmt w:val="decimal"/>
      <w:lvlText w:val="60."/>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9">
    <w:nsid w:val="00000096"/>
    <w:multiLevelType w:val="multilevel"/>
    <w:tmpl w:val="00000096"/>
    <w:lvl w:ilvl="0">
      <w:start w:val="1"/>
      <w:numFmt w:val="decimal"/>
      <w:lvlText w:val="6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0">
    <w:nsid w:val="00000097"/>
    <w:multiLevelType w:val="multilevel"/>
    <w:tmpl w:val="00000097"/>
    <w:lvl w:ilvl="0">
      <w:start w:val="1"/>
      <w:numFmt w:val="decimal"/>
      <w:lvlText w:val="62."/>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1">
    <w:nsid w:val="00000098"/>
    <w:multiLevelType w:val="multilevel"/>
    <w:tmpl w:val="00000098"/>
    <w:lvl w:ilvl="0">
      <w:start w:val="1"/>
      <w:numFmt w:val="decimal"/>
      <w:lvlText w:val="63."/>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2">
    <w:nsid w:val="00000099"/>
    <w:multiLevelType w:val="multilevel"/>
    <w:tmpl w:val="00000099"/>
    <w:lvl w:ilvl="0">
      <w:start w:val="1"/>
      <w:numFmt w:val="decimal"/>
      <w:lvlText w:val="64."/>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3">
    <w:nsid w:val="0000009A"/>
    <w:multiLevelType w:val="multilevel"/>
    <w:tmpl w:val="0000009A"/>
    <w:lvl w:ilvl="0">
      <w:start w:val="1"/>
      <w:numFmt w:val="decimal"/>
      <w:lvlText w:val="65."/>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4">
    <w:nsid w:val="0000009B"/>
    <w:multiLevelType w:val="multilevel"/>
    <w:tmpl w:val="0000009B"/>
    <w:lvl w:ilvl="0">
      <w:start w:val="1"/>
      <w:numFmt w:val="decimal"/>
      <w:lvlText w:val="66."/>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5">
    <w:nsid w:val="0000009C"/>
    <w:multiLevelType w:val="multilevel"/>
    <w:tmpl w:val="0000009C"/>
    <w:lvl w:ilvl="0">
      <w:start w:val="1"/>
      <w:numFmt w:val="decimal"/>
      <w:lvlText w:val="67."/>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6">
    <w:nsid w:val="0000009D"/>
    <w:multiLevelType w:val="multilevel"/>
    <w:tmpl w:val="0000009D"/>
    <w:lvl w:ilvl="0">
      <w:start w:val="1"/>
      <w:numFmt w:val="decimal"/>
      <w:lvlText w:val="68."/>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7">
    <w:nsid w:val="0000009E"/>
    <w:multiLevelType w:val="multilevel"/>
    <w:tmpl w:val="0000009E"/>
    <w:lvl w:ilvl="0">
      <w:start w:val="1"/>
      <w:numFmt w:val="decimal"/>
      <w:lvlText w:val="69."/>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8">
    <w:nsid w:val="0000009F"/>
    <w:multiLevelType w:val="multilevel"/>
    <w:tmpl w:val="0000009F"/>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9">
    <w:nsid w:val="000000A0"/>
    <w:multiLevelType w:val="multilevel"/>
    <w:tmpl w:val="000000A0"/>
    <w:lvl w:ilvl="0">
      <w:start w:val="2"/>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0">
    <w:nsid w:val="000000A1"/>
    <w:multiLevelType w:val="multilevel"/>
    <w:tmpl w:val="000000A1"/>
    <w:lvl w:ilvl="0">
      <w:start w:val="3"/>
      <w:numFmt w:val="decimal"/>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1">
    <w:nsid w:val="000000A2"/>
    <w:multiLevelType w:val="multilevel"/>
    <w:tmpl w:val="000000A2"/>
    <w:lvl w:ilvl="0">
      <w:start w:val="4"/>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2">
    <w:nsid w:val="000000A3"/>
    <w:multiLevelType w:val="multilevel"/>
    <w:tmpl w:val="000000A3"/>
    <w:lvl w:ilvl="0">
      <w:start w:val="5"/>
      <w:numFmt w:val="decimal"/>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3">
    <w:nsid w:val="000000A4"/>
    <w:multiLevelType w:val="multilevel"/>
    <w:tmpl w:val="000000A4"/>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4">
    <w:nsid w:val="000000A5"/>
    <w:multiLevelType w:val="multilevel"/>
    <w:tmpl w:val="000000A5"/>
    <w:lvl w:ilvl="0">
      <w:start w:val="1"/>
      <w:numFmt w:val="decimal"/>
      <w:lvlText w:val="[(3)"/>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5">
    <w:nsid w:val="000000A6"/>
    <w:multiLevelType w:val="multilevel"/>
    <w:tmpl w:val="000000A6"/>
    <w:lvl w:ilvl="0">
      <w:start w:val="2"/>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6">
    <w:nsid w:val="000000A7"/>
    <w:multiLevelType w:val="multilevel"/>
    <w:tmpl w:val="000000A7"/>
    <w:lvl w:ilvl="0">
      <w:start w:val="3"/>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7">
    <w:nsid w:val="000000A8"/>
    <w:multiLevelType w:val="multilevel"/>
    <w:tmpl w:val="000000A8"/>
    <w:lvl w:ilvl="0">
      <w:start w:val="4"/>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8">
    <w:nsid w:val="000000A9"/>
    <w:multiLevelType w:val="multilevel"/>
    <w:tmpl w:val="000000A9"/>
    <w:lvl w:ilvl="0">
      <w:start w:val="5"/>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9">
    <w:nsid w:val="000000AA"/>
    <w:multiLevelType w:val="multilevel"/>
    <w:tmpl w:val="000000AA"/>
    <w:lvl w:ilvl="0">
      <w:start w:val="6"/>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0">
    <w:nsid w:val="000000AB"/>
    <w:multiLevelType w:val="multilevel"/>
    <w:tmpl w:val="000000AB"/>
    <w:lvl w:ilvl="0">
      <w:start w:val="7"/>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1">
    <w:nsid w:val="000000AC"/>
    <w:multiLevelType w:val="multilevel"/>
    <w:tmpl w:val="000000AC"/>
    <w:lvl w:ilvl="0">
      <w:start w:val="8"/>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2">
    <w:nsid w:val="000000AD"/>
    <w:multiLevelType w:val="multilevel"/>
    <w:tmpl w:val="000000AD"/>
    <w:lvl w:ilvl="0">
      <w:start w:val="1"/>
      <w:numFmt w:val="decimal"/>
      <w:lvlText w:val="[(9)"/>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3">
    <w:nsid w:val="000000AE"/>
    <w:multiLevelType w:val="multilevel"/>
    <w:tmpl w:val="000000AE"/>
    <w:lvl w:ilvl="0">
      <w:start w:val="9"/>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4">
    <w:nsid w:val="000000AF"/>
    <w:multiLevelType w:val="multilevel"/>
    <w:tmpl w:val="000000AF"/>
    <w:lvl w:ilvl="0">
      <w:start w:val="1"/>
      <w:numFmt w:val="decimal"/>
      <w:lvlText w:val="(10)"/>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5">
    <w:nsid w:val="000000B0"/>
    <w:multiLevelType w:val="multilevel"/>
    <w:tmpl w:val="000000B0"/>
    <w:lvl w:ilvl="0">
      <w:start w:val="1"/>
      <w:numFmt w:val="decimal"/>
      <w:lvlText w:val="(1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6">
    <w:nsid w:val="000000B1"/>
    <w:multiLevelType w:val="multilevel"/>
    <w:tmpl w:val="000000B1"/>
    <w:lvl w:ilvl="0">
      <w:start w:val="1"/>
      <w:numFmt w:val="decimal"/>
      <w:lvlText w:val="(12)"/>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7">
    <w:nsid w:val="000000B2"/>
    <w:multiLevelType w:val="multilevel"/>
    <w:tmpl w:val="000000B2"/>
    <w:lvl w:ilvl="0">
      <w:start w:val="1"/>
      <w:numFmt w:val="decimal"/>
      <w:lvlText w:val="(14)"/>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8">
    <w:nsid w:val="000000B3"/>
    <w:multiLevelType w:val="multilevel"/>
    <w:tmpl w:val="000000B3"/>
    <w:lvl w:ilvl="0">
      <w:start w:val="1"/>
      <w:numFmt w:val="decimal"/>
      <w:lvlText w:val="(15)"/>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9">
    <w:nsid w:val="000000B4"/>
    <w:multiLevelType w:val="multilevel"/>
    <w:tmpl w:val="000000B4"/>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0">
    <w:nsid w:val="000000B5"/>
    <w:multiLevelType w:val="multilevel"/>
    <w:tmpl w:val="000000B5"/>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1">
    <w:nsid w:val="000000B6"/>
    <w:multiLevelType w:val="multilevel"/>
    <w:tmpl w:val="000000B6"/>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2">
    <w:nsid w:val="000000B7"/>
    <w:multiLevelType w:val="multilevel"/>
    <w:tmpl w:val="000000B7"/>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3">
    <w:nsid w:val="000000B8"/>
    <w:multiLevelType w:val="multilevel"/>
    <w:tmpl w:val="000000B8"/>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4">
    <w:nsid w:val="000000B9"/>
    <w:multiLevelType w:val="multilevel"/>
    <w:tmpl w:val="000000B9"/>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5">
    <w:nsid w:val="000000BA"/>
    <w:multiLevelType w:val="multilevel"/>
    <w:tmpl w:val="000000BA"/>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6">
    <w:nsid w:val="000000BB"/>
    <w:multiLevelType w:val="multilevel"/>
    <w:tmpl w:val="000000BB"/>
    <w:lvl w:ilvl="0">
      <w:start w:val="4"/>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7">
    <w:nsid w:val="000000BC"/>
    <w:multiLevelType w:val="multilevel"/>
    <w:tmpl w:val="000000BC"/>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8">
    <w:nsid w:val="000000BD"/>
    <w:multiLevelType w:val="multilevel"/>
    <w:tmpl w:val="000000BD"/>
    <w:lvl w:ilvl="0">
      <w:start w:val="2"/>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9">
    <w:nsid w:val="000000BE"/>
    <w:multiLevelType w:val="multilevel"/>
    <w:tmpl w:val="000000BE"/>
    <w:lvl w:ilvl="0">
      <w:start w:val="8"/>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0">
    <w:nsid w:val="000000BF"/>
    <w:multiLevelType w:val="multilevel"/>
    <w:tmpl w:val="000000BF"/>
    <w:lvl w:ilvl="0">
      <w:start w:val="9"/>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1">
    <w:nsid w:val="000000C0"/>
    <w:multiLevelType w:val="multilevel"/>
    <w:tmpl w:val="000000C0"/>
    <w:lvl w:ilvl="0">
      <w:start w:val="1"/>
      <w:numFmt w:val="decimal"/>
      <w:lvlText w:val="10."/>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2">
    <w:nsid w:val="000000C1"/>
    <w:multiLevelType w:val="multilevel"/>
    <w:tmpl w:val="000000C1"/>
    <w:lvl w:ilvl="0">
      <w:start w:val="1"/>
      <w:numFmt w:val="decimal"/>
      <w:lvlText w:val="13."/>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3">
    <w:nsid w:val="000000C2"/>
    <w:multiLevelType w:val="multilevel"/>
    <w:tmpl w:val="000000C2"/>
    <w:lvl w:ilvl="0">
      <w:start w:val="1"/>
      <w:numFmt w:val="decimal"/>
      <w:lvlText w:val="14."/>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4">
    <w:nsid w:val="000000C3"/>
    <w:multiLevelType w:val="multilevel"/>
    <w:tmpl w:val="000000C3"/>
    <w:lvl w:ilvl="0">
      <w:start w:val="1"/>
      <w:numFmt w:val="decimal"/>
      <w:lvlText w:val="16."/>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5">
    <w:nsid w:val="000000C4"/>
    <w:multiLevelType w:val="multilevel"/>
    <w:tmpl w:val="000000C4"/>
    <w:lvl w:ilvl="0">
      <w:start w:val="1"/>
      <w:numFmt w:val="decimal"/>
      <w:lvlText w:val="18."/>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6">
    <w:nsid w:val="000000C5"/>
    <w:multiLevelType w:val="multilevel"/>
    <w:tmpl w:val="000000C5"/>
    <w:lvl w:ilvl="0">
      <w:start w:val="1"/>
      <w:numFmt w:val="decimal"/>
      <w:lvlText w:val="19."/>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7">
    <w:nsid w:val="000000C6"/>
    <w:multiLevelType w:val="multilevel"/>
    <w:tmpl w:val="000000C6"/>
    <w:lvl w:ilvl="0">
      <w:start w:val="1"/>
      <w:numFmt w:val="decimal"/>
      <w:lvlText w:val="20."/>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8">
    <w:nsid w:val="000000C7"/>
    <w:multiLevelType w:val="multilevel"/>
    <w:tmpl w:val="000000C7"/>
    <w:lvl w:ilvl="0">
      <w:start w:val="1"/>
      <w:numFmt w:val="decimal"/>
      <w:lvlText w:val="2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9">
    <w:nsid w:val="000000C8"/>
    <w:multiLevelType w:val="multilevel"/>
    <w:tmpl w:val="000000C8"/>
    <w:lvl w:ilvl="0">
      <w:start w:val="1"/>
      <w:numFmt w:val="decimal"/>
      <w:lvlText w:val="23."/>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0">
    <w:nsid w:val="000000C9"/>
    <w:multiLevelType w:val="multilevel"/>
    <w:tmpl w:val="000000C9"/>
    <w:lvl w:ilvl="0">
      <w:start w:val="1"/>
      <w:numFmt w:val="decimal"/>
      <w:lvlText w:val="24."/>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1">
    <w:nsid w:val="000000CA"/>
    <w:multiLevelType w:val="multilevel"/>
    <w:tmpl w:val="000000CA"/>
    <w:lvl w:ilvl="0">
      <w:start w:val="1"/>
      <w:numFmt w:val="decimal"/>
      <w:lvlText w:val="25."/>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2">
    <w:nsid w:val="000000CB"/>
    <w:multiLevelType w:val="multilevel"/>
    <w:tmpl w:val="000000CB"/>
    <w:lvl w:ilvl="0">
      <w:start w:val="1"/>
      <w:numFmt w:val="decimal"/>
      <w:lvlText w:val="26."/>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3">
    <w:nsid w:val="000000CC"/>
    <w:multiLevelType w:val="multilevel"/>
    <w:tmpl w:val="000000CC"/>
    <w:lvl w:ilvl="0">
      <w:start w:val="1"/>
      <w:numFmt w:val="decimal"/>
      <w:lvlText w:val="27."/>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4">
    <w:nsid w:val="000000CD"/>
    <w:multiLevelType w:val="multilevel"/>
    <w:tmpl w:val="000000CD"/>
    <w:lvl w:ilvl="0">
      <w:start w:val="1"/>
      <w:numFmt w:val="decimal"/>
      <w:lvlText w:val="28."/>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5">
    <w:nsid w:val="000000CE"/>
    <w:multiLevelType w:val="multilevel"/>
    <w:tmpl w:val="000000CE"/>
    <w:lvl w:ilvl="0">
      <w:start w:val="1"/>
      <w:numFmt w:val="decimal"/>
      <w:lvlText w:val="29."/>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6">
    <w:nsid w:val="000000CF"/>
    <w:multiLevelType w:val="multilevel"/>
    <w:tmpl w:val="000000CF"/>
    <w:lvl w:ilvl="0">
      <w:start w:val="1"/>
      <w:numFmt w:val="decimal"/>
      <w:lvlText w:val="30."/>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7">
    <w:nsid w:val="000000D0"/>
    <w:multiLevelType w:val="multilevel"/>
    <w:tmpl w:val="000000D0"/>
    <w:lvl w:ilvl="0">
      <w:start w:val="1"/>
      <w:numFmt w:val="decimal"/>
      <w:lvlText w:val="3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8">
    <w:nsid w:val="000000D1"/>
    <w:multiLevelType w:val="multilevel"/>
    <w:tmpl w:val="000000D1"/>
    <w:lvl w:ilvl="0">
      <w:start w:val="1"/>
      <w:numFmt w:val="decimal"/>
      <w:lvlText w:val="32."/>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9">
    <w:nsid w:val="000000D2"/>
    <w:multiLevelType w:val="multilevel"/>
    <w:tmpl w:val="000000D2"/>
    <w:lvl w:ilvl="0">
      <w:start w:val="1"/>
      <w:numFmt w:val="decimal"/>
      <w:lvlText w:val="33."/>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0">
    <w:nsid w:val="000000D3"/>
    <w:multiLevelType w:val="multilevel"/>
    <w:tmpl w:val="000000D3"/>
    <w:lvl w:ilvl="0">
      <w:start w:val="1"/>
      <w:numFmt w:val="decimal"/>
      <w:lvlText w:val="34."/>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1">
    <w:nsid w:val="000000D4"/>
    <w:multiLevelType w:val="multilevel"/>
    <w:tmpl w:val="000000D4"/>
    <w:lvl w:ilvl="0">
      <w:start w:val="1"/>
      <w:numFmt w:val="decimal"/>
      <w:lvlText w:val="35."/>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2">
    <w:nsid w:val="000000D5"/>
    <w:multiLevelType w:val="multilevel"/>
    <w:tmpl w:val="000000D5"/>
    <w:lvl w:ilvl="0">
      <w:start w:val="1"/>
      <w:numFmt w:val="decimal"/>
      <w:lvlText w:val="36."/>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3">
    <w:nsid w:val="000000D6"/>
    <w:multiLevelType w:val="multilevel"/>
    <w:tmpl w:val="000000D6"/>
    <w:lvl w:ilvl="0">
      <w:start w:val="1"/>
      <w:numFmt w:val="decimal"/>
      <w:lvlText w:val="37."/>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4">
    <w:nsid w:val="000000D7"/>
    <w:multiLevelType w:val="multilevel"/>
    <w:tmpl w:val="000000D7"/>
    <w:lvl w:ilvl="0">
      <w:start w:val="1"/>
      <w:numFmt w:val="decimal"/>
      <w:lvlText w:val="38."/>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5">
    <w:nsid w:val="000000D8"/>
    <w:multiLevelType w:val="multilevel"/>
    <w:tmpl w:val="000000D8"/>
    <w:lvl w:ilvl="0">
      <w:start w:val="1"/>
      <w:numFmt w:val="decimal"/>
      <w:lvlText w:val="39."/>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6">
    <w:nsid w:val="000000D9"/>
    <w:multiLevelType w:val="multilevel"/>
    <w:tmpl w:val="000000D9"/>
    <w:lvl w:ilvl="0">
      <w:start w:val="1"/>
      <w:numFmt w:val="decimal"/>
      <w:lvlText w:val="40."/>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7">
    <w:nsid w:val="000000DA"/>
    <w:multiLevelType w:val="multilevel"/>
    <w:tmpl w:val="000000DA"/>
    <w:lvl w:ilvl="0">
      <w:start w:val="6"/>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8">
    <w:nsid w:val="000000DB"/>
    <w:multiLevelType w:val="multilevel"/>
    <w:tmpl w:val="000000DB"/>
    <w:lvl w:ilvl="0">
      <w:start w:val="8"/>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9">
    <w:nsid w:val="000000DC"/>
    <w:multiLevelType w:val="multilevel"/>
    <w:tmpl w:val="000000DC"/>
    <w:lvl w:ilvl="0">
      <w:start w:val="1"/>
      <w:numFmt w:val="lowerRoman"/>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0">
    <w:nsid w:val="000000DD"/>
    <w:multiLevelType w:val="multilevel"/>
    <w:tmpl w:val="000000DD"/>
    <w:lvl w:ilvl="0">
      <w:start w:val="10"/>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1">
    <w:nsid w:val="000000DE"/>
    <w:multiLevelType w:val="multilevel"/>
    <w:tmpl w:val="000000DE"/>
    <w:lvl w:ilvl="0">
      <w:start w:val="11"/>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2">
    <w:nsid w:val="000000DF"/>
    <w:multiLevelType w:val="multilevel"/>
    <w:tmpl w:val="000000DF"/>
    <w:lvl w:ilvl="0">
      <w:start w:val="12"/>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3">
    <w:nsid w:val="000000E0"/>
    <w:multiLevelType w:val="multilevel"/>
    <w:tmpl w:val="000000E0"/>
    <w:lvl w:ilvl="0">
      <w:start w:val="13"/>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4">
    <w:nsid w:val="000000E1"/>
    <w:multiLevelType w:val="multilevel"/>
    <w:tmpl w:val="000000E1"/>
    <w:lvl w:ilvl="0">
      <w:start w:val="14"/>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5">
    <w:nsid w:val="000000E2"/>
    <w:multiLevelType w:val="multilevel"/>
    <w:tmpl w:val="000000E2"/>
    <w:lvl w:ilvl="0">
      <w:start w:val="15"/>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6">
    <w:nsid w:val="000000E3"/>
    <w:multiLevelType w:val="multilevel"/>
    <w:tmpl w:val="000000E3"/>
    <w:lvl w:ilvl="0">
      <w:start w:val="16"/>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7">
    <w:nsid w:val="000000E4"/>
    <w:multiLevelType w:val="multilevel"/>
    <w:tmpl w:val="000000E4"/>
    <w:lvl w:ilvl="0">
      <w:start w:val="17"/>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8">
    <w:nsid w:val="000000E5"/>
    <w:multiLevelType w:val="multilevel"/>
    <w:tmpl w:val="000000E5"/>
    <w:lvl w:ilvl="0">
      <w:start w:val="18"/>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9">
    <w:nsid w:val="000000E6"/>
    <w:multiLevelType w:val="multilevel"/>
    <w:tmpl w:val="000000E6"/>
    <w:lvl w:ilvl="0">
      <w:start w:val="19"/>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0">
    <w:nsid w:val="000000E7"/>
    <w:multiLevelType w:val="multilevel"/>
    <w:tmpl w:val="000000E7"/>
    <w:lvl w:ilvl="0">
      <w:start w:val="20"/>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1">
    <w:nsid w:val="000000E8"/>
    <w:multiLevelType w:val="multilevel"/>
    <w:tmpl w:val="000000E8"/>
    <w:lvl w:ilvl="0">
      <w:start w:val="21"/>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2">
    <w:nsid w:val="000000E9"/>
    <w:multiLevelType w:val="multilevel"/>
    <w:tmpl w:val="000000E9"/>
    <w:lvl w:ilvl="0">
      <w:start w:val="1"/>
      <w:numFmt w:val="decimal"/>
      <w:lvlText w:val="v."/>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3">
    <w:nsid w:val="000000EA"/>
    <w:multiLevelType w:val="multilevel"/>
    <w:tmpl w:val="000000EA"/>
    <w:lvl w:ilvl="0">
      <w:start w:val="1"/>
      <w:numFmt w:val="decimal"/>
      <w:lvlText w:val="4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4">
    <w:nsid w:val="000000EB"/>
    <w:multiLevelType w:val="multilevel"/>
    <w:tmpl w:val="000000EB"/>
    <w:lvl w:ilvl="0">
      <w:start w:val="1"/>
      <w:numFmt w:val="decimal"/>
      <w:lvlText w:val="43."/>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5">
    <w:nsid w:val="000000EC"/>
    <w:multiLevelType w:val="multilevel"/>
    <w:tmpl w:val="000000EC"/>
    <w:lvl w:ilvl="0">
      <w:start w:val="1"/>
      <w:numFmt w:val="decimal"/>
      <w:lvlText w:val="44."/>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6">
    <w:nsid w:val="000000ED"/>
    <w:multiLevelType w:val="multilevel"/>
    <w:tmpl w:val="000000ED"/>
    <w:lvl w:ilvl="0">
      <w:start w:val="1"/>
      <w:numFmt w:val="decimal"/>
      <w:lvlText w:val="45."/>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7">
    <w:nsid w:val="000000EE"/>
    <w:multiLevelType w:val="multilevel"/>
    <w:tmpl w:val="000000EE"/>
    <w:lvl w:ilvl="0">
      <w:start w:val="1"/>
      <w:numFmt w:val="decimal"/>
      <w:lvlText w:val="46."/>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8">
    <w:nsid w:val="000000EF"/>
    <w:multiLevelType w:val="multilevel"/>
    <w:tmpl w:val="000000EF"/>
    <w:lvl w:ilvl="0">
      <w:start w:val="1"/>
      <w:numFmt w:val="decimal"/>
      <w:lvlText w:val="47."/>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9">
    <w:nsid w:val="000000F0"/>
    <w:multiLevelType w:val="multilevel"/>
    <w:tmpl w:val="000000F0"/>
    <w:lvl w:ilvl="0">
      <w:start w:val="1"/>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0">
    <w:nsid w:val="000000F1"/>
    <w:multiLevelType w:val="multilevel"/>
    <w:tmpl w:val="000000F1"/>
    <w:lvl w:ilvl="0">
      <w:start w:val="2"/>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1">
    <w:nsid w:val="000000F2"/>
    <w:multiLevelType w:val="multilevel"/>
    <w:tmpl w:val="000000F2"/>
    <w:lvl w:ilvl="0">
      <w:start w:val="3"/>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2">
    <w:nsid w:val="000000F3"/>
    <w:multiLevelType w:val="multilevel"/>
    <w:tmpl w:val="000000F3"/>
    <w:lvl w:ilvl="0">
      <w:start w:val="1"/>
      <w:numFmt w:val="decimal"/>
      <w:lvlText w:val="48."/>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3">
    <w:nsid w:val="000000F4"/>
    <w:multiLevelType w:val="multilevel"/>
    <w:tmpl w:val="000000F4"/>
    <w:lvl w:ilvl="0">
      <w:start w:val="1"/>
      <w:numFmt w:val="decimal"/>
      <w:lvlText w:val="49."/>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4">
    <w:nsid w:val="000000F5"/>
    <w:multiLevelType w:val="multilevel"/>
    <w:tmpl w:val="000000F5"/>
    <w:lvl w:ilvl="0">
      <w:start w:val="1"/>
      <w:numFmt w:val="decimal"/>
      <w:lvlText w:val="50."/>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5">
    <w:nsid w:val="000000F6"/>
    <w:multiLevelType w:val="multilevel"/>
    <w:tmpl w:val="000000F6"/>
    <w:lvl w:ilvl="0">
      <w:start w:val="1"/>
      <w:numFmt w:val="decimal"/>
      <w:lvlText w:val="5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6">
    <w:nsid w:val="000000F7"/>
    <w:multiLevelType w:val="multilevel"/>
    <w:tmpl w:val="000000F7"/>
    <w:lvl w:ilvl="0">
      <w:start w:val="1"/>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7">
    <w:nsid w:val="000000F8"/>
    <w:multiLevelType w:val="multilevel"/>
    <w:tmpl w:val="000000F8"/>
    <w:lvl w:ilvl="0">
      <w:start w:val="2"/>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8">
    <w:nsid w:val="000000F9"/>
    <w:multiLevelType w:val="multilevel"/>
    <w:tmpl w:val="000000F9"/>
    <w:lvl w:ilvl="0">
      <w:start w:val="3"/>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9">
    <w:nsid w:val="000000FA"/>
    <w:multiLevelType w:val="multilevel"/>
    <w:tmpl w:val="000000FA"/>
    <w:lvl w:ilvl="0">
      <w:start w:val="1"/>
      <w:numFmt w:val="decimal"/>
      <w:lvlText w:val="52."/>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0">
    <w:nsid w:val="000000FB"/>
    <w:multiLevelType w:val="multilevel"/>
    <w:tmpl w:val="000000FB"/>
    <w:lvl w:ilvl="0">
      <w:start w:val="1"/>
      <w:numFmt w:val="decimal"/>
      <w:lvlText w:val="53."/>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1">
    <w:nsid w:val="000000FC"/>
    <w:multiLevelType w:val="multilevel"/>
    <w:tmpl w:val="000000FC"/>
    <w:lvl w:ilvl="0">
      <w:start w:val="1"/>
      <w:numFmt w:val="decimal"/>
      <w:lvlText w:val="54."/>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2">
    <w:nsid w:val="000000FD"/>
    <w:multiLevelType w:val="multilevel"/>
    <w:tmpl w:val="000000FD"/>
    <w:lvl w:ilvl="0">
      <w:start w:val="1"/>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3">
    <w:nsid w:val="000000FE"/>
    <w:multiLevelType w:val="multilevel"/>
    <w:tmpl w:val="000000FE"/>
    <w:lvl w:ilvl="0">
      <w:start w:val="2"/>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4">
    <w:nsid w:val="000000FF"/>
    <w:multiLevelType w:val="multilevel"/>
    <w:tmpl w:val="000000FF"/>
    <w:lvl w:ilvl="0">
      <w:start w:val="3"/>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5">
    <w:nsid w:val="00000100"/>
    <w:multiLevelType w:val="multilevel"/>
    <w:tmpl w:val="00000100"/>
    <w:lvl w:ilvl="0">
      <w:start w:val="4"/>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6">
    <w:nsid w:val="00000101"/>
    <w:multiLevelType w:val="multilevel"/>
    <w:tmpl w:val="00000101"/>
    <w:lvl w:ilvl="0">
      <w:start w:val="5"/>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7">
    <w:nsid w:val="00000102"/>
    <w:multiLevelType w:val="multilevel"/>
    <w:tmpl w:val="00000102"/>
    <w:lvl w:ilvl="0">
      <w:start w:val="1"/>
      <w:numFmt w:val="decimal"/>
      <w:lvlText w:val="55."/>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8">
    <w:nsid w:val="00000103"/>
    <w:multiLevelType w:val="multilevel"/>
    <w:tmpl w:val="00000103"/>
    <w:lvl w:ilvl="0">
      <w:start w:val="1"/>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9">
    <w:nsid w:val="00000104"/>
    <w:multiLevelType w:val="multilevel"/>
    <w:tmpl w:val="00000104"/>
    <w:lvl w:ilvl="0">
      <w:start w:val="2"/>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0">
    <w:nsid w:val="00000105"/>
    <w:multiLevelType w:val="multilevel"/>
    <w:tmpl w:val="00000105"/>
    <w:lvl w:ilvl="0">
      <w:start w:val="3"/>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1">
    <w:nsid w:val="00000106"/>
    <w:multiLevelType w:val="multilevel"/>
    <w:tmpl w:val="00000106"/>
    <w:lvl w:ilvl="0">
      <w:start w:val="4"/>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2">
    <w:nsid w:val="00000107"/>
    <w:multiLevelType w:val="multilevel"/>
    <w:tmpl w:val="00000107"/>
    <w:lvl w:ilvl="0">
      <w:start w:val="5"/>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3">
    <w:nsid w:val="00000108"/>
    <w:multiLevelType w:val="multilevel"/>
    <w:tmpl w:val="00000108"/>
    <w:lvl w:ilvl="0">
      <w:start w:val="6"/>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4">
    <w:nsid w:val="00000109"/>
    <w:multiLevelType w:val="multilevel"/>
    <w:tmpl w:val="00000109"/>
    <w:lvl w:ilvl="0">
      <w:start w:val="1"/>
      <w:numFmt w:val="decimal"/>
      <w:lvlText w:val="56."/>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5">
    <w:nsid w:val="0000010A"/>
    <w:multiLevelType w:val="multilevel"/>
    <w:tmpl w:val="0000010A"/>
    <w:lvl w:ilvl="0">
      <w:start w:val="1"/>
      <w:numFmt w:val="decimal"/>
      <w:lvlText w:val="57."/>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6">
    <w:nsid w:val="0000010B"/>
    <w:multiLevelType w:val="multilevel"/>
    <w:tmpl w:val="0000010B"/>
    <w:lvl w:ilvl="0">
      <w:start w:val="1"/>
      <w:numFmt w:val="decimal"/>
      <w:lvlText w:val="62."/>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7">
    <w:nsid w:val="0000010C"/>
    <w:multiLevelType w:val="multilevel"/>
    <w:tmpl w:val="0000010C"/>
    <w:lvl w:ilvl="0">
      <w:start w:val="1"/>
      <w:numFmt w:val="decimal"/>
      <w:lvlText w:val="63."/>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8">
    <w:nsid w:val="0000010D"/>
    <w:multiLevelType w:val="multilevel"/>
    <w:tmpl w:val="0000010D"/>
    <w:lvl w:ilvl="0">
      <w:start w:val="1"/>
      <w:numFmt w:val="decimal"/>
      <w:lvlText w:val="64."/>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9">
    <w:nsid w:val="0000010E"/>
    <w:multiLevelType w:val="multilevel"/>
    <w:tmpl w:val="0000010E"/>
    <w:lvl w:ilvl="0">
      <w:start w:val="1"/>
      <w:numFmt w:val="decimal"/>
      <w:lvlText w:val="66."/>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0">
    <w:nsid w:val="0000010F"/>
    <w:multiLevelType w:val="multilevel"/>
    <w:tmpl w:val="0000010F"/>
    <w:lvl w:ilvl="0">
      <w:start w:val="1"/>
      <w:numFmt w:val="decimal"/>
      <w:lvlText w:val="67."/>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1">
    <w:nsid w:val="00000110"/>
    <w:multiLevelType w:val="multilevel"/>
    <w:tmpl w:val="00000110"/>
    <w:lvl w:ilvl="0">
      <w:start w:val="1"/>
      <w:numFmt w:val="decimal"/>
      <w:lvlText w:val="68."/>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2">
    <w:nsid w:val="00000111"/>
    <w:multiLevelType w:val="multilevel"/>
    <w:tmpl w:val="00000111"/>
    <w:lvl w:ilvl="0">
      <w:start w:val="1"/>
      <w:numFmt w:val="decimal"/>
      <w:lvlText w:val="69."/>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3">
    <w:nsid w:val="00000112"/>
    <w:multiLevelType w:val="multilevel"/>
    <w:tmpl w:val="00000112"/>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4">
    <w:nsid w:val="00000113"/>
    <w:multiLevelType w:val="multilevel"/>
    <w:tmpl w:val="00000113"/>
    <w:lvl w:ilvl="0">
      <w:start w:val="2"/>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5">
    <w:nsid w:val="00000114"/>
    <w:multiLevelType w:val="multilevel"/>
    <w:tmpl w:val="00000114"/>
    <w:lvl w:ilvl="0">
      <w:start w:val="3"/>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6">
    <w:nsid w:val="00000115"/>
    <w:multiLevelType w:val="multilevel"/>
    <w:tmpl w:val="00000115"/>
    <w:lvl w:ilvl="0">
      <w:start w:val="4"/>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7">
    <w:nsid w:val="00000116"/>
    <w:multiLevelType w:val="multilevel"/>
    <w:tmpl w:val="00000116"/>
    <w:lvl w:ilvl="0">
      <w:start w:val="5"/>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8">
    <w:nsid w:val="090DFFCF"/>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9">
    <w:nsid w:val="0D0922B1"/>
    <w:multiLevelType w:val="multilevel"/>
    <w:tmpl w:val="00000001"/>
    <w:lvl w:ilvl="0">
      <w:start w:val="1"/>
      <w:numFmt w:val="upperRoman"/>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0">
    <w:nsid w:val="0DEF0FA5"/>
    <w:multiLevelType w:val="multilevel"/>
    <w:tmpl w:val="0000000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1">
    <w:nsid w:val="0F5FA325"/>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2">
    <w:nsid w:val="1009E327"/>
    <w:multiLevelType w:val="multilevel"/>
    <w:tmpl w:val="00000001"/>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3">
    <w:nsid w:val="18CD8E76"/>
    <w:multiLevelType w:val="multilevel"/>
    <w:tmpl w:val="00000001"/>
    <w:lvl w:ilvl="0">
      <w:start w:val="1"/>
      <w:numFmt w:val="upperRoman"/>
      <w:lvlText w:val="(%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4">
    <w:nsid w:val="215DD738"/>
    <w:multiLevelType w:val="multilevel"/>
    <w:tmpl w:val="0000000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5">
    <w:nsid w:val="2B2C3C83"/>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6">
    <w:nsid w:val="2D3E8725"/>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7">
    <w:nsid w:val="2E211029"/>
    <w:multiLevelType w:val="multilevel"/>
    <w:tmpl w:val="00000001"/>
    <w:lvl w:ilvl="0">
      <w:start w:val="1"/>
      <w:numFmt w:val="decimal"/>
      <w:lvlText w:val="18."/>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8">
    <w:nsid w:val="2E6171B6"/>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9">
    <w:nsid w:val="302125AD"/>
    <w:multiLevelType w:val="multilevel"/>
    <w:tmpl w:val="00000001"/>
    <w:lvl w:ilvl="0">
      <w:start w:val="1"/>
      <w:numFmt w:val="decimal"/>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0">
    <w:nsid w:val="34425703"/>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1">
    <w:nsid w:val="37550C6F"/>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2">
    <w:nsid w:val="3DD7EB52"/>
    <w:multiLevelType w:val="multilevel"/>
    <w:tmpl w:val="00000001"/>
    <w:lvl w:ilvl="0">
      <w:start w:val="2"/>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3">
    <w:nsid w:val="3FD1AD09"/>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4">
    <w:nsid w:val="42C200D6"/>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5">
    <w:nsid w:val="430B73B7"/>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6">
    <w:nsid w:val="44766CA8"/>
    <w:multiLevelType w:val="multilevel"/>
    <w:tmpl w:val="00000001"/>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7">
    <w:nsid w:val="44F1420C"/>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8">
    <w:nsid w:val="46094B65"/>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9">
    <w:nsid w:val="46731C5D"/>
    <w:multiLevelType w:val="multilevel"/>
    <w:tmpl w:val="00000001"/>
    <w:lvl w:ilvl="0">
      <w:start w:val="1"/>
      <w:numFmt w:val="decimal"/>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0">
    <w:nsid w:val="484C9DC2"/>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1">
    <w:nsid w:val="4CE50F14"/>
    <w:multiLevelType w:val="multilevel"/>
    <w:tmpl w:val="00000001"/>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2">
    <w:nsid w:val="4DD88B29"/>
    <w:multiLevelType w:val="multilevel"/>
    <w:tmpl w:val="00000001"/>
    <w:lvl w:ilvl="0">
      <w:start w:val="1"/>
      <w:numFmt w:val="upp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3">
    <w:nsid w:val="52E64652"/>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4">
    <w:nsid w:val="546C92B9"/>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5">
    <w:nsid w:val="5C4E72AD"/>
    <w:multiLevelType w:val="multilevel"/>
    <w:tmpl w:val="00000001"/>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6">
    <w:nsid w:val="5D0A8FF8"/>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7">
    <w:nsid w:val="5DFA9E29"/>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8">
    <w:nsid w:val="5E50506C"/>
    <w:multiLevelType w:val="multilevel"/>
    <w:tmpl w:val="00000001"/>
    <w:lvl w:ilvl="0">
      <w:start w:val="1"/>
      <w:numFmt w:val="upperRoman"/>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9">
    <w:nsid w:val="5FADE2CA"/>
    <w:multiLevelType w:val="multilevel"/>
    <w:tmpl w:val="00000001"/>
    <w:lvl w:ilvl="0">
      <w:start w:val="2"/>
      <w:numFmt w:val="lowerLetter"/>
      <w:lvlText w:val=" %1)"/>
      <w:lvlJc w:val="left"/>
      <w:pPr>
        <w:tabs>
          <w:tab w:val="num" w:pos="760"/>
        </w:tabs>
        <w:ind w:left="76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0">
    <w:nsid w:val="67384452"/>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1">
    <w:nsid w:val="684AC06A"/>
    <w:multiLevelType w:val="multilevel"/>
    <w:tmpl w:val="0000000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2">
    <w:nsid w:val="6A037D6E"/>
    <w:multiLevelType w:val="multilevel"/>
    <w:tmpl w:val="0000000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3">
    <w:nsid w:val="6CAA88D2"/>
    <w:multiLevelType w:val="multilevel"/>
    <w:tmpl w:val="00000001"/>
    <w:lvl w:ilvl="0">
      <w:start w:val="1"/>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4">
    <w:nsid w:val="6CEA2459"/>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5">
    <w:nsid w:val="72303C5F"/>
    <w:multiLevelType w:val="multilevel"/>
    <w:tmpl w:val="00000001"/>
    <w:lvl w:ilvl="0">
      <w:start w:val="1"/>
      <w:numFmt w:val="upperRoman"/>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6">
    <w:nsid w:val="72CCF840"/>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7">
    <w:nsid w:val="78C7F6B1"/>
    <w:multiLevelType w:val="multilevel"/>
    <w:tmpl w:val="0000000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8">
    <w:nsid w:val="7D1E34FF"/>
    <w:multiLevelType w:val="multilevel"/>
    <w:tmpl w:val="0000000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279"/>
  </w:num>
  <w:num w:numId="91">
    <w:abstractNumId w:val="284"/>
  </w:num>
  <w:num w:numId="92">
    <w:abstractNumId w:val="89"/>
  </w:num>
  <w:num w:numId="93">
    <w:abstractNumId w:val="90"/>
  </w:num>
  <w:num w:numId="94">
    <w:abstractNumId w:val="91"/>
  </w:num>
  <w:num w:numId="95">
    <w:abstractNumId w:val="92"/>
  </w:num>
  <w:num w:numId="96">
    <w:abstractNumId w:val="93"/>
  </w:num>
  <w:num w:numId="97">
    <w:abstractNumId w:val="94"/>
  </w:num>
  <w:num w:numId="98">
    <w:abstractNumId w:val="95"/>
  </w:num>
  <w:num w:numId="99">
    <w:abstractNumId w:val="317"/>
  </w:num>
  <w:num w:numId="100">
    <w:abstractNumId w:val="283"/>
  </w:num>
  <w:num w:numId="101">
    <w:abstractNumId w:val="314"/>
  </w:num>
  <w:num w:numId="102">
    <w:abstractNumId w:val="306"/>
  </w:num>
  <w:num w:numId="103">
    <w:abstractNumId w:val="318"/>
  </w:num>
  <w:num w:numId="104">
    <w:abstractNumId w:val="307"/>
  </w:num>
  <w:num w:numId="105">
    <w:abstractNumId w:val="316"/>
  </w:num>
  <w:num w:numId="106">
    <w:abstractNumId w:val="288"/>
  </w:num>
  <w:num w:numId="107">
    <w:abstractNumId w:val="312"/>
  </w:num>
  <w:num w:numId="108">
    <w:abstractNumId w:val="294"/>
  </w:num>
  <w:num w:numId="109">
    <w:abstractNumId w:val="308"/>
  </w:num>
  <w:num w:numId="110">
    <w:abstractNumId w:val="285"/>
  </w:num>
  <w:num w:numId="111">
    <w:abstractNumId w:val="296"/>
  </w:num>
  <w:num w:numId="112">
    <w:abstractNumId w:val="301"/>
  </w:num>
  <w:num w:numId="113">
    <w:abstractNumId w:val="309"/>
  </w:num>
  <w:num w:numId="114">
    <w:abstractNumId w:val="291"/>
  </w:num>
  <w:num w:numId="115">
    <w:abstractNumId w:val="287"/>
  </w:num>
  <w:num w:numId="116">
    <w:abstractNumId w:val="96"/>
  </w:num>
  <w:num w:numId="117">
    <w:abstractNumId w:val="97"/>
  </w:num>
  <w:num w:numId="118">
    <w:abstractNumId w:val="98"/>
  </w:num>
  <w:num w:numId="119">
    <w:abstractNumId w:val="286"/>
  </w:num>
  <w:num w:numId="120">
    <w:abstractNumId w:val="292"/>
  </w:num>
  <w:num w:numId="121">
    <w:abstractNumId w:val="302"/>
  </w:num>
  <w:num w:numId="122">
    <w:abstractNumId w:val="289"/>
  </w:num>
  <w:num w:numId="123">
    <w:abstractNumId w:val="282"/>
  </w:num>
  <w:num w:numId="124">
    <w:abstractNumId w:val="310"/>
  </w:num>
  <w:num w:numId="125">
    <w:abstractNumId w:val="299"/>
  </w:num>
  <w:num w:numId="126">
    <w:abstractNumId w:val="293"/>
  </w:num>
  <w:num w:numId="127">
    <w:abstractNumId w:val="298"/>
  </w:num>
  <w:num w:numId="128">
    <w:abstractNumId w:val="313"/>
  </w:num>
  <w:num w:numId="129">
    <w:abstractNumId w:val="303"/>
  </w:num>
  <w:num w:numId="130">
    <w:abstractNumId w:val="297"/>
  </w:num>
  <w:num w:numId="131">
    <w:abstractNumId w:val="278"/>
  </w:num>
  <w:num w:numId="132">
    <w:abstractNumId w:val="290"/>
  </w:num>
  <w:num w:numId="133">
    <w:abstractNumId w:val="280"/>
  </w:num>
  <w:num w:numId="134">
    <w:abstractNumId w:val="311"/>
  </w:num>
  <w:num w:numId="135">
    <w:abstractNumId w:val="300"/>
  </w:num>
  <w:num w:numId="136">
    <w:abstractNumId w:val="304"/>
  </w:num>
  <w:num w:numId="137">
    <w:abstractNumId w:val="99"/>
  </w:num>
  <w:num w:numId="138">
    <w:abstractNumId w:val="100"/>
  </w:num>
  <w:num w:numId="139">
    <w:abstractNumId w:val="101"/>
  </w:num>
  <w:num w:numId="140">
    <w:abstractNumId w:val="102"/>
  </w:num>
  <w:num w:numId="141">
    <w:abstractNumId w:val="103"/>
  </w:num>
  <w:num w:numId="142">
    <w:abstractNumId w:val="104"/>
  </w:num>
  <w:num w:numId="143">
    <w:abstractNumId w:val="105"/>
  </w:num>
  <w:num w:numId="144">
    <w:abstractNumId w:val="106"/>
  </w:num>
  <w:num w:numId="145">
    <w:abstractNumId w:val="107"/>
  </w:num>
  <w:num w:numId="146">
    <w:abstractNumId w:val="108"/>
  </w:num>
  <w:num w:numId="147">
    <w:abstractNumId w:val="109"/>
  </w:num>
  <w:num w:numId="148">
    <w:abstractNumId w:val="110"/>
  </w:num>
  <w:num w:numId="149">
    <w:abstractNumId w:val="111"/>
  </w:num>
  <w:num w:numId="150">
    <w:abstractNumId w:val="112"/>
  </w:num>
  <w:num w:numId="151">
    <w:abstractNumId w:val="113"/>
  </w:num>
  <w:num w:numId="152">
    <w:abstractNumId w:val="114"/>
  </w:num>
  <w:num w:numId="153">
    <w:abstractNumId w:val="115"/>
  </w:num>
  <w:num w:numId="154">
    <w:abstractNumId w:val="116"/>
  </w:num>
  <w:num w:numId="155">
    <w:abstractNumId w:val="117"/>
  </w:num>
  <w:num w:numId="156">
    <w:abstractNumId w:val="118"/>
  </w:num>
  <w:num w:numId="157">
    <w:abstractNumId w:val="119"/>
  </w:num>
  <w:num w:numId="158">
    <w:abstractNumId w:val="120"/>
  </w:num>
  <w:num w:numId="159">
    <w:abstractNumId w:val="121"/>
  </w:num>
  <w:num w:numId="160">
    <w:abstractNumId w:val="122"/>
  </w:num>
  <w:num w:numId="161">
    <w:abstractNumId w:val="123"/>
  </w:num>
  <w:num w:numId="162">
    <w:abstractNumId w:val="124"/>
  </w:num>
  <w:num w:numId="163">
    <w:abstractNumId w:val="125"/>
  </w:num>
  <w:num w:numId="164">
    <w:abstractNumId w:val="126"/>
  </w:num>
  <w:num w:numId="165">
    <w:abstractNumId w:val="127"/>
  </w:num>
  <w:num w:numId="166">
    <w:abstractNumId w:val="128"/>
  </w:num>
  <w:num w:numId="167">
    <w:abstractNumId w:val="129"/>
  </w:num>
  <w:num w:numId="168">
    <w:abstractNumId w:val="130"/>
  </w:num>
  <w:num w:numId="169">
    <w:abstractNumId w:val="131"/>
  </w:num>
  <w:num w:numId="170">
    <w:abstractNumId w:val="132"/>
  </w:num>
  <w:num w:numId="171">
    <w:abstractNumId w:val="133"/>
  </w:num>
  <w:num w:numId="172">
    <w:abstractNumId w:val="134"/>
  </w:num>
  <w:num w:numId="173">
    <w:abstractNumId w:val="135"/>
  </w:num>
  <w:num w:numId="174">
    <w:abstractNumId w:val="136"/>
  </w:num>
  <w:num w:numId="175">
    <w:abstractNumId w:val="137"/>
  </w:num>
  <w:num w:numId="176">
    <w:abstractNumId w:val="138"/>
  </w:num>
  <w:num w:numId="177">
    <w:abstractNumId w:val="139"/>
  </w:num>
  <w:num w:numId="178">
    <w:abstractNumId w:val="140"/>
  </w:num>
  <w:num w:numId="179">
    <w:abstractNumId w:val="141"/>
  </w:num>
  <w:num w:numId="180">
    <w:abstractNumId w:val="142"/>
  </w:num>
  <w:num w:numId="181">
    <w:abstractNumId w:val="143"/>
  </w:num>
  <w:num w:numId="182">
    <w:abstractNumId w:val="144"/>
  </w:num>
  <w:num w:numId="183">
    <w:abstractNumId w:val="145"/>
  </w:num>
  <w:num w:numId="184">
    <w:abstractNumId w:val="146"/>
  </w:num>
  <w:num w:numId="185">
    <w:abstractNumId w:val="147"/>
  </w:num>
  <w:num w:numId="186">
    <w:abstractNumId w:val="148"/>
  </w:num>
  <w:num w:numId="187">
    <w:abstractNumId w:val="149"/>
  </w:num>
  <w:num w:numId="188">
    <w:abstractNumId w:val="150"/>
  </w:num>
  <w:num w:numId="189">
    <w:abstractNumId w:val="151"/>
  </w:num>
  <w:num w:numId="190">
    <w:abstractNumId w:val="152"/>
  </w:num>
  <w:num w:numId="191">
    <w:abstractNumId w:val="153"/>
  </w:num>
  <w:num w:numId="192">
    <w:abstractNumId w:val="154"/>
  </w:num>
  <w:num w:numId="193">
    <w:abstractNumId w:val="155"/>
  </w:num>
  <w:num w:numId="194">
    <w:abstractNumId w:val="156"/>
  </w:num>
  <w:num w:numId="195">
    <w:abstractNumId w:val="157"/>
  </w:num>
  <w:num w:numId="196">
    <w:abstractNumId w:val="158"/>
  </w:num>
  <w:num w:numId="197">
    <w:abstractNumId w:val="159"/>
  </w:num>
  <w:num w:numId="198">
    <w:abstractNumId w:val="160"/>
  </w:num>
  <w:num w:numId="199">
    <w:abstractNumId w:val="161"/>
  </w:num>
  <w:num w:numId="200">
    <w:abstractNumId w:val="162"/>
  </w:num>
  <w:num w:numId="201">
    <w:abstractNumId w:val="163"/>
  </w:num>
  <w:num w:numId="202">
    <w:abstractNumId w:val="164"/>
  </w:num>
  <w:num w:numId="203">
    <w:abstractNumId w:val="165"/>
  </w:num>
  <w:num w:numId="204">
    <w:abstractNumId w:val="166"/>
  </w:num>
  <w:num w:numId="205">
    <w:abstractNumId w:val="167"/>
  </w:num>
  <w:num w:numId="206">
    <w:abstractNumId w:val="168"/>
  </w:num>
  <w:num w:numId="207">
    <w:abstractNumId w:val="169"/>
  </w:num>
  <w:num w:numId="208">
    <w:abstractNumId w:val="170"/>
  </w:num>
  <w:num w:numId="209">
    <w:abstractNumId w:val="171"/>
  </w:num>
  <w:num w:numId="210">
    <w:abstractNumId w:val="172"/>
  </w:num>
  <w:num w:numId="211">
    <w:abstractNumId w:val="173"/>
  </w:num>
  <w:num w:numId="212">
    <w:abstractNumId w:val="174"/>
  </w:num>
  <w:num w:numId="213">
    <w:abstractNumId w:val="175"/>
  </w:num>
  <w:num w:numId="214">
    <w:abstractNumId w:val="176"/>
  </w:num>
  <w:num w:numId="215">
    <w:abstractNumId w:val="177"/>
  </w:num>
  <w:num w:numId="216">
    <w:abstractNumId w:val="178"/>
  </w:num>
  <w:num w:numId="217">
    <w:abstractNumId w:val="179"/>
  </w:num>
  <w:num w:numId="218">
    <w:abstractNumId w:val="180"/>
  </w:num>
  <w:num w:numId="219">
    <w:abstractNumId w:val="181"/>
  </w:num>
  <w:num w:numId="220">
    <w:abstractNumId w:val="182"/>
  </w:num>
  <w:num w:numId="221">
    <w:abstractNumId w:val="183"/>
  </w:num>
  <w:num w:numId="222">
    <w:abstractNumId w:val="184"/>
  </w:num>
  <w:num w:numId="223">
    <w:abstractNumId w:val="185"/>
  </w:num>
  <w:num w:numId="224">
    <w:abstractNumId w:val="186"/>
  </w:num>
  <w:num w:numId="225">
    <w:abstractNumId w:val="187"/>
  </w:num>
  <w:num w:numId="226">
    <w:abstractNumId w:val="188"/>
  </w:num>
  <w:num w:numId="227">
    <w:abstractNumId w:val="189"/>
  </w:num>
  <w:num w:numId="228">
    <w:abstractNumId w:val="190"/>
  </w:num>
  <w:num w:numId="229">
    <w:abstractNumId w:val="191"/>
  </w:num>
  <w:num w:numId="230">
    <w:abstractNumId w:val="192"/>
  </w:num>
  <w:num w:numId="231">
    <w:abstractNumId w:val="193"/>
  </w:num>
  <w:num w:numId="232">
    <w:abstractNumId w:val="194"/>
  </w:num>
  <w:num w:numId="233">
    <w:abstractNumId w:val="195"/>
  </w:num>
  <w:num w:numId="234">
    <w:abstractNumId w:val="196"/>
  </w:num>
  <w:num w:numId="235">
    <w:abstractNumId w:val="197"/>
  </w:num>
  <w:num w:numId="236">
    <w:abstractNumId w:val="198"/>
  </w:num>
  <w:num w:numId="237">
    <w:abstractNumId w:val="199"/>
  </w:num>
  <w:num w:numId="238">
    <w:abstractNumId w:val="200"/>
  </w:num>
  <w:num w:numId="239">
    <w:abstractNumId w:val="201"/>
  </w:num>
  <w:num w:numId="240">
    <w:abstractNumId w:val="202"/>
  </w:num>
  <w:num w:numId="241">
    <w:abstractNumId w:val="203"/>
  </w:num>
  <w:num w:numId="242">
    <w:abstractNumId w:val="204"/>
  </w:num>
  <w:num w:numId="243">
    <w:abstractNumId w:val="205"/>
  </w:num>
  <w:num w:numId="244">
    <w:abstractNumId w:val="206"/>
  </w:num>
  <w:num w:numId="245">
    <w:abstractNumId w:val="207"/>
  </w:num>
  <w:num w:numId="246">
    <w:abstractNumId w:val="208"/>
  </w:num>
  <w:num w:numId="247">
    <w:abstractNumId w:val="209"/>
  </w:num>
  <w:num w:numId="248">
    <w:abstractNumId w:val="210"/>
  </w:num>
  <w:num w:numId="249">
    <w:abstractNumId w:val="211"/>
  </w:num>
  <w:num w:numId="250">
    <w:abstractNumId w:val="212"/>
  </w:num>
  <w:num w:numId="251">
    <w:abstractNumId w:val="213"/>
  </w:num>
  <w:num w:numId="252">
    <w:abstractNumId w:val="214"/>
  </w:num>
  <w:num w:numId="253">
    <w:abstractNumId w:val="215"/>
  </w:num>
  <w:num w:numId="254">
    <w:abstractNumId w:val="216"/>
  </w:num>
  <w:num w:numId="255">
    <w:abstractNumId w:val="217"/>
  </w:num>
  <w:num w:numId="256">
    <w:abstractNumId w:val="218"/>
  </w:num>
  <w:num w:numId="257">
    <w:abstractNumId w:val="219"/>
  </w:num>
  <w:num w:numId="258">
    <w:abstractNumId w:val="220"/>
  </w:num>
  <w:num w:numId="259">
    <w:abstractNumId w:val="221"/>
  </w:num>
  <w:num w:numId="260">
    <w:abstractNumId w:val="222"/>
  </w:num>
  <w:num w:numId="261">
    <w:abstractNumId w:val="223"/>
  </w:num>
  <w:num w:numId="262">
    <w:abstractNumId w:val="224"/>
  </w:num>
  <w:num w:numId="263">
    <w:abstractNumId w:val="225"/>
  </w:num>
  <w:num w:numId="264">
    <w:abstractNumId w:val="226"/>
  </w:num>
  <w:num w:numId="265">
    <w:abstractNumId w:val="227"/>
  </w:num>
  <w:num w:numId="266">
    <w:abstractNumId w:val="228"/>
  </w:num>
  <w:num w:numId="267">
    <w:abstractNumId w:val="229"/>
  </w:num>
  <w:num w:numId="268">
    <w:abstractNumId w:val="230"/>
  </w:num>
  <w:num w:numId="269">
    <w:abstractNumId w:val="231"/>
  </w:num>
  <w:num w:numId="270">
    <w:abstractNumId w:val="232"/>
  </w:num>
  <w:num w:numId="271">
    <w:abstractNumId w:val="233"/>
  </w:num>
  <w:num w:numId="272">
    <w:abstractNumId w:val="234"/>
  </w:num>
  <w:num w:numId="273">
    <w:abstractNumId w:val="235"/>
  </w:num>
  <w:num w:numId="274">
    <w:abstractNumId w:val="236"/>
  </w:num>
  <w:num w:numId="275">
    <w:abstractNumId w:val="237"/>
  </w:num>
  <w:num w:numId="276">
    <w:abstractNumId w:val="238"/>
  </w:num>
  <w:num w:numId="277">
    <w:abstractNumId w:val="239"/>
  </w:num>
  <w:num w:numId="278">
    <w:abstractNumId w:val="240"/>
  </w:num>
  <w:num w:numId="279">
    <w:abstractNumId w:val="241"/>
  </w:num>
  <w:num w:numId="280">
    <w:abstractNumId w:val="242"/>
  </w:num>
  <w:num w:numId="281">
    <w:abstractNumId w:val="243"/>
  </w:num>
  <w:num w:numId="282">
    <w:abstractNumId w:val="244"/>
  </w:num>
  <w:num w:numId="283">
    <w:abstractNumId w:val="245"/>
  </w:num>
  <w:num w:numId="284">
    <w:abstractNumId w:val="246"/>
  </w:num>
  <w:num w:numId="285">
    <w:abstractNumId w:val="247"/>
  </w:num>
  <w:num w:numId="286">
    <w:abstractNumId w:val="248"/>
  </w:num>
  <w:num w:numId="287">
    <w:abstractNumId w:val="249"/>
  </w:num>
  <w:num w:numId="288">
    <w:abstractNumId w:val="250"/>
  </w:num>
  <w:num w:numId="289">
    <w:abstractNumId w:val="251"/>
  </w:num>
  <w:num w:numId="290">
    <w:abstractNumId w:val="252"/>
  </w:num>
  <w:num w:numId="291">
    <w:abstractNumId w:val="253"/>
  </w:num>
  <w:num w:numId="292">
    <w:abstractNumId w:val="254"/>
  </w:num>
  <w:num w:numId="293">
    <w:abstractNumId w:val="255"/>
  </w:num>
  <w:num w:numId="294">
    <w:abstractNumId w:val="256"/>
  </w:num>
  <w:num w:numId="295">
    <w:abstractNumId w:val="257"/>
  </w:num>
  <w:num w:numId="296">
    <w:abstractNumId w:val="258"/>
  </w:num>
  <w:num w:numId="297">
    <w:abstractNumId w:val="259"/>
  </w:num>
  <w:num w:numId="298">
    <w:abstractNumId w:val="260"/>
  </w:num>
  <w:num w:numId="299">
    <w:abstractNumId w:val="261"/>
  </w:num>
  <w:num w:numId="300">
    <w:abstractNumId w:val="262"/>
  </w:num>
  <w:num w:numId="301">
    <w:abstractNumId w:val="263"/>
  </w:num>
  <w:num w:numId="302">
    <w:abstractNumId w:val="264"/>
  </w:num>
  <w:num w:numId="303">
    <w:abstractNumId w:val="265"/>
  </w:num>
  <w:num w:numId="304">
    <w:abstractNumId w:val="266"/>
  </w:num>
  <w:num w:numId="305">
    <w:abstractNumId w:val="267"/>
  </w:num>
  <w:num w:numId="306">
    <w:abstractNumId w:val="268"/>
  </w:num>
  <w:num w:numId="307">
    <w:abstractNumId w:val="269"/>
  </w:num>
  <w:num w:numId="308">
    <w:abstractNumId w:val="270"/>
  </w:num>
  <w:num w:numId="309">
    <w:abstractNumId w:val="271"/>
  </w:num>
  <w:num w:numId="310">
    <w:abstractNumId w:val="272"/>
  </w:num>
  <w:num w:numId="311">
    <w:abstractNumId w:val="273"/>
  </w:num>
  <w:num w:numId="312">
    <w:abstractNumId w:val="274"/>
  </w:num>
  <w:num w:numId="313">
    <w:abstractNumId w:val="275"/>
  </w:num>
  <w:num w:numId="314">
    <w:abstractNumId w:val="276"/>
  </w:num>
  <w:num w:numId="315">
    <w:abstractNumId w:val="277"/>
  </w:num>
  <w:num w:numId="316">
    <w:abstractNumId w:val="305"/>
  </w:num>
  <w:num w:numId="317">
    <w:abstractNumId w:val="295"/>
  </w:num>
  <w:num w:numId="318">
    <w:abstractNumId w:val="281"/>
  </w:num>
  <w:num w:numId="319">
    <w:abstractNumId w:val="31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eastAsia="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cases-ca&amp;id=urn:contentItem:5SBM-WNB1-FGJR-21YF-00000-00&amp;context=" TargetMode="External" /><Relationship Id="rId100" Type="http://schemas.openxmlformats.org/officeDocument/2006/relationships/hyperlink" Target="https://advance.lexis.com/api/document?collection=cases-ca&amp;id=urn:contentItem:5F7T-S7N1-F57G-S2M7-00000-00&amp;context=" TargetMode="External" /><Relationship Id="rId1000" Type="http://schemas.openxmlformats.org/officeDocument/2006/relationships/hyperlink" Target="https://advance.lexis.com/api/document?collection=cases-ca&amp;id=urn:contentItem:5F7T-S7G1-JBT7-X3WK-00000-00&amp;context=" TargetMode="External" /><Relationship Id="rId1001" Type="http://schemas.openxmlformats.org/officeDocument/2006/relationships/hyperlink" Target="https://advance.lexis.com/api/document?collection=cases-ca&amp;id=urn:contentItem:5F7T-S781-F7G6-63PY-00000-00&amp;context=" TargetMode="External" /><Relationship Id="rId1002" Type="http://schemas.openxmlformats.org/officeDocument/2006/relationships/hyperlink" Target="https://advance.lexis.com/api/document?collection=cases-ca&amp;id=urn:contentItem:5F7T-S7H1-F016-S45D-00000-00&amp;context=" TargetMode="External" /><Relationship Id="rId1003" Type="http://schemas.openxmlformats.org/officeDocument/2006/relationships/hyperlink" Target="https://advance.lexis.com/api/document?collection=cases-ca&amp;id=urn:contentItem:5F7T-S781-F06F-23Y9-00000-00&amp;context=" TargetMode="External" /><Relationship Id="rId1004" Type="http://schemas.openxmlformats.org/officeDocument/2006/relationships/hyperlink" Target="https://advance.lexis.com/api/document?collection=cases-ca&amp;id=urn:contentItem:5F7T-S721-F956-S1H7-00000-00&amp;context=" TargetMode="External" /><Relationship Id="rId1005" Type="http://schemas.openxmlformats.org/officeDocument/2006/relationships/hyperlink" Target="https://advance.lexis.com/api/document?collection=cases-ca&amp;id=urn:contentItem:5F7T-S741-F528-G2GD-00000-00&amp;context=" TargetMode="External" /><Relationship Id="rId1006" Type="http://schemas.openxmlformats.org/officeDocument/2006/relationships/hyperlink" Target="https://advance.lexis.com/api/document?collection=cases-ca&amp;id=urn:contentItem:5F7T-S771-JSJC-X05N-00000-00&amp;context=" TargetMode="External" /><Relationship Id="rId1007" Type="http://schemas.openxmlformats.org/officeDocument/2006/relationships/hyperlink" Target="https://advance.lexis.com/api/document?collection=cases-ca&amp;id=urn:contentItem:5F7T-S781-JC5P-G1NF-00000-00&amp;context=" TargetMode="External" /><Relationship Id="rId1008" Type="http://schemas.openxmlformats.org/officeDocument/2006/relationships/hyperlink" Target="https://advance.lexis.com/api/document?collection=cases-ca&amp;id=urn:contentItem:5F81-VJY1-FBN1-22RF-00000-00&amp;context=" TargetMode="External" /><Relationship Id="rId1009" Type="http://schemas.openxmlformats.org/officeDocument/2006/relationships/hyperlink" Target="https://advance.lexis.com/api/document?collection=cases-ca&amp;id=urn:contentItem:5F7T-S7K1-F1H1-2211-00000-00&amp;context=" TargetMode="External" /><Relationship Id="rId101" Type="http://schemas.openxmlformats.org/officeDocument/2006/relationships/hyperlink" Target="https://advance.lexis.com/api/document?collection=cases-ca&amp;id=urn:contentItem:5F8T-N3V1-JTGH-B0YB-00000-00&amp;context=" TargetMode="External" /><Relationship Id="rId1010" Type="http://schemas.openxmlformats.org/officeDocument/2006/relationships/hyperlink" Target="https://advance.lexis.com/api/document?collection=cases-ca&amp;id=urn:contentItem:5F7T-S7K1-DXWW-2018-00000-00&amp;context=" TargetMode="External" /><Relationship Id="rId1011" Type="http://schemas.openxmlformats.org/officeDocument/2006/relationships/header" Target="header127.xml" /><Relationship Id="rId1012" Type="http://schemas.openxmlformats.org/officeDocument/2006/relationships/header" Target="header128.xml" /><Relationship Id="rId1013" Type="http://schemas.openxmlformats.org/officeDocument/2006/relationships/footer" Target="footer127.xml" /><Relationship Id="rId1014" Type="http://schemas.openxmlformats.org/officeDocument/2006/relationships/footer" Target="footer128.xml" /><Relationship Id="rId1015" Type="http://schemas.openxmlformats.org/officeDocument/2006/relationships/header" Target="header129.xml" /><Relationship Id="rId1016" Type="http://schemas.openxmlformats.org/officeDocument/2006/relationships/footer" Target="footer129.xml" /><Relationship Id="rId1017" Type="http://schemas.openxmlformats.org/officeDocument/2006/relationships/hyperlink" Target="https://advance.lexis.com/api/document?collection=cases-ca&amp;id=urn:contentItem:5F7T-S781-F06F-242C-00000-00&amp;context=" TargetMode="External" /><Relationship Id="rId1018" Type="http://schemas.openxmlformats.org/officeDocument/2006/relationships/hyperlink" Target="https://advance.lexis.com/api/document?collection=cases-ca&amp;id=urn:contentItem:5F7T-S751-JNS1-M1TY-00000-00&amp;context=" TargetMode="External" /><Relationship Id="rId1019" Type="http://schemas.openxmlformats.org/officeDocument/2006/relationships/hyperlink" Target="https://advance.lexis.com/api/document?collection=cases-ca&amp;id=urn:contentItem:5F7T-S741-DY89-M3BS-00000-00&amp;context=" TargetMode="External" /><Relationship Id="rId102" Type="http://schemas.openxmlformats.org/officeDocument/2006/relationships/hyperlink" Target="https://advance.lexis.com/api/document?collection=cases-ca&amp;id=urn:contentItem:5F7T-S7N1-F06F-24M7-00000-00&amp;context=" TargetMode="External" /><Relationship Id="rId1020" Type="http://schemas.openxmlformats.org/officeDocument/2006/relationships/hyperlink" Target="https://advance.lexis.com/api/document?collection=cases-ca&amp;id=urn:contentItem:5F7T-S6W1-JYYX-61N3-00000-00&amp;context=" TargetMode="External" /><Relationship Id="rId1021" Type="http://schemas.openxmlformats.org/officeDocument/2006/relationships/header" Target="header130.xml" /><Relationship Id="rId1022" Type="http://schemas.openxmlformats.org/officeDocument/2006/relationships/header" Target="header131.xml" /><Relationship Id="rId1023" Type="http://schemas.openxmlformats.org/officeDocument/2006/relationships/footer" Target="footer130.xml" /><Relationship Id="rId1024" Type="http://schemas.openxmlformats.org/officeDocument/2006/relationships/footer" Target="footer131.xml" /><Relationship Id="rId1025" Type="http://schemas.openxmlformats.org/officeDocument/2006/relationships/header" Target="header132.xml" /><Relationship Id="rId1026" Type="http://schemas.openxmlformats.org/officeDocument/2006/relationships/footer" Target="footer132.xml" /><Relationship Id="rId1027" Type="http://schemas.openxmlformats.org/officeDocument/2006/relationships/hyperlink" Target="https://advance.lexis.com/api/document?collection=cases-ca&amp;id=urn:contentItem:5HX7-VJ11-FCSB-S3YY-00000-00&amp;context=" TargetMode="External" /><Relationship Id="rId1028" Type="http://schemas.openxmlformats.org/officeDocument/2006/relationships/hyperlink" Target="https://advance.lexis.com/api/document?collection=cases-ca&amp;id=urn:contentItem:5K6Y-81T1-JYYX-622M-00000-00&amp;context=" TargetMode="External" /><Relationship Id="rId1029" Type="http://schemas.openxmlformats.org/officeDocument/2006/relationships/hyperlink" Target="https://advance.lexis.com/api/document?collection=legislation-ca&amp;id=urn:contentItem:5F41-1FH1-F361-M0HG-00000-00&amp;context=" TargetMode="External" /><Relationship Id="rId103" Type="http://schemas.openxmlformats.org/officeDocument/2006/relationships/hyperlink" Target="https://advance.lexis.com/api/document?collection=cases-ca&amp;id=urn:contentItem:5F7T-S7B1-F7ND-G4YK-00000-00&amp;context=" TargetMode="External" /><Relationship Id="rId1030" Type="http://schemas.openxmlformats.org/officeDocument/2006/relationships/hyperlink" Target="https://advance.lexis.com/api/document?collection=cases-ca&amp;id=urn:contentItem:5F7T-S7K1-JWXF-20X0-00000-00&amp;context=" TargetMode="External" /><Relationship Id="rId1031" Type="http://schemas.openxmlformats.org/officeDocument/2006/relationships/hyperlink" Target="https://advance.lexis.com/api/document?collection=cases-ca&amp;id=urn:contentItem:5F82-1SJ1-DYMS-63D0-00000-00&amp;context=" TargetMode="External" /><Relationship Id="rId1032" Type="http://schemas.openxmlformats.org/officeDocument/2006/relationships/hyperlink" Target="https://advance.lexis.com/api/document?collection=cases-ca&amp;id=urn:contentItem:5F7T-S7J1-FGCG-S0JS-00000-00&amp;context=" TargetMode="External" /><Relationship Id="rId1033" Type="http://schemas.openxmlformats.org/officeDocument/2006/relationships/hyperlink" Target="https://advance.lexis.com/api/document?collection=cases-ca&amp;id=urn:contentItem:5F7T-S7H1-FCSB-S3W5-00000-00&amp;context=" TargetMode="External" /><Relationship Id="rId1034" Type="http://schemas.openxmlformats.org/officeDocument/2006/relationships/hyperlink" Target="https://advance.lexis.com/api/document?collection=cases-ca&amp;id=urn:contentItem:5F7T-S721-F4NT-X2FR-00000-00&amp;context=" TargetMode="External" /><Relationship Id="rId1035" Type="http://schemas.openxmlformats.org/officeDocument/2006/relationships/image" Target="media/image6.png" /><Relationship Id="rId1036" Type="http://schemas.openxmlformats.org/officeDocument/2006/relationships/header" Target="header133.xml" /><Relationship Id="rId1037" Type="http://schemas.openxmlformats.org/officeDocument/2006/relationships/header" Target="header134.xml" /><Relationship Id="rId1038" Type="http://schemas.openxmlformats.org/officeDocument/2006/relationships/footer" Target="footer133.xml" /><Relationship Id="rId1039" Type="http://schemas.openxmlformats.org/officeDocument/2006/relationships/footer" Target="footer134.xml" /><Relationship Id="rId104" Type="http://schemas.openxmlformats.org/officeDocument/2006/relationships/hyperlink" Target="https://advance.lexis.com/api/document?collection=cases-ca&amp;id=urn:contentItem:5F7T-S7K1-JNY7-X4KX-00000-00&amp;context=" TargetMode="External" /><Relationship Id="rId1040" Type="http://schemas.openxmlformats.org/officeDocument/2006/relationships/header" Target="header135.xml" /><Relationship Id="rId1041" Type="http://schemas.openxmlformats.org/officeDocument/2006/relationships/footer" Target="footer135.xml" /><Relationship Id="rId1042" Type="http://schemas.openxmlformats.org/officeDocument/2006/relationships/hyperlink" Target="https://advance.lexis.com/api/document?collection=cases-ca&amp;id=urn:contentItem:5F7T-S7D1-FCSB-S2Y7-00000-00&amp;context=" TargetMode="External" /><Relationship Id="rId1043" Type="http://schemas.openxmlformats.org/officeDocument/2006/relationships/hyperlink" Target="https://advance.lexis.com/api/document?collection=cases-ca&amp;id=urn:contentItem:5K6Y-81M1-F65M-61J5-00000-00&amp;context=" TargetMode="External" /><Relationship Id="rId1044" Type="http://schemas.openxmlformats.org/officeDocument/2006/relationships/hyperlink" Target="https://advance.lexis.com/api/document?collection=cases-ca&amp;id=urn:contentItem:5F7T-S6T1-F2F4-G1FF-00000-00&amp;context=" TargetMode="External" /><Relationship Id="rId1045" Type="http://schemas.openxmlformats.org/officeDocument/2006/relationships/hyperlink" Target="https://advance.lexis.com/api/document?collection=cases-ca&amp;id=urn:contentItem:5F7T-S6Y1-JP9P-G1F0-00000-00&amp;context=" TargetMode="External" /><Relationship Id="rId1046" Type="http://schemas.openxmlformats.org/officeDocument/2006/relationships/hyperlink" Target="https://advance.lexis.com/api/document?collection=cases-ca&amp;id=urn:contentItem:5F7T-S791-FJTD-G2KW-00000-00&amp;context=" TargetMode="External" /><Relationship Id="rId1047" Type="http://schemas.openxmlformats.org/officeDocument/2006/relationships/header" Target="header136.xml" /><Relationship Id="rId1048" Type="http://schemas.openxmlformats.org/officeDocument/2006/relationships/header" Target="header137.xml" /><Relationship Id="rId1049" Type="http://schemas.openxmlformats.org/officeDocument/2006/relationships/footer" Target="footer136.xml" /><Relationship Id="rId105" Type="http://schemas.openxmlformats.org/officeDocument/2006/relationships/hyperlink" Target="https://advance.lexis.com/api/document?collection=cases-ca&amp;id=urn:contentItem:5F7T-S7M1-F4W2-62H4-00000-00&amp;context=" TargetMode="External" /><Relationship Id="rId1050" Type="http://schemas.openxmlformats.org/officeDocument/2006/relationships/footer" Target="footer137.xml" /><Relationship Id="rId1051" Type="http://schemas.openxmlformats.org/officeDocument/2006/relationships/header" Target="header138.xml" /><Relationship Id="rId1052" Type="http://schemas.openxmlformats.org/officeDocument/2006/relationships/footer" Target="footer138.xml" /><Relationship Id="rId1053" Type="http://schemas.openxmlformats.org/officeDocument/2006/relationships/hyperlink" Target="https://advance.lexis.com/api/document?collection=cases-ca&amp;id=urn:contentItem:5JR8-HSY1-JGPY-X012-00000-00&amp;context=" TargetMode="External" /><Relationship Id="rId1054" Type="http://schemas.openxmlformats.org/officeDocument/2006/relationships/hyperlink" Target="https://advance.lexis.com/api/document?collection=legislation-ca&amp;id=urn:contentItem:5GPJ-S2W1-DXPM-S018-00000-00&amp;context=" TargetMode="External" /><Relationship Id="rId1055" Type="http://schemas.openxmlformats.org/officeDocument/2006/relationships/hyperlink" Target="https://advance.lexis.com/api/document?collection=legislation-ca&amp;id=urn:contentItem:5F97-RC71-JJ6S-60J1-00000-00&amp;context=" TargetMode="External" /><Relationship Id="rId1056" Type="http://schemas.openxmlformats.org/officeDocument/2006/relationships/hyperlink" Target="https://advance.lexis.com/api/document?collection=legislation-ca&amp;id=urn:contentItem:5F41-1FN1-JB7K-21PF-00000-00&amp;context=" TargetMode="External" /><Relationship Id="rId1057" Type="http://schemas.openxmlformats.org/officeDocument/2006/relationships/hyperlink" Target="https://advance.lexis.com/api/document?collection=legislation-ca&amp;id=urn:contentItem:5F41-1FH1-JSRM-601D-00000-00&amp;context=" TargetMode="External" /><Relationship Id="rId1058" Type="http://schemas.openxmlformats.org/officeDocument/2006/relationships/hyperlink" Target="https://advance.lexis.com/api/document?collection=legislation-ca&amp;id=urn:contentItem:5F41-1FK1-FJM6-616C-00000-00&amp;context=" TargetMode="External" /><Relationship Id="rId1059" Type="http://schemas.openxmlformats.org/officeDocument/2006/relationships/hyperlink" Target="https://advance.lexis.com/api/document?collection=cases-ca&amp;id=urn:contentItem:5GCC-XVC1-JSRM-60FT-00000-00&amp;context=" TargetMode="External" /><Relationship Id="rId106" Type="http://schemas.openxmlformats.org/officeDocument/2006/relationships/hyperlink" Target="https://advance.lexis.com/api/document?collection=cases-ca&amp;id=urn:contentItem:5F7T-S731-F1WF-M2HD-00000-00&amp;context=" TargetMode="External" /><Relationship Id="rId1060" Type="http://schemas.openxmlformats.org/officeDocument/2006/relationships/hyperlink" Target="https://advance.lexis.com/api/document?collection=cases-ca&amp;id=urn:contentItem:5F7T-S7K1-JKHB-631H-00000-00&amp;context=" TargetMode="External" /><Relationship Id="rId1061" Type="http://schemas.openxmlformats.org/officeDocument/2006/relationships/hyperlink" Target="https://advance.lexis.com/api/document?collection=cases-ca&amp;id=urn:contentItem:5F7T-S7G1-JWR6-S1R8-00000-00&amp;context=" TargetMode="External" /><Relationship Id="rId1062" Type="http://schemas.openxmlformats.org/officeDocument/2006/relationships/hyperlink" Target="https://advance.lexis.com/api/document?collection=cases-ca&amp;id=urn:contentItem:5F7T-S7C1-FGRY-B08S-00000-00&amp;context=" TargetMode="External" /><Relationship Id="rId1063" Type="http://schemas.openxmlformats.org/officeDocument/2006/relationships/hyperlink" Target="https://advance.lexis.com/api/document?collection=cases-ca&amp;id=urn:contentItem:5F8T-N3V1-JTGH-B0YX-00000-00&amp;context=" TargetMode="External" /><Relationship Id="rId1064" Type="http://schemas.openxmlformats.org/officeDocument/2006/relationships/hyperlink" Target="https://advance.lexis.com/api/document?collection=cases-ca&amp;id=urn:contentItem:5F7T-S7K1-F1H1-22F0-00000-00&amp;context=" TargetMode="External" /><Relationship Id="rId1065" Type="http://schemas.openxmlformats.org/officeDocument/2006/relationships/hyperlink" Target="https://advance.lexis.com/api/document?collection=cases-ca&amp;id=urn:contentItem:5F7T-S7N1-JWR6-S23V-00000-00&amp;context=" TargetMode="External" /><Relationship Id="rId1066" Type="http://schemas.openxmlformats.org/officeDocument/2006/relationships/hyperlink" Target="https://advance.lexis.com/api/document?collection=cases-ca&amp;id=urn:contentItem:5F7T-S7F1-F7VM-S4F6-00000-00&amp;context=" TargetMode="External" /><Relationship Id="rId1067" Type="http://schemas.openxmlformats.org/officeDocument/2006/relationships/hyperlink" Target="https://advance.lexis.com/api/document?collection=cases-ca&amp;id=urn:contentItem:5F8T-N3V1-FH4C-X22N-00000-00&amp;context=" TargetMode="External" /><Relationship Id="rId1068" Type="http://schemas.openxmlformats.org/officeDocument/2006/relationships/hyperlink" Target="https://advance.lexis.com/api/document?collection=cases-ca&amp;id=urn:contentItem:5G5W-G1N1-F8D9-M0Y5-00000-00&amp;context=" TargetMode="External" /><Relationship Id="rId1069" Type="http://schemas.openxmlformats.org/officeDocument/2006/relationships/hyperlink" Target="https://advance.lexis.com/api/document?collection=cases-ca&amp;id=urn:contentItem:5F8T-N3T1-JJSF-236R-00000-00&amp;context=" TargetMode="External" /><Relationship Id="rId107" Type="http://schemas.openxmlformats.org/officeDocument/2006/relationships/hyperlink" Target="https://advance.lexis.com/api/document?collection=cases-ca&amp;id=urn:contentItem:5F7T-S701-JF75-M4N2-00000-00&amp;context=" TargetMode="External" /><Relationship Id="rId1070" Type="http://schemas.openxmlformats.org/officeDocument/2006/relationships/hyperlink" Target="https://advance.lexis.com/api/document?collection=cases-ca&amp;id=urn:contentItem:5F7T-S741-F57G-S1XM-00000-00&amp;context=" TargetMode="External" /><Relationship Id="rId1071" Type="http://schemas.openxmlformats.org/officeDocument/2006/relationships/hyperlink" Target="https://advance.lexis.com/api/document?collection=cases-ca&amp;id=urn:contentItem:5F7T-S6W1-JYYX-61M8-00000-00&amp;context=" TargetMode="External" /><Relationship Id="rId1072" Type="http://schemas.openxmlformats.org/officeDocument/2006/relationships/hyperlink" Target="https://advance.lexis.com/api/document?collection=cases-ca&amp;id=urn:contentItem:5F8T-N3V1-FC1F-M4CN-00000-00&amp;context=" TargetMode="External" /><Relationship Id="rId1073" Type="http://schemas.openxmlformats.org/officeDocument/2006/relationships/hyperlink" Target="https://advance.lexis.com/api/document?collection=legislation-ca&amp;id=urn:contentItem:5W2C-X5J1-JJ1H-X0F4-00000-00&amp;context=" TargetMode="External" /><Relationship Id="rId1074" Type="http://schemas.openxmlformats.org/officeDocument/2006/relationships/hyperlink" Target="https://advance.lexis.com/api/document?collection=legislation-ca&amp;id=urn:contentItem:5W2C-X5K1-F5KY-B01V-00000-00&amp;context=" TargetMode="External" /><Relationship Id="rId1075" Type="http://schemas.openxmlformats.org/officeDocument/2006/relationships/hyperlink" Target="https://advance.lexis.com/api/document?collection=cases-ca&amp;id=urn:contentItem:5F8T-N3V1-FC1F-M49J-00000-00&amp;context=" TargetMode="External" /><Relationship Id="rId1076" Type="http://schemas.openxmlformats.org/officeDocument/2006/relationships/hyperlink" Target="https://advance.lexis.com/api/document?collection=cases-ca&amp;id=urn:contentItem:5F8T-N3V1-FH4C-X1WY-00000-00&amp;context=" TargetMode="External" /><Relationship Id="rId1077" Type="http://schemas.openxmlformats.org/officeDocument/2006/relationships/hyperlink" Target="https://advance.lexis.com/api/document?collection=cases-ca&amp;id=urn:contentItem:5F8T-N3V1-JTGH-B1HB-00000-00&amp;context=" TargetMode="External" /><Relationship Id="rId1078" Type="http://schemas.openxmlformats.org/officeDocument/2006/relationships/hyperlink" Target="https://advance.lexis.com/api/document?collection=cases-ca&amp;id=urn:contentItem:5F8T-N3V1-JTGH-B19J-00000-00&amp;context=" TargetMode="External" /><Relationship Id="rId1079" Type="http://schemas.openxmlformats.org/officeDocument/2006/relationships/hyperlink" Target="https://advance.lexis.com/api/document?collection=cases-ca&amp;id=urn:contentItem:5F7F-5RH1-F873-B03R-00000-00&amp;context=" TargetMode="External" /><Relationship Id="rId108" Type="http://schemas.openxmlformats.org/officeDocument/2006/relationships/hyperlink" Target="https://advance.lexis.com/api/document?collection=cases-ca&amp;id=urn:contentItem:5F7T-S6W1-JB7K-21F4-00000-00&amp;context=" TargetMode="External" /><Relationship Id="rId1080" Type="http://schemas.openxmlformats.org/officeDocument/2006/relationships/hyperlink" Target="https://advance.lexis.com/api/document?collection=cases-ca&amp;id=urn:contentItem:5F8T-N3V1-JTGH-B1C2-00000-00&amp;context=" TargetMode="External" /><Relationship Id="rId1081" Type="http://schemas.openxmlformats.org/officeDocument/2006/relationships/hyperlink" Target="https://advance.lexis.com/api/document?collection=cases-ca&amp;id=urn:contentItem:5F8T-N3V1-JFKM-6070-00000-00&amp;context=" TargetMode="External" /><Relationship Id="rId1082" Type="http://schemas.openxmlformats.org/officeDocument/2006/relationships/hyperlink" Target="https://advance.lexis.com/api/document?collection=cases-ca&amp;id=urn:contentItem:5F7T-S791-FJTD-G308-00000-00&amp;context=" TargetMode="External" /><Relationship Id="rId1083" Type="http://schemas.openxmlformats.org/officeDocument/2006/relationships/hyperlink" Target="https://advance.lexis.com/api/document?collection=cases-ca&amp;id=urn:contentItem:5F8T-N3V1-JTGH-B1JV-00000-00&amp;context=" TargetMode="External" /><Relationship Id="rId1084" Type="http://schemas.openxmlformats.org/officeDocument/2006/relationships/header" Target="header139.xml" /><Relationship Id="rId1085" Type="http://schemas.openxmlformats.org/officeDocument/2006/relationships/header" Target="header140.xml" /><Relationship Id="rId1086" Type="http://schemas.openxmlformats.org/officeDocument/2006/relationships/footer" Target="footer139.xml" /><Relationship Id="rId1087" Type="http://schemas.openxmlformats.org/officeDocument/2006/relationships/footer" Target="footer140.xml" /><Relationship Id="rId1088" Type="http://schemas.openxmlformats.org/officeDocument/2006/relationships/header" Target="header141.xml" /><Relationship Id="rId1089" Type="http://schemas.openxmlformats.org/officeDocument/2006/relationships/footer" Target="footer141.xml" /><Relationship Id="rId109" Type="http://schemas.openxmlformats.org/officeDocument/2006/relationships/hyperlink" Target="https://advance.lexis.com/api/document?collection=cases-ca&amp;id=urn:contentItem:5F7T-S6X1-JTNR-M3X3-00000-00&amp;context=" TargetMode="External" /><Relationship Id="rId1090" Type="http://schemas.openxmlformats.org/officeDocument/2006/relationships/hyperlink" Target="https://advance.lexis.com/api/document?collection=cases-ca&amp;id=urn:contentItem:5K6X-KBC1-JWJ0-G0MT-00000-00&amp;context=" TargetMode="External" /><Relationship Id="rId1091" Type="http://schemas.openxmlformats.org/officeDocument/2006/relationships/hyperlink" Target="https://advance.lexis.com/api/document?collection=cases-ca&amp;id=urn:contentItem:5JG1-HSD1-F5T5-M0T6-00000-00&amp;context=" TargetMode="External" /><Relationship Id="rId1092" Type="http://schemas.openxmlformats.org/officeDocument/2006/relationships/hyperlink" Target="https://advance.lexis.com/api/document?collection=legislation-ca&amp;id=urn:contentItem:5F41-1FM1-FGJR-216H-00000-00&amp;context=" TargetMode="External" /><Relationship Id="rId1093" Type="http://schemas.openxmlformats.org/officeDocument/2006/relationships/hyperlink" Target="https://advance.lexis.com/api/document?collection=legislation-ca&amp;id=urn:contentItem:5VYK-W9W1-DY33-B2SS-00000-00&amp;context=" TargetMode="External" /><Relationship Id="rId1094" Type="http://schemas.openxmlformats.org/officeDocument/2006/relationships/hyperlink" Target="https://advance.lexis.com/api/document?collection=cases-ca&amp;id=urn:contentItem:5F7T-S7N1-DXWW-20C2-00000-00&amp;context=" TargetMode="External" /><Relationship Id="rId1095" Type="http://schemas.openxmlformats.org/officeDocument/2006/relationships/hyperlink" Target="https://advance.lexis.com/api/document?collection=cases-ca&amp;id=urn:contentItem:5F7T-S7P1-JNJT-B2GF-00000-00&amp;context=" TargetMode="External" /><Relationship Id="rId1096" Type="http://schemas.openxmlformats.org/officeDocument/2006/relationships/hyperlink" Target="https://advance.lexis.com/api/document?collection=cases-ca&amp;id=urn:contentItem:5F7T-S7C1-JXG3-X08C-00000-00&amp;context=" TargetMode="External" /><Relationship Id="rId1097" Type="http://schemas.openxmlformats.org/officeDocument/2006/relationships/hyperlink" Target="https://advance.lexis.com/api/document?collection=cases-ca&amp;id=urn:contentItem:5F7T-S7G1-JWR6-S1NB-00000-00&amp;context=" TargetMode="External" /><Relationship Id="rId1098" Type="http://schemas.openxmlformats.org/officeDocument/2006/relationships/hyperlink" Target="https://advance.lexis.com/api/document?collection=cases-ca&amp;id=urn:contentItem:5J47-C7S1-JJ6S-60TH-00000-00&amp;context=" TargetMode="External" /><Relationship Id="rId1099" Type="http://schemas.openxmlformats.org/officeDocument/2006/relationships/hyperlink" Target="https://advance.lexis.com/api/document?collection=cases-ca&amp;id=urn:contentItem:5F8T-N3S1-JBDT-B09R-00000-00&amp;context=" TargetMode="External" /><Relationship Id="rId11" Type="http://schemas.openxmlformats.org/officeDocument/2006/relationships/hyperlink" Target="https://advance.lexis.com/api/document?collection=cases-ca&amp;id=urn:contentItem:5F8T-N3V1-FH4C-X20M-00000-00&amp;context=" TargetMode="External" /><Relationship Id="rId110" Type="http://schemas.openxmlformats.org/officeDocument/2006/relationships/hyperlink" Target="https://advance.lexis.com/api/document?collection=cases-ca&amp;id=urn:contentItem:5F7T-S731-FFFC-B0K2-00000-00&amp;context=" TargetMode="External" /><Relationship Id="rId1100" Type="http://schemas.openxmlformats.org/officeDocument/2006/relationships/hyperlink" Target="https://advance.lexis.com/api/document?collection=cases-ca&amp;id=urn:contentItem:5F7T-S7H1-JCRC-B18G-00000-00&amp;context=" TargetMode="External" /><Relationship Id="rId1101" Type="http://schemas.openxmlformats.org/officeDocument/2006/relationships/hyperlink" Target="https://advance.lexis.com/api/document?collection=cases-ca&amp;id=urn:contentItem:5F7T-S7F1-JX3N-B1FK-00000-00&amp;context=" TargetMode="External" /><Relationship Id="rId1102" Type="http://schemas.openxmlformats.org/officeDocument/2006/relationships/hyperlink" Target="https://advance.lexis.com/api/document?collection=cases-ca&amp;id=urn:contentItem:5F7T-S7J1-JNS1-M2JF-00000-00&amp;context=" TargetMode="External" /><Relationship Id="rId1103" Type="http://schemas.openxmlformats.org/officeDocument/2006/relationships/hyperlink" Target="https://advance.lexis.com/api/document?collection=cases-ca&amp;id=urn:contentItem:5F7T-S7K1-DY33-B1VJ-00000-00&amp;context=" TargetMode="External" /><Relationship Id="rId1104" Type="http://schemas.openxmlformats.org/officeDocument/2006/relationships/hyperlink" Target="https://advance.lexis.com/api/document?collection=cases-ca&amp;id=urn:contentItem:5F7T-S7G1-JN6B-S1GP-00000-00&amp;context=" TargetMode="External" /><Relationship Id="rId1105" Type="http://schemas.openxmlformats.org/officeDocument/2006/relationships/hyperlink" Target="https://advance.lexis.com/api/document?collection=cases-ca&amp;id=urn:contentItem:5F7T-XPY1-FJDY-X44J-00000-00&amp;context=" TargetMode="External" /><Relationship Id="rId1106" Type="http://schemas.openxmlformats.org/officeDocument/2006/relationships/hyperlink" Target="https://advance.lexis.com/api/document?collection=cases-ca&amp;id=urn:contentItem:5G44-J3J1-JT42-S3KK-00000-00&amp;context=" TargetMode="External" /><Relationship Id="rId1107" Type="http://schemas.openxmlformats.org/officeDocument/2006/relationships/hyperlink" Target="https://advance.lexis.com/api/document?collection=cases-ca&amp;id=urn:contentItem:5F7T-S7K1-JX3N-B2R6-00000-00&amp;context=" TargetMode="External" /><Relationship Id="rId1108" Type="http://schemas.openxmlformats.org/officeDocument/2006/relationships/hyperlink" Target="https://advance.lexis.com/api/document?collection=cases-ca&amp;id=urn:contentItem:5F8T-N3V1-JTGH-B101-00000-00&amp;context=" TargetMode="External" /><Relationship Id="rId1109" Type="http://schemas.openxmlformats.org/officeDocument/2006/relationships/hyperlink" Target="https://advance.lexis.com/api/document?collection=cases-ca&amp;id=urn:contentItem:5G8T-89T1-JNCK-22W1-00000-00&amp;context=" TargetMode="External" /><Relationship Id="rId111" Type="http://schemas.openxmlformats.org/officeDocument/2006/relationships/hyperlink" Target="https://advance.lexis.com/api/document?collection=cases-ca&amp;id=urn:contentItem:5F7T-S7J1-JNS1-M2G2-00000-00&amp;context=" TargetMode="External" /><Relationship Id="rId1110" Type="http://schemas.openxmlformats.org/officeDocument/2006/relationships/hyperlink" Target="https://advance.lexis.com/api/document?collection=cases-ca&amp;id=urn:contentItem:5F7T-S7F1-DXWW-24J3-00000-00&amp;context=" TargetMode="External" /><Relationship Id="rId1111" Type="http://schemas.openxmlformats.org/officeDocument/2006/relationships/header" Target="header142.xml" /><Relationship Id="rId1112" Type="http://schemas.openxmlformats.org/officeDocument/2006/relationships/header" Target="header143.xml" /><Relationship Id="rId1113" Type="http://schemas.openxmlformats.org/officeDocument/2006/relationships/footer" Target="footer142.xml" /><Relationship Id="rId1114" Type="http://schemas.openxmlformats.org/officeDocument/2006/relationships/footer" Target="footer143.xml" /><Relationship Id="rId1115" Type="http://schemas.openxmlformats.org/officeDocument/2006/relationships/header" Target="header144.xml" /><Relationship Id="rId1116" Type="http://schemas.openxmlformats.org/officeDocument/2006/relationships/footer" Target="footer144.xml" /><Relationship Id="rId1117" Type="http://schemas.openxmlformats.org/officeDocument/2006/relationships/hyperlink" Target="https://advance.lexis.com/api/document?collection=cases-ca&amp;id=urn:contentItem:5F7T-S781-F27X-610G-00000-00&amp;context=" TargetMode="External" /><Relationship Id="rId1118" Type="http://schemas.openxmlformats.org/officeDocument/2006/relationships/hyperlink" Target="https://advance.lexis.com/api/document?collection=cases-ca&amp;id=urn:contentItem:5F7T-S781-FH4C-X2WV-00000-00&amp;context=" TargetMode="External" /><Relationship Id="rId1119" Type="http://schemas.openxmlformats.org/officeDocument/2006/relationships/hyperlink" Target="https://advance.lexis.com/api/document?collection=cases-ca&amp;id=urn:contentItem:5F7H-KW61-F7VM-S00V-00000-00&amp;context=" TargetMode="External" /><Relationship Id="rId112" Type="http://schemas.openxmlformats.org/officeDocument/2006/relationships/hyperlink" Target="https://advance.lexis.com/api/document?collection=cases-ca&amp;id=urn:contentItem:5F7T-S7P1-JSJC-X1MC-00000-00&amp;context=" TargetMode="External" /><Relationship Id="rId1120" Type="http://schemas.openxmlformats.org/officeDocument/2006/relationships/hyperlink" Target="https://advance.lexis.com/api/document?collection=cases-ca&amp;id=urn:contentItem:5F7T-S751-JNS1-M1JV-00000-00&amp;context=" TargetMode="External" /><Relationship Id="rId1121" Type="http://schemas.openxmlformats.org/officeDocument/2006/relationships/header" Target="header145.xml" /><Relationship Id="rId1122" Type="http://schemas.openxmlformats.org/officeDocument/2006/relationships/header" Target="header146.xml" /><Relationship Id="rId1123" Type="http://schemas.openxmlformats.org/officeDocument/2006/relationships/footer" Target="footer145.xml" /><Relationship Id="rId1124" Type="http://schemas.openxmlformats.org/officeDocument/2006/relationships/footer" Target="footer146.xml" /><Relationship Id="rId1125" Type="http://schemas.openxmlformats.org/officeDocument/2006/relationships/header" Target="header147.xml" /><Relationship Id="rId1126" Type="http://schemas.openxmlformats.org/officeDocument/2006/relationships/footer" Target="footer147.xml" /><Relationship Id="rId1127" Type="http://schemas.openxmlformats.org/officeDocument/2006/relationships/hyperlink" Target="https://advance.lexis.com/api/document?collection=cases-ca&amp;id=urn:contentItem:5NYG-2N01-F2F4-G4JW-00000-00&amp;context=" TargetMode="External" /><Relationship Id="rId1128" Type="http://schemas.openxmlformats.org/officeDocument/2006/relationships/hyperlink" Target="https://advance.lexis.com/api/document?collection=legislation-ca&amp;id=urn:contentItem:5JKN-R7M1-F5T5-M031-00000-00&amp;context=" TargetMode="External" /><Relationship Id="rId1129" Type="http://schemas.openxmlformats.org/officeDocument/2006/relationships/hyperlink" Target="https://advance.lexis.com/api/document?collection=cases-ca&amp;id=urn:contentItem:5GCC-XVB1-FK0M-S4XD-00000-00&amp;context=" TargetMode="External" /><Relationship Id="rId113" Type="http://schemas.openxmlformats.org/officeDocument/2006/relationships/hyperlink" Target="https://advance.lexis.com/api/document?collection=cases-ca&amp;id=urn:contentItem:5F7T-S7N1-JJ1H-X31K-00000-00&amp;context=" TargetMode="External" /><Relationship Id="rId1130" Type="http://schemas.openxmlformats.org/officeDocument/2006/relationships/hyperlink" Target="https://advance.lexis.com/api/document?collection=cases-ca&amp;id=urn:contentItem:5GRD-0501-JSRM-61CM-00000-00&amp;context=" TargetMode="External" /><Relationship Id="rId1131" Type="http://schemas.openxmlformats.org/officeDocument/2006/relationships/hyperlink" Target="https://advance.lexis.com/api/document?collection=cases-ca&amp;id=urn:contentItem:5F8T-N3V1-FH4C-X252-00000-00&amp;context=" TargetMode="External" /><Relationship Id="rId1132" Type="http://schemas.openxmlformats.org/officeDocument/2006/relationships/hyperlink" Target="https://advance.lexis.com/api/document?collection=cases-ca&amp;id=urn:contentItem:5F7T-S7D1-FCSB-S33F-00000-00&amp;context=" TargetMode="External" /><Relationship Id="rId1133" Type="http://schemas.openxmlformats.org/officeDocument/2006/relationships/hyperlink" Target="https://advance.lexis.com/api/document?collection=cases-ca&amp;id=urn:contentItem:5NTW-3S61-JWJ0-G200-00000-00&amp;context=" TargetMode="External" /><Relationship Id="rId1134" Type="http://schemas.openxmlformats.org/officeDocument/2006/relationships/header" Target="header148.xml" /><Relationship Id="rId1135" Type="http://schemas.openxmlformats.org/officeDocument/2006/relationships/header" Target="header149.xml" /><Relationship Id="rId1136" Type="http://schemas.openxmlformats.org/officeDocument/2006/relationships/footer" Target="footer148.xml" /><Relationship Id="rId1137" Type="http://schemas.openxmlformats.org/officeDocument/2006/relationships/footer" Target="footer149.xml" /><Relationship Id="rId1138" Type="http://schemas.openxmlformats.org/officeDocument/2006/relationships/header" Target="header150.xml" /><Relationship Id="rId1139" Type="http://schemas.openxmlformats.org/officeDocument/2006/relationships/footer" Target="footer150.xml" /><Relationship Id="rId114" Type="http://schemas.openxmlformats.org/officeDocument/2006/relationships/hyperlink" Target="https://advance.lexis.com/api/document?collection=cases-ca&amp;id=urn:contentItem:5F7T-S791-JCJ5-251B-00000-00&amp;context=" TargetMode="External" /><Relationship Id="rId1140" Type="http://schemas.openxmlformats.org/officeDocument/2006/relationships/hyperlink" Target="https://advance.lexis.com/api/document?collection=cases-ca&amp;id=urn:contentItem:5F7T-S7N1-DXWW-20G4-00000-00&amp;context=" TargetMode="External" /><Relationship Id="rId1141" Type="http://schemas.openxmlformats.org/officeDocument/2006/relationships/hyperlink" Target="https://advance.lexis.com/api/document?collection=legislation-ca&amp;id=urn:contentItem:5VYK-WB51-JWXF-20Y2-00000-00&amp;context=" TargetMode="External" /><Relationship Id="rId1142" Type="http://schemas.openxmlformats.org/officeDocument/2006/relationships/hyperlink" Target="https://advance.lexis.com/api/document?collection=cases-ca&amp;id=urn:contentItem:5F8T-N3V1-JFKM-6045-00000-00&amp;context=" TargetMode="External" /><Relationship Id="rId1143" Type="http://schemas.openxmlformats.org/officeDocument/2006/relationships/hyperlink" Target="https://advance.lexis.com/api/document?collection=cases-ca&amp;id=urn:contentItem:5F8W-M4D1-F8D9-M4KX-00000-00&amp;context=" TargetMode="External" /><Relationship Id="rId1144" Type="http://schemas.openxmlformats.org/officeDocument/2006/relationships/hyperlink" Target="https://advance.lexis.com/api/document?collection=cases-ca&amp;id=urn:contentItem:5F7T-S7D1-FCSB-S2N0-00000-00&amp;context=" TargetMode="External" /><Relationship Id="rId1145" Type="http://schemas.openxmlformats.org/officeDocument/2006/relationships/hyperlink" Target="https://advance.lexis.com/api/document?collection=cases-ca&amp;id=urn:contentItem:5F8T-N3T1-JGHR-M1VY-00000-00&amp;context=" TargetMode="External" /><Relationship Id="rId1146" Type="http://schemas.openxmlformats.org/officeDocument/2006/relationships/hyperlink" Target="https://advance.lexis.com/api/document?collection=cases-ca&amp;id=urn:contentItem:5F8T-N3T1-JJSF-234S-00000-00&amp;context=" TargetMode="External" /><Relationship Id="rId1147" Type="http://schemas.openxmlformats.org/officeDocument/2006/relationships/hyperlink" Target="https://advance.lexis.com/api/document?collection=cases-ca&amp;id=urn:contentItem:5F7T-S6P1-JGBH-B1RK-00000-00&amp;context=" TargetMode="External" /><Relationship Id="rId1148" Type="http://schemas.openxmlformats.org/officeDocument/2006/relationships/hyperlink" Target="https://advance.lexis.com/api/document?collection=cases-ca&amp;id=urn:contentItem:5F7T-S7M1-JPP5-22PV-00000-00&amp;context=" TargetMode="External" /><Relationship Id="rId1149" Type="http://schemas.openxmlformats.org/officeDocument/2006/relationships/hyperlink" Target="https://advance.lexis.com/api/document?collection=cases-ca&amp;id=urn:contentItem:5F7T-S6X1-JXNB-62MH-00000-00&amp;context=" TargetMode="External" /><Relationship Id="rId115" Type="http://schemas.openxmlformats.org/officeDocument/2006/relationships/hyperlink" Target="https://advance.lexis.com/api/document?collection=cases-ca&amp;id=urn:contentItem:5F7T-S7H1-JFSV-G35Y-00000-00&amp;context=" TargetMode="External" /><Relationship Id="rId1150" Type="http://schemas.openxmlformats.org/officeDocument/2006/relationships/hyperlink" Target="https://advance.lexis.com/api/document?collection=cases-ca&amp;id=urn:contentItem:5F16-9371-DXHD-G4VJ-00000-00&amp;context=" TargetMode="External" /><Relationship Id="rId1151" Type="http://schemas.openxmlformats.org/officeDocument/2006/relationships/hyperlink" Target="https://advance.lexis.com/api/document?collection=cases-ca&amp;id=urn:contentItem:5F8P-SF01-JTGH-B429-00000-00&amp;context=" TargetMode="External" /><Relationship Id="rId1152" Type="http://schemas.openxmlformats.org/officeDocument/2006/relationships/hyperlink" Target="https://advance.lexis.com/api/document?collection=cases-ca&amp;id=urn:contentItem:5F7T-S7D1-FCSB-S2W8-00000-00&amp;context=" TargetMode="External" /><Relationship Id="rId1153" Type="http://schemas.openxmlformats.org/officeDocument/2006/relationships/numbering" Target="numbering.xml" /><Relationship Id="rId1154" Type="http://schemas.openxmlformats.org/officeDocument/2006/relationships/styles" Target="styles.xml" /><Relationship Id="rId116" Type="http://schemas.openxmlformats.org/officeDocument/2006/relationships/hyperlink" Target="https://advance.lexis.com/api/document?collection=cases-ca&amp;id=urn:contentItem:5F7T-S7F1-DXWW-23RN-00000-00&amp;context=" TargetMode="External" /><Relationship Id="rId117" Type="http://schemas.openxmlformats.org/officeDocument/2006/relationships/hyperlink" Target="https://advance.lexis.com/api/document?collection=cases-ca&amp;id=urn:contentItem:5F7T-S7D1-JN6B-S184-00000-00&amp;context=" TargetMode="External" /><Relationship Id="rId118" Type="http://schemas.openxmlformats.org/officeDocument/2006/relationships/hyperlink" Target="https://advance.lexis.com/api/document?collection=cases-ca&amp;id=urn:contentItem:5F7T-S7F1-JX3N-B19D-00000-00&amp;context=" TargetMode="External" /><Relationship Id="rId119" Type="http://schemas.openxmlformats.org/officeDocument/2006/relationships/hyperlink" Target="https://advance.lexis.com/api/document?collection=cases-ca&amp;id=urn:contentItem:5F7T-S7M1-JNCK-22MK-00000-00&amp;context=" TargetMode="External" /><Relationship Id="rId12" Type="http://schemas.openxmlformats.org/officeDocument/2006/relationships/hyperlink" Target="https://advance.lexis.com/api/document?collection=cases-ca&amp;id=urn:contentItem:5F8T-N3T1-JFKM-655K-00000-00&amp;context=" TargetMode="External" /><Relationship Id="rId120" Type="http://schemas.openxmlformats.org/officeDocument/2006/relationships/header" Target="header7.xml" /><Relationship Id="rId121" Type="http://schemas.openxmlformats.org/officeDocument/2006/relationships/header" Target="header8.xml" /><Relationship Id="rId122" Type="http://schemas.openxmlformats.org/officeDocument/2006/relationships/footer" Target="footer7.xml" /><Relationship Id="rId123" Type="http://schemas.openxmlformats.org/officeDocument/2006/relationships/footer" Target="footer8.xml" /><Relationship Id="rId124" Type="http://schemas.openxmlformats.org/officeDocument/2006/relationships/header" Target="header9.xml" /><Relationship Id="rId125" Type="http://schemas.openxmlformats.org/officeDocument/2006/relationships/footer" Target="footer9.xml" /><Relationship Id="rId126" Type="http://schemas.openxmlformats.org/officeDocument/2006/relationships/hyperlink" Target="https://advance.lexis.com/api/document?collection=cases-ca&amp;id=urn:contentItem:5F7T-S7N1-JWR6-S25K-00000-00&amp;context=" TargetMode="External" /><Relationship Id="rId127" Type="http://schemas.openxmlformats.org/officeDocument/2006/relationships/hyperlink" Target="https://advance.lexis.com/api/document?collection=legislation-ca&amp;id=urn:contentItem:5F41-1FH1-F361-M0FY-00000-00&amp;context=" TargetMode="External" /><Relationship Id="rId128" Type="http://schemas.openxmlformats.org/officeDocument/2006/relationships/hyperlink" Target="https://advance.lexis.com/api/document?collection=cases-ca&amp;id=urn:contentItem:5F7T-S711-F4W2-61WK-00000-00&amp;context=" TargetMode="External" /><Relationship Id="rId129" Type="http://schemas.openxmlformats.org/officeDocument/2006/relationships/hyperlink" Target="https://advance.lexis.com/api/document?collection=cases-ca&amp;id=urn:contentItem:5F7T-S7K1-JKHB-62YV-00000-00&amp;context=" TargetMode="External" /><Relationship Id="rId13" Type="http://schemas.openxmlformats.org/officeDocument/2006/relationships/hyperlink" Target="https://advance.lexis.com/api/document?collection=cases-ca&amp;id=urn:contentItem:5F8T-N3V1-JF75-M3S6-00000-00&amp;context=" TargetMode="External" /><Relationship Id="rId130" Type="http://schemas.openxmlformats.org/officeDocument/2006/relationships/hyperlink" Target="https://advance.lexis.com/api/document?collection=cases-ca&amp;id=urn:contentItem:5F8T-N3T1-JJSF-234V-00000-00&amp;context=" TargetMode="External" /><Relationship Id="rId131" Type="http://schemas.openxmlformats.org/officeDocument/2006/relationships/hyperlink" Target="https://advance.lexis.com/api/document?collection=cases-ca&amp;id=urn:contentItem:5F7T-S7K1-JWXF-20RM-00000-00&amp;context=" TargetMode="External" /><Relationship Id="rId132" Type="http://schemas.openxmlformats.org/officeDocument/2006/relationships/hyperlink" Target="https://advance.lexis.com/api/document?collection=cases-ca&amp;id=urn:contentItem:5F7T-S7K1-JSJC-X15M-00000-00&amp;context=" TargetMode="External" /><Relationship Id="rId133" Type="http://schemas.openxmlformats.org/officeDocument/2006/relationships/hyperlink" Target="https://advance.lexis.com/api/document?collection=cases-ca&amp;id=urn:contentItem:5F7T-S7K1-JWXF-216C-00000-00&amp;context=" TargetMode="External" /><Relationship Id="rId134" Type="http://schemas.openxmlformats.org/officeDocument/2006/relationships/hyperlink" Target="https://advance.lexis.com/api/document?collection=cases-ca&amp;id=urn:contentItem:5F7T-S7M1-JPP5-2299-00000-00&amp;context=" TargetMode="External" /><Relationship Id="rId135" Type="http://schemas.openxmlformats.org/officeDocument/2006/relationships/hyperlink" Target="https://advance.lexis.com/api/document?collection=cases-ca&amp;id=urn:contentItem:5F7T-S7M1-JFSV-G3S1-00000-00&amp;context=" TargetMode="External" /><Relationship Id="rId136" Type="http://schemas.openxmlformats.org/officeDocument/2006/relationships/hyperlink" Target="https://advance.lexis.com/api/document?collection=cases-ca&amp;id=urn:contentItem:5F7T-S7K1-JNY7-X4CM-00000-00&amp;context=" TargetMode="External" /><Relationship Id="rId137" Type="http://schemas.openxmlformats.org/officeDocument/2006/relationships/hyperlink" Target="https://advance.lexis.com/api/document?collection=cases-ca&amp;id=urn:contentItem:5F7T-S7H1-JCRC-B104-00000-00&amp;context=" TargetMode="External" /><Relationship Id="rId138" Type="http://schemas.openxmlformats.org/officeDocument/2006/relationships/hyperlink" Target="https://advance.lexis.com/api/document?collection=cases-ca&amp;id=urn:contentItem:5F7T-S7F1-F7VM-S475-00000-00&amp;context=" TargetMode="External" /><Relationship Id="rId139" Type="http://schemas.openxmlformats.org/officeDocument/2006/relationships/hyperlink" Target="https://advance.lexis.com/api/document?collection=cases-ca&amp;id=urn:contentItem:5F7T-S7G1-FCYK-207V-00000-00&amp;context=" TargetMode="External" /><Relationship Id="rId14" Type="http://schemas.openxmlformats.org/officeDocument/2006/relationships/hyperlink" Target="https://advance.lexis.com/api/document?collection=cases-ca&amp;id=urn:contentItem:5F7T-S7D1-FBFS-S1M7-00000-00&amp;context=" TargetMode="External" /><Relationship Id="rId140" Type="http://schemas.openxmlformats.org/officeDocument/2006/relationships/hyperlink" Target="https://advance.lexis.com/api/document?collection=cases-ca&amp;id=urn:contentItem:5F7T-S7K1-JSJC-X0R5-00000-00&amp;context=" TargetMode="External" /><Relationship Id="rId141" Type="http://schemas.openxmlformats.org/officeDocument/2006/relationships/hyperlink" Target="https://advance.lexis.com/api/document?collection=cases-ca&amp;id=urn:contentItem:5F7T-S7J1-FGCG-S0GS-00000-00&amp;context=" TargetMode="External" /><Relationship Id="rId142" Type="http://schemas.openxmlformats.org/officeDocument/2006/relationships/hyperlink" Target="https://advance.lexis.com/api/document?collection=cases-ca&amp;id=urn:contentItem:5F7T-S7F1-JX3N-B1CS-00000-00&amp;context=" TargetMode="External" /><Relationship Id="rId143" Type="http://schemas.openxmlformats.org/officeDocument/2006/relationships/hyperlink" Target="https://advance.lexis.com/api/document?collection=cases-ca&amp;id=urn:contentItem:5F7T-S7N1-F57G-S2D4-00000-00&amp;context=" TargetMode="External" /><Relationship Id="rId144" Type="http://schemas.openxmlformats.org/officeDocument/2006/relationships/hyperlink" Target="https://advance.lexis.com/api/document?collection=cases-ca&amp;id=urn:contentItem:5F8T-N3V1-JF75-M3CD-00000-00&amp;context=" TargetMode="External" /><Relationship Id="rId145" Type="http://schemas.openxmlformats.org/officeDocument/2006/relationships/hyperlink" Target="https://advance.lexis.com/api/document?collection=cases-ca&amp;id=urn:contentItem:5F7T-S741-F528-G2CN-00000-00&amp;context=" TargetMode="External" /><Relationship Id="rId146" Type="http://schemas.openxmlformats.org/officeDocument/2006/relationships/header" Target="header10.xml" /><Relationship Id="rId147" Type="http://schemas.openxmlformats.org/officeDocument/2006/relationships/header" Target="header11.xml" /><Relationship Id="rId148" Type="http://schemas.openxmlformats.org/officeDocument/2006/relationships/footer" Target="footer10.xml" /><Relationship Id="rId149" Type="http://schemas.openxmlformats.org/officeDocument/2006/relationships/footer" Target="footer11.xml" /><Relationship Id="rId15" Type="http://schemas.openxmlformats.org/officeDocument/2006/relationships/hyperlink" Target="https://advance.lexis.com/api/document?collection=cases-ca&amp;id=urn:contentItem:5F7T-S7C1-F7VM-S3T7-00000-00&amp;context=" TargetMode="External" /><Relationship Id="rId150" Type="http://schemas.openxmlformats.org/officeDocument/2006/relationships/header" Target="header12.xml" /><Relationship Id="rId151" Type="http://schemas.openxmlformats.org/officeDocument/2006/relationships/footer" Target="footer12.xml" /><Relationship Id="rId152" Type="http://schemas.openxmlformats.org/officeDocument/2006/relationships/hyperlink" Target="https://advance.lexis.com/api/document?collection=cases-ca&amp;id=urn:contentItem:5TGV-PHG1-JB7K-22KY-00000-00&amp;context=" TargetMode="External" /><Relationship Id="rId153" Type="http://schemas.openxmlformats.org/officeDocument/2006/relationships/hyperlink" Target="https://advance.lexis.com/api/document?collection=legislation-ca&amp;id=urn:contentItem:5F41-1FM1-JCBX-S1FW-00000-00&amp;context=" TargetMode="External" /><Relationship Id="rId154" Type="http://schemas.openxmlformats.org/officeDocument/2006/relationships/hyperlink" Target="https://advance.lexis.com/api/document?collection=cases-ca&amp;id=urn:contentItem:5JFT-GTR1-JKPJ-G342-00000-00&amp;context=" TargetMode="External" /><Relationship Id="rId155" Type="http://schemas.openxmlformats.org/officeDocument/2006/relationships/hyperlink" Target="https://advance.lexis.com/api/document?collection=cases-ca&amp;id=urn:contentItem:5F7T-S781-F7G6-63KX-00000-00&amp;context=" TargetMode="External" /><Relationship Id="rId156" Type="http://schemas.openxmlformats.org/officeDocument/2006/relationships/hyperlink" Target="https://advance.lexis.com/api/document?collection=cases-ca&amp;id=urn:contentItem:5F7T-S771-JSJC-X0M5-00000-00&amp;context=" TargetMode="External" /><Relationship Id="rId157" Type="http://schemas.openxmlformats.org/officeDocument/2006/relationships/hyperlink" Target="https://advance.lexis.com/api/document?collection=cases-ca&amp;id=urn:contentItem:5NSB-PR71-K054-G3D4-00000-00&amp;context=" TargetMode="External" /><Relationship Id="rId158" Type="http://schemas.openxmlformats.org/officeDocument/2006/relationships/hyperlink" Target="https://advance.lexis.com/api/document?collection=cases-ca&amp;id=urn:contentItem:5F7T-S7N1-JW09-M0W0-00000-00&amp;context=" TargetMode="External" /><Relationship Id="rId159" Type="http://schemas.openxmlformats.org/officeDocument/2006/relationships/hyperlink" Target="https://advance.lexis.com/api/document?collection=cases-ca&amp;id=urn:contentItem:5F7T-S7K1-JSJC-X0TK-00000-00&amp;context=" TargetMode="External" /><Relationship Id="rId16" Type="http://schemas.openxmlformats.org/officeDocument/2006/relationships/hyperlink" Target="https://advance.lexis.com/api/document?collection=cases-ca&amp;id=urn:contentItem:5F7T-S7D1-JN6B-S131-00000-00&amp;context=" TargetMode="External" /><Relationship Id="rId160" Type="http://schemas.openxmlformats.org/officeDocument/2006/relationships/hyperlink" Target="https://advance.lexis.com/api/document?collection=cases-ca&amp;id=urn:contentItem:5PVF-9W91-JP4G-63P6-00000-00&amp;context=" TargetMode="External" /><Relationship Id="rId161" Type="http://schemas.openxmlformats.org/officeDocument/2006/relationships/hyperlink" Target="https://advance.lexis.com/api/document?collection=cases-ca&amp;id=urn:contentItem:5R0X-83K1-JSXV-G0KM-00000-00&amp;context=" TargetMode="External" /><Relationship Id="rId162" Type="http://schemas.openxmlformats.org/officeDocument/2006/relationships/hyperlink" Target="https://advance.lexis.com/api/document?collection=cases-ca&amp;id=urn:contentItem:5JHY-8GP1-F5DR-20ST-00000-00&amp;context=" TargetMode="External" /><Relationship Id="rId163" Type="http://schemas.openxmlformats.org/officeDocument/2006/relationships/hyperlink" Target="https://advance.lexis.com/api/document?collection=cases-ca&amp;id=urn:contentItem:5F82-1SF1-F361-M45M-00000-00&amp;context=" TargetMode="External" /><Relationship Id="rId164" Type="http://schemas.openxmlformats.org/officeDocument/2006/relationships/hyperlink" Target="https://advance.lexis.com/api/document?collection=cases-ca&amp;id=urn:contentItem:5F7T-S7G1-JNY7-X3K8-00000-00&amp;context=" TargetMode="External" /><Relationship Id="rId165" Type="http://schemas.openxmlformats.org/officeDocument/2006/relationships/hyperlink" Target="https://advance.lexis.com/api/document?collection=cases-ca&amp;id=urn:contentItem:5F7T-S7K1-F528-G2R4-00000-00&amp;context=" TargetMode="External" /><Relationship Id="rId166" Type="http://schemas.openxmlformats.org/officeDocument/2006/relationships/hyperlink" Target="https://advance.lexis.com/api/document?collection=cases-ca&amp;id=urn:contentItem:5F7T-S7F1-JK4W-M1X3-00000-00&amp;context=" TargetMode="External" /><Relationship Id="rId167" Type="http://schemas.openxmlformats.org/officeDocument/2006/relationships/hyperlink" Target="https://advance.lexis.com/api/document?collection=cases-ca&amp;id=urn:contentItem:5R79-CD61-FG12-637C-00000-00&amp;context=" TargetMode="External" /><Relationship Id="rId168" Type="http://schemas.openxmlformats.org/officeDocument/2006/relationships/hyperlink" Target="https://advance.lexis.com/api/document?collection=cases-ca&amp;id=urn:contentItem:5H84-1CC1-F4GK-M4NF-00000-00&amp;context=" TargetMode="External" /><Relationship Id="rId169" Type="http://schemas.openxmlformats.org/officeDocument/2006/relationships/hyperlink" Target="https://advance.lexis.com/api/document?collection=cases-ca&amp;id=urn:contentItem:5F7T-S7N1-F06F-24CS-00000-00&amp;context=" TargetMode="External" /><Relationship Id="rId17" Type="http://schemas.openxmlformats.org/officeDocument/2006/relationships/hyperlink" Target="https://advance.lexis.com/api/document?collection=cases-ca&amp;id=urn:contentItem:5F7T-S7P1-JNJT-B2CM-00000-00&amp;context=" TargetMode="External" /><Relationship Id="rId170" Type="http://schemas.openxmlformats.org/officeDocument/2006/relationships/hyperlink" Target="https://advance.lexis.com/api/document?collection=cases-ca&amp;id=urn:contentItem:5GCC-XVC1-F900-G4J7-00000-00&amp;context=" TargetMode="External" /><Relationship Id="rId171" Type="http://schemas.openxmlformats.org/officeDocument/2006/relationships/hyperlink" Target="https://advance.lexis.com/api/document?collection=cases-ca&amp;id=urn:contentItem:5F7T-S7G1-F5KY-B1K3-00000-00&amp;context=" TargetMode="External" /><Relationship Id="rId172" Type="http://schemas.openxmlformats.org/officeDocument/2006/relationships/hyperlink" Target="https://advance.lexis.com/api/document?collection=cases-ca&amp;id=urn:contentItem:5F7T-S7N1-JW09-M12P-00000-00&amp;context=" TargetMode="External" /><Relationship Id="rId173" Type="http://schemas.openxmlformats.org/officeDocument/2006/relationships/hyperlink" Target="https://advance.lexis.com/api/document?collection=cases-ca&amp;id=urn:contentItem:5F7T-S7J1-DXWW-2562-00000-00&amp;context=" TargetMode="External" /><Relationship Id="rId174" Type="http://schemas.openxmlformats.org/officeDocument/2006/relationships/hyperlink" Target="https://advance.lexis.com/api/document?collection=cases-ca&amp;id=urn:contentItem:5F7T-S751-JX3N-B0T4-00000-00&amp;context=" TargetMode="External" /><Relationship Id="rId175" Type="http://schemas.openxmlformats.org/officeDocument/2006/relationships/hyperlink" Target="https://advance.lexis.com/api/document?collection=cases-ca&amp;id=urn:contentItem:5F7T-S7P1-JNJT-B2NM-00000-00&amp;context=" TargetMode="External" /><Relationship Id="rId176" Type="http://schemas.openxmlformats.org/officeDocument/2006/relationships/image" Target="media/image3.png" /><Relationship Id="rId177" Type="http://schemas.openxmlformats.org/officeDocument/2006/relationships/hyperlink" Target="https://advance.lexis.com/api/document?collection=cases-ca&amp;id=urn:contentItem:5F7T-S7P1-JSJC-X1SJ-00000-00&amp;context=" TargetMode="External" /><Relationship Id="rId178" Type="http://schemas.openxmlformats.org/officeDocument/2006/relationships/hyperlink" Target="https://advance.lexis.com/api/document?collection=cases-ca&amp;id=urn:contentItem:5F7T-S7M1-JCRC-B1TW-00000-00&amp;context=" TargetMode="External" /><Relationship Id="rId179" Type="http://schemas.openxmlformats.org/officeDocument/2006/relationships/hyperlink" Target="https://advance.lexis.com/api/document?collection=cases-ca&amp;id=urn:contentItem:5F7T-S731-DY33-B0YN-00000-00&amp;context=" TargetMode="External" /><Relationship Id="rId18" Type="http://schemas.openxmlformats.org/officeDocument/2006/relationships/hyperlink" Target="https://advance.lexis.com/api/document?collection=cases-ca&amp;id=urn:contentItem:5F7T-S7H1-JFSV-G363-00000-00&amp;context=" TargetMode="External" /><Relationship Id="rId180" Type="http://schemas.openxmlformats.org/officeDocument/2006/relationships/hyperlink" Target="https://advance.lexis.com/api/document?collection=cases-ca&amp;id=urn:contentItem:5XR8-3VW1-JBDT-B2S0-00000-00&amp;context=" TargetMode="External" /><Relationship Id="rId181" Type="http://schemas.openxmlformats.org/officeDocument/2006/relationships/hyperlink" Target="https://advance.lexis.com/api/document?collection=cases-ca&amp;id=urn:contentItem:5F8T-N3S1-JT99-250W-00000-00&amp;context=" TargetMode="External" /><Relationship Id="rId182" Type="http://schemas.openxmlformats.org/officeDocument/2006/relationships/hyperlink" Target="https://advance.lexis.com/api/document?collection=cases-ca&amp;id=urn:contentItem:5F7T-S7K1-JSJC-X12X-00000-00&amp;context=" TargetMode="External" /><Relationship Id="rId183" Type="http://schemas.openxmlformats.org/officeDocument/2006/relationships/hyperlink" Target="https://advance.lexis.com/api/document?collection=cases-ca&amp;id=urn:contentItem:5F7T-S761-F81W-21RK-00000-00&amp;context=" TargetMode="External" /><Relationship Id="rId184" Type="http://schemas.openxmlformats.org/officeDocument/2006/relationships/hyperlink" Target="https://advance.lexis.com/api/document?collection=cases-ca&amp;id=urn:contentItem:5RTY-1871-JCBX-S0TB-00000-00&amp;context=" TargetMode="External" /><Relationship Id="rId185" Type="http://schemas.openxmlformats.org/officeDocument/2006/relationships/hyperlink" Target="https://advance.lexis.com/api/document?collection=cases-ca&amp;id=urn:contentItem:5F7T-S7M1-JCRC-B1SF-00000-00&amp;context=" TargetMode="External" /><Relationship Id="rId186" Type="http://schemas.openxmlformats.org/officeDocument/2006/relationships/hyperlink" Target="https://advance.lexis.com/api/document?collection=cases-ca&amp;id=urn:contentItem:5F8N-K6X1-JS5Y-B294-00000-00&amp;context=" TargetMode="External" /><Relationship Id="rId187" Type="http://schemas.openxmlformats.org/officeDocument/2006/relationships/hyperlink" Target="https://advance.lexis.com/api/document?collection=cases-ca&amp;id=urn:contentItem:5F7T-S731-F60C-X11W-00000-00&amp;context=" TargetMode="External" /><Relationship Id="rId188" Type="http://schemas.openxmlformats.org/officeDocument/2006/relationships/hyperlink" Target="https://advance.lexis.com/api/document?collection=cases-ca&amp;id=urn:contentItem:5F7T-S7M1-F4W2-62DG-00000-00&amp;context=" TargetMode="External" /><Relationship Id="rId189" Type="http://schemas.openxmlformats.org/officeDocument/2006/relationships/hyperlink" Target="https://advance.lexis.com/api/document?collection=cases-ca&amp;id=urn:contentItem:5F7T-S7H1-JS5Y-B37B-00000-00&amp;context=" TargetMode="External" /><Relationship Id="rId19" Type="http://schemas.openxmlformats.org/officeDocument/2006/relationships/hyperlink" Target="https://advance.lexis.com/api/document?collection=cases-ca&amp;id=urn:contentItem:5MXP-54B1-JJD0-G4BD-00000-00&amp;context=" TargetMode="External" /><Relationship Id="rId190" Type="http://schemas.openxmlformats.org/officeDocument/2006/relationships/hyperlink" Target="https://advance.lexis.com/api/document?collection=cases-ca&amp;id=urn:contentItem:5F7T-S741-F8D9-M1MM-00000-00&amp;context=" TargetMode="External" /><Relationship Id="rId191" Type="http://schemas.openxmlformats.org/officeDocument/2006/relationships/hyperlink" Target="https://advance.lexis.com/api/document?collection=cases-ca&amp;id=urn:contentItem:5F7T-S7P1-JP4G-61XP-00000-00&amp;context=" TargetMode="External" /><Relationship Id="rId192" Type="http://schemas.openxmlformats.org/officeDocument/2006/relationships/hyperlink" Target="https://advance.lexis.com/api/document?collection=cases-ca&amp;id=urn:contentItem:5F7T-S7H1-FCSB-S3RY-00000-00&amp;context=" TargetMode="External" /><Relationship Id="rId193" Type="http://schemas.openxmlformats.org/officeDocument/2006/relationships/header" Target="header13.xml" /><Relationship Id="rId194" Type="http://schemas.openxmlformats.org/officeDocument/2006/relationships/header" Target="header14.xml" /><Relationship Id="rId195" Type="http://schemas.openxmlformats.org/officeDocument/2006/relationships/footer" Target="footer13.xml" /><Relationship Id="rId196" Type="http://schemas.openxmlformats.org/officeDocument/2006/relationships/footer" Target="footer14.xml" /><Relationship Id="rId197" Type="http://schemas.openxmlformats.org/officeDocument/2006/relationships/header" Target="header15.xml" /><Relationship Id="rId198" Type="http://schemas.openxmlformats.org/officeDocument/2006/relationships/footer" Target="footer15.xml" /><Relationship Id="rId199" Type="http://schemas.openxmlformats.org/officeDocument/2006/relationships/hyperlink" Target="https://advance.lexis.com/api/document?collection=cases-ca&amp;id=urn:contentItem:5G6C-VP51-F7VM-S0N1-00000-00&amp;context=" TargetMode="External" /><Relationship Id="rId2" Type="http://schemas.openxmlformats.org/officeDocument/2006/relationships/webSettings" Target="webSettings.xml" /><Relationship Id="rId20" Type="http://schemas.openxmlformats.org/officeDocument/2006/relationships/hyperlink" Target="https://advance.lexis.com/api/document?collection=cases-ca&amp;id=urn:contentItem:5F7T-S7K1-JX3N-B2KD-00000-00&amp;context=" TargetMode="External" /><Relationship Id="rId200" Type="http://schemas.openxmlformats.org/officeDocument/2006/relationships/hyperlink" Target="https://advance.lexis.com/api/document?collection=cases-ca&amp;id=urn:contentItem:5F7T-S6T1-FJTD-G1NJ-00000-00&amp;context=" TargetMode="External" /><Relationship Id="rId201" Type="http://schemas.openxmlformats.org/officeDocument/2006/relationships/hyperlink" Target="https://advance.lexis.com/api/document?collection=cases-ca&amp;id=urn:contentItem:5F7T-S7F1-JK4W-M1CF-00000-00&amp;context=" TargetMode="External" /><Relationship Id="rId202" Type="http://schemas.openxmlformats.org/officeDocument/2006/relationships/hyperlink" Target="https://advance.lexis.com/api/document?collection=cases-ca&amp;id=urn:contentItem:5F7T-S7P1-JSJC-X1D9-00000-00&amp;context=" TargetMode="External" /><Relationship Id="rId203" Type="http://schemas.openxmlformats.org/officeDocument/2006/relationships/hyperlink" Target="https://advance.lexis.com/api/document?collection=cases-ca&amp;id=urn:contentItem:5F7T-S7N1-F06F-24W1-00000-00&amp;context=" TargetMode="External" /><Relationship Id="rId204" Type="http://schemas.openxmlformats.org/officeDocument/2006/relationships/hyperlink" Target="https://advance.lexis.com/api/document?collection=cases-ca&amp;id=urn:contentItem:5F7T-S7H1-JS5Y-B2WW-00000-00&amp;context=" TargetMode="External" /><Relationship Id="rId205" Type="http://schemas.openxmlformats.org/officeDocument/2006/relationships/hyperlink" Target="https://advance.lexis.com/api/document?collection=cases-ca&amp;id=urn:contentItem:5F7T-S751-F361-M0X3-00000-00&amp;context=" TargetMode="External" /><Relationship Id="rId206" Type="http://schemas.openxmlformats.org/officeDocument/2006/relationships/hyperlink" Target="https://advance.lexis.com/api/document?collection=cases-ca&amp;id=urn:contentItem:5F7T-S7P1-F2TK-2376-00000-00&amp;context=" TargetMode="External" /><Relationship Id="rId207" Type="http://schemas.openxmlformats.org/officeDocument/2006/relationships/hyperlink" Target="https://advance.lexis.com/api/document?collection=cases-ca&amp;id=urn:contentItem:5F7T-S741-DXPM-S0V3-00000-00&amp;context=" TargetMode="External" /><Relationship Id="rId208" Type="http://schemas.openxmlformats.org/officeDocument/2006/relationships/hyperlink" Target="https://advance.lexis.com/api/document?collection=cases-ca&amp;id=urn:contentItem:5F7T-S7P1-F2TK-23S9-00000-00&amp;context=" TargetMode="External" /><Relationship Id="rId209" Type="http://schemas.openxmlformats.org/officeDocument/2006/relationships/hyperlink" Target="https://advance.lexis.com/api/document?collection=cases-ca&amp;id=urn:contentItem:5F7T-S741-F57G-S1YF-00000-00&amp;context=" TargetMode="External" /><Relationship Id="rId21" Type="http://schemas.openxmlformats.org/officeDocument/2006/relationships/hyperlink" Target="https://advance.lexis.com/api/document?collection=cases-ca&amp;id=urn:contentItem:5F7T-S7M1-F4W2-62F0-00000-00&amp;context=" TargetMode="External" /><Relationship Id="rId210" Type="http://schemas.openxmlformats.org/officeDocument/2006/relationships/hyperlink" Target="https://advance.lexis.com/api/document?collection=cases-ca&amp;id=urn:contentItem:5F7T-S721-FG12-621G-00000-00&amp;context=" TargetMode="External" /><Relationship Id="rId211" Type="http://schemas.openxmlformats.org/officeDocument/2006/relationships/hyperlink" Target="https://advance.lexis.com/api/document?collection=cases-ca&amp;id=urn:contentItem:5F7T-S7P1-JCRC-B23G-00000-00&amp;context=" TargetMode="External" /><Relationship Id="rId212" Type="http://schemas.openxmlformats.org/officeDocument/2006/relationships/hyperlink" Target="https://advance.lexis.com/api/document?collection=cases-ca&amp;id=urn:contentItem:5F7T-S7N1-F57G-S2PF-00000-00&amp;context=" TargetMode="External" /><Relationship Id="rId213" Type="http://schemas.openxmlformats.org/officeDocument/2006/relationships/hyperlink" Target="https://advance.lexis.com/api/document?collection=cases-ca&amp;id=urn:contentItem:5F7T-S7K1-JKHB-62PC-00000-00&amp;context=" TargetMode="External" /><Relationship Id="rId214" Type="http://schemas.openxmlformats.org/officeDocument/2006/relationships/hyperlink" Target="https://advance.lexis.com/api/document?collection=cases-ca&amp;id=urn:contentItem:5F7T-S7K1-DY33-B1KT-00000-00&amp;context=" TargetMode="External" /><Relationship Id="rId215" Type="http://schemas.openxmlformats.org/officeDocument/2006/relationships/hyperlink" Target="https://advance.lexis.com/api/document?collection=cases-ca&amp;id=urn:contentItem:5F7T-S7F1-JK4W-M1P3-00000-00&amp;context=" TargetMode="External" /><Relationship Id="rId216" Type="http://schemas.openxmlformats.org/officeDocument/2006/relationships/header" Target="header16.xml" /><Relationship Id="rId217" Type="http://schemas.openxmlformats.org/officeDocument/2006/relationships/header" Target="header17.xml" /><Relationship Id="rId218" Type="http://schemas.openxmlformats.org/officeDocument/2006/relationships/footer" Target="footer16.xml" /><Relationship Id="rId219" Type="http://schemas.openxmlformats.org/officeDocument/2006/relationships/footer" Target="footer17.xml" /><Relationship Id="rId22" Type="http://schemas.openxmlformats.org/officeDocument/2006/relationships/hyperlink" Target="https://advance.lexis.com/api/document?collection=cases-ca&amp;id=urn:contentItem:5F7T-S7M1-JNCK-22R0-00000-00&amp;context=" TargetMode="External" /><Relationship Id="rId220" Type="http://schemas.openxmlformats.org/officeDocument/2006/relationships/header" Target="header18.xml" /><Relationship Id="rId221" Type="http://schemas.openxmlformats.org/officeDocument/2006/relationships/footer" Target="footer18.xml" /><Relationship Id="rId222" Type="http://schemas.openxmlformats.org/officeDocument/2006/relationships/hyperlink" Target="https://advance.lexis.com/api/document?collection=cases-ca&amp;id=urn:contentItem:5F7T-S791-FJTD-G2W3-00000-00&amp;context=" TargetMode="External" /><Relationship Id="rId223" Type="http://schemas.openxmlformats.org/officeDocument/2006/relationships/hyperlink" Target="https://advance.lexis.com/api/document?collection=cases-ca&amp;id=urn:contentItem:5F8T-N3V1-FC1F-M3WJ-00000-00&amp;context=" TargetMode="External" /><Relationship Id="rId224" Type="http://schemas.openxmlformats.org/officeDocument/2006/relationships/hyperlink" Target="https://advance.lexis.com/api/document?collection=cases-ca&amp;id=urn:contentItem:5F7T-S761-FFMK-M1C4-00000-00&amp;context=" TargetMode="External" /><Relationship Id="rId225" Type="http://schemas.openxmlformats.org/officeDocument/2006/relationships/hyperlink" Target="https://advance.lexis.com/api/document?collection=cases-ca&amp;id=urn:contentItem:5F8T-N3P1-FC6N-X1FM-00000-00&amp;context=" TargetMode="External" /><Relationship Id="rId226" Type="http://schemas.openxmlformats.org/officeDocument/2006/relationships/hyperlink" Target="https://advance.lexis.com/api/document?collection=cases-ca&amp;id=urn:contentItem:5F7T-S731-JC0G-63MR-00000-00&amp;context=" TargetMode="External" /><Relationship Id="rId227" Type="http://schemas.openxmlformats.org/officeDocument/2006/relationships/hyperlink" Target="https://advance.lexis.com/api/document?collection=cases-ca&amp;id=urn:contentItem:5F7T-S6Y1-JSC5-M329-00000-00&amp;context=" TargetMode="External" /><Relationship Id="rId228" Type="http://schemas.openxmlformats.org/officeDocument/2006/relationships/hyperlink" Target="https://advance.lexis.com/api/document?collection=cases-ca&amp;id=urn:contentItem:5F7T-S6X1-K0BB-S097-00000-00&amp;context=" TargetMode="External" /><Relationship Id="rId229" Type="http://schemas.openxmlformats.org/officeDocument/2006/relationships/hyperlink" Target="https://advance.lexis.com/api/document?collection=cases-ca&amp;id=urn:contentItem:5F8T-N3R1-FBV7-B04P-00000-00&amp;context=" TargetMode="External" /><Relationship Id="rId23" Type="http://schemas.openxmlformats.org/officeDocument/2006/relationships/hyperlink" Target="https://advance.lexis.com/api/document?collection=cases-ca&amp;id=urn:contentItem:5N35-9B81-F57G-S299-00000-00&amp;context=" TargetMode="External" /><Relationship Id="rId230" Type="http://schemas.openxmlformats.org/officeDocument/2006/relationships/hyperlink" Target="https://advance.lexis.com/api/document?collection=cases-ca&amp;id=urn:contentItem:5F7T-S741-F1H1-21KJ-00000-00&amp;context=" TargetMode="External" /><Relationship Id="rId231" Type="http://schemas.openxmlformats.org/officeDocument/2006/relationships/hyperlink" Target="https://advance.lexis.com/api/document?collection=cases-ca&amp;id=urn:contentItem:5F8T-N3R1-JJSF-22TB-00000-00&amp;context=" TargetMode="External" /><Relationship Id="rId232" Type="http://schemas.openxmlformats.org/officeDocument/2006/relationships/hyperlink" Target="https://advance.lexis.com/api/document?collection=cases-ca&amp;id=urn:contentItem:5F16-93F1-FGY5-M1YN-00000-00&amp;context=" TargetMode="External" /><Relationship Id="rId233" Type="http://schemas.openxmlformats.org/officeDocument/2006/relationships/header" Target="header19.xml" /><Relationship Id="rId234" Type="http://schemas.openxmlformats.org/officeDocument/2006/relationships/header" Target="header20.xml" /><Relationship Id="rId235" Type="http://schemas.openxmlformats.org/officeDocument/2006/relationships/footer" Target="footer19.xml" /><Relationship Id="rId236" Type="http://schemas.openxmlformats.org/officeDocument/2006/relationships/footer" Target="footer20.xml" /><Relationship Id="rId237" Type="http://schemas.openxmlformats.org/officeDocument/2006/relationships/header" Target="header21.xml" /><Relationship Id="rId238" Type="http://schemas.openxmlformats.org/officeDocument/2006/relationships/footer" Target="footer21.xml" /><Relationship Id="rId239" Type="http://schemas.openxmlformats.org/officeDocument/2006/relationships/hyperlink" Target="https://advance.lexis.com/api/document?collection=cases-ca&amp;id=urn:contentItem:5F7T-S7C1-JSRM-611K-00000-00&amp;context=" TargetMode="External" /><Relationship Id="rId24" Type="http://schemas.openxmlformats.org/officeDocument/2006/relationships/hyperlink" Target="https://advance.lexis.com/api/document?collection=cases-ca&amp;id=urn:contentItem:5F7T-S7N1-JWR6-S2NB-00000-00&amp;context=" TargetMode="External" /><Relationship Id="rId240" Type="http://schemas.openxmlformats.org/officeDocument/2006/relationships/hyperlink" Target="https://advance.lexis.com/api/document?collection=cases-ca&amp;id=urn:contentItem:5F7T-S7C1-F4NT-X30M-00000-00&amp;context=" TargetMode="External" /><Relationship Id="rId241" Type="http://schemas.openxmlformats.org/officeDocument/2006/relationships/hyperlink" Target="https://advance.lexis.com/api/document?collection=cases-ca&amp;id=urn:contentItem:5F7T-S761-FFMK-M15W-00000-00&amp;context=" TargetMode="External" /><Relationship Id="rId242" Type="http://schemas.openxmlformats.org/officeDocument/2006/relationships/hyperlink" Target="https://advance.lexis.com/api/document?collection=cases-ca&amp;id=urn:contentItem:5F7T-S771-FG68-G163-00000-00&amp;context=" TargetMode="External" /><Relationship Id="rId243" Type="http://schemas.openxmlformats.org/officeDocument/2006/relationships/hyperlink" Target="https://advance.lexis.com/api/document?collection=cases-ca&amp;id=urn:contentItem:5F7T-S771-F81W-22PC-00000-00&amp;context=" TargetMode="External" /><Relationship Id="rId244" Type="http://schemas.openxmlformats.org/officeDocument/2006/relationships/hyperlink" Target="https://advance.lexis.com/api/document?collection=cases-ca&amp;id=urn:contentItem:5F8T-N3T1-JJSF-2339-00000-00&amp;context=" TargetMode="External" /><Relationship Id="rId245" Type="http://schemas.openxmlformats.org/officeDocument/2006/relationships/header" Target="header22.xml" /><Relationship Id="rId246" Type="http://schemas.openxmlformats.org/officeDocument/2006/relationships/header" Target="header23.xml" /><Relationship Id="rId247" Type="http://schemas.openxmlformats.org/officeDocument/2006/relationships/footer" Target="footer22.xml" /><Relationship Id="rId248" Type="http://schemas.openxmlformats.org/officeDocument/2006/relationships/footer" Target="footer23.xml" /><Relationship Id="rId249" Type="http://schemas.openxmlformats.org/officeDocument/2006/relationships/header" Target="header24.xml" /><Relationship Id="rId25" Type="http://schemas.openxmlformats.org/officeDocument/2006/relationships/hyperlink" Target="https://advance.lexis.com/api/document?collection=cases-ca&amp;id=urn:contentItem:5KCD-3JR1-JGHR-M0NJ-00000-00&amp;context=" TargetMode="External" /><Relationship Id="rId250" Type="http://schemas.openxmlformats.org/officeDocument/2006/relationships/footer" Target="footer24.xml" /><Relationship Id="rId251" Type="http://schemas.openxmlformats.org/officeDocument/2006/relationships/hyperlink" Target="https://advance.lexis.com/api/document?collection=cases-ca&amp;id=urn:contentItem:5F7T-S7M1-JNCK-22N8-00000-00&amp;context=" TargetMode="External" /><Relationship Id="rId252" Type="http://schemas.openxmlformats.org/officeDocument/2006/relationships/hyperlink" Target="https://advance.lexis.com/api/document?collection=cases-ca&amp;id=urn:contentItem:5F7T-S7C1-FCSB-S2BP-00000-00&amp;context=" TargetMode="External" /><Relationship Id="rId253" Type="http://schemas.openxmlformats.org/officeDocument/2006/relationships/hyperlink" Target="https://advance.lexis.com/api/document?collection=cases-ca&amp;id=urn:contentItem:5F7T-S7K1-JSJC-X15J-00000-00&amp;context=" TargetMode="External" /><Relationship Id="rId254" Type="http://schemas.openxmlformats.org/officeDocument/2006/relationships/hyperlink" Target="https://advance.lexis.com/api/document?collection=cases-ca&amp;id=urn:contentItem:5F7T-S7J1-JGBH-B2BY-00000-00&amp;context=" TargetMode="External" /><Relationship Id="rId255" Type="http://schemas.openxmlformats.org/officeDocument/2006/relationships/hyperlink" Target="https://advance.lexis.com/api/document?collection=cases-ca&amp;id=urn:contentItem:5F7T-S7F1-FJTD-G3DS-00000-00&amp;context=" TargetMode="External" /><Relationship Id="rId256" Type="http://schemas.openxmlformats.org/officeDocument/2006/relationships/hyperlink" Target="https://advance.lexis.com/api/document?collection=cases-ca&amp;id=urn:contentItem:5F7T-S7D1-JXG3-X0PB-00000-00&amp;context=" TargetMode="External" /><Relationship Id="rId257" Type="http://schemas.openxmlformats.org/officeDocument/2006/relationships/header" Target="header25.xml" /><Relationship Id="rId258" Type="http://schemas.openxmlformats.org/officeDocument/2006/relationships/header" Target="header26.xml" /><Relationship Id="rId259" Type="http://schemas.openxmlformats.org/officeDocument/2006/relationships/footer" Target="footer25.xml" /><Relationship Id="rId26" Type="http://schemas.openxmlformats.org/officeDocument/2006/relationships/hyperlink" Target="https://advance.lexis.com/api/document?collection=cases-ca&amp;id=urn:contentItem:5F7T-S7N1-JW09-M128-00000-00&amp;context=" TargetMode="External" /><Relationship Id="rId260" Type="http://schemas.openxmlformats.org/officeDocument/2006/relationships/footer" Target="footer26.xml" /><Relationship Id="rId261" Type="http://schemas.openxmlformats.org/officeDocument/2006/relationships/header" Target="header27.xml" /><Relationship Id="rId262" Type="http://schemas.openxmlformats.org/officeDocument/2006/relationships/footer" Target="footer27.xml" /><Relationship Id="rId263" Type="http://schemas.openxmlformats.org/officeDocument/2006/relationships/hyperlink" Target="https://advance.lexis.com/api/document?collection=cases-ca&amp;id=urn:contentItem:5F7T-S7J1-JNS1-M217-00000-00&amp;context=" TargetMode="External" /><Relationship Id="rId264" Type="http://schemas.openxmlformats.org/officeDocument/2006/relationships/hyperlink" Target="https://advance.lexis.com/api/document?collection=cases-ca&amp;id=urn:contentItem:5F8T-N3T1-JGHR-M1WB-00000-00&amp;context=" TargetMode="External" /><Relationship Id="rId265" Type="http://schemas.openxmlformats.org/officeDocument/2006/relationships/hyperlink" Target="https://advance.lexis.com/api/document?collection=cases-ca&amp;id=urn:contentItem:5F8T-N3T1-JGHR-M1Y2-00000-00&amp;context=" TargetMode="External" /><Relationship Id="rId266" Type="http://schemas.openxmlformats.org/officeDocument/2006/relationships/hyperlink" Target="https://advance.lexis.com/api/document?collection=cases-ca&amp;id=urn:contentItem:5F8T-N3V1-JFKM-60C2-00000-00&amp;context=" TargetMode="External" /><Relationship Id="rId267" Type="http://schemas.openxmlformats.org/officeDocument/2006/relationships/hyperlink" Target="https://advance.lexis.com/api/document?collection=cases-ca&amp;id=urn:contentItem:5F8T-N3V1-JF75-M3MF-00000-00&amp;context=" TargetMode="External" /><Relationship Id="rId268" Type="http://schemas.openxmlformats.org/officeDocument/2006/relationships/hyperlink" Target="https://advance.lexis.com/api/document?collection=cases-ca&amp;id=urn:contentItem:5F8T-N3V1-JF75-M3W7-00000-00&amp;context=" TargetMode="External" /><Relationship Id="rId269" Type="http://schemas.openxmlformats.org/officeDocument/2006/relationships/hyperlink" Target="https://advance.lexis.com/api/document?collection=cases-ca&amp;id=urn:contentItem:5F7T-S6T1-JP9P-G0R2-00000-00&amp;context=" TargetMode="External" /><Relationship Id="rId27" Type="http://schemas.openxmlformats.org/officeDocument/2006/relationships/hyperlink" Target="https://advance.lexis.com/api/document?collection=cases-ca&amp;id=urn:contentItem:5GWF-M0T1-F8KH-X2G8-00000-00&amp;context=" TargetMode="External" /><Relationship Id="rId270" Type="http://schemas.openxmlformats.org/officeDocument/2006/relationships/hyperlink" Target="https://advance.lexis.com/api/document?collection=cases-ca&amp;id=urn:contentItem:5F8T-N3V1-JFKM-607J-00000-00&amp;context=" TargetMode="External" /><Relationship Id="rId271" Type="http://schemas.openxmlformats.org/officeDocument/2006/relationships/hyperlink" Target="https://advance.lexis.com/api/document?collection=cases-ca&amp;id=urn:contentItem:5F8P-SG21-JK4W-M05R-00000-00&amp;context=" TargetMode="External" /><Relationship Id="rId272" Type="http://schemas.openxmlformats.org/officeDocument/2006/relationships/hyperlink" Target="https://advance.lexis.com/api/document?collection=cases-ca&amp;id=urn:contentItem:5F7T-S781-F06F-2420-00000-00&amp;context=" TargetMode="External" /><Relationship Id="rId273" Type="http://schemas.openxmlformats.org/officeDocument/2006/relationships/hyperlink" Target="https://advance.lexis.com/api/document?collection=cases-ca&amp;id=urn:contentItem:5F7T-S7C1-JS0R-22BK-00000-00&amp;context=" TargetMode="External" /><Relationship Id="rId274" Type="http://schemas.openxmlformats.org/officeDocument/2006/relationships/hyperlink" Target="https://advance.lexis.com/api/document?collection=cases-ca&amp;id=urn:contentItem:5F7V-3DJ1-JJSF-22W3-00000-00&amp;context=" TargetMode="External" /><Relationship Id="rId275" Type="http://schemas.openxmlformats.org/officeDocument/2006/relationships/hyperlink" Target="https://advance.lexis.com/api/document?collection=cases-ca&amp;id=urn:contentItem:5F16-9351-JN6B-S191-00000-00&amp;context=" TargetMode="External" /><Relationship Id="rId276" Type="http://schemas.openxmlformats.org/officeDocument/2006/relationships/hyperlink" Target="https://advance.lexis.com/api/document?collection=cases-ca&amp;id=urn:contentItem:5F16-9351-F2MB-S0JJ-00000-00&amp;context=" TargetMode="External" /><Relationship Id="rId277" Type="http://schemas.openxmlformats.org/officeDocument/2006/relationships/hyperlink" Target="https://advance.lexis.com/api/document?collection=cases-ca&amp;id=urn:contentItem:5F7V-3DF1-JP4G-640D-00000-00&amp;context=" TargetMode="External" /><Relationship Id="rId278" Type="http://schemas.openxmlformats.org/officeDocument/2006/relationships/hyperlink" Target="https://advance.lexis.com/api/document?collection=cases-ca&amp;id=urn:contentItem:5F16-9351-F2MB-S05G-00000-00&amp;context=" TargetMode="External" /><Relationship Id="rId279" Type="http://schemas.openxmlformats.org/officeDocument/2006/relationships/hyperlink" Target="https://advance.lexis.com/api/document?collection=cases-ca&amp;id=urn:contentItem:5F7T-S731-DY33-B0RF-00000-00&amp;context=" TargetMode="External" /><Relationship Id="rId28" Type="http://schemas.openxmlformats.org/officeDocument/2006/relationships/hyperlink" Target="https://advance.lexis.com/api/document?collection=cases-ca&amp;id=urn:contentItem:5GCC-XVB1-JGHR-M4RP-00000-00&amp;context=" TargetMode="External" /><Relationship Id="rId280" Type="http://schemas.openxmlformats.org/officeDocument/2006/relationships/hyperlink" Target="https://advance.lexis.com/api/document?collection=cases-ca&amp;id=urn:contentItem:5F7T-S6X1-F7ND-G3NF-00000-00&amp;context=" TargetMode="External" /><Relationship Id="rId281" Type="http://schemas.openxmlformats.org/officeDocument/2006/relationships/hyperlink" Target="https://advance.lexis.com/api/document?collection=cases-ca&amp;id=urn:contentItem:5F7T-S7C1-F30T-B283-00000-00&amp;context=" TargetMode="External" /><Relationship Id="rId282" Type="http://schemas.openxmlformats.org/officeDocument/2006/relationships/hyperlink" Target="https://advance.lexis.com/api/document?collection=cases-ca&amp;id=urn:contentItem:5F7T-S741-FJM6-61MP-00000-00&amp;context=" TargetMode="External" /><Relationship Id="rId283" Type="http://schemas.openxmlformats.org/officeDocument/2006/relationships/hyperlink" Target="https://advance.lexis.com/api/document?collection=cases-ca&amp;id=urn:contentItem:5F81-VJS1-JN6B-S3M8-00000-00&amp;context=" TargetMode="External" /><Relationship Id="rId284" Type="http://schemas.openxmlformats.org/officeDocument/2006/relationships/hyperlink" Target="https://advance.lexis.com/api/document?collection=cases-ca&amp;id=urn:contentItem:5F8T-N3R1-JNS1-M131-00000-00&amp;context=" TargetMode="External" /><Relationship Id="rId285" Type="http://schemas.openxmlformats.org/officeDocument/2006/relationships/hyperlink" Target="https://advance.lexis.com/api/document?collection=cases-ca&amp;id=urn:contentItem:5F7T-S741-DXPM-S17F-00000-00&amp;context=" TargetMode="External" /><Relationship Id="rId286" Type="http://schemas.openxmlformats.org/officeDocument/2006/relationships/hyperlink" Target="https://advance.lexis.com/api/document?collection=cases-ca&amp;id=urn:contentItem:5F8T-N3R1-JNS1-M12J-00000-00&amp;context=" TargetMode="External" /><Relationship Id="rId287" Type="http://schemas.openxmlformats.org/officeDocument/2006/relationships/hyperlink" Target="https://advance.lexis.com/api/document?collection=cases-ca&amp;id=urn:contentItem:5F8T-N3V1-JF75-M3KJ-00000-00&amp;context=" TargetMode="External" /><Relationship Id="rId288" Type="http://schemas.openxmlformats.org/officeDocument/2006/relationships/hyperlink" Target="https://advance.lexis.com/api/document?collection=cases-ca&amp;id=urn:contentItem:5F7T-S771-JJD0-G1G1-00000-00&amp;context=" TargetMode="External" /><Relationship Id="rId289" Type="http://schemas.openxmlformats.org/officeDocument/2006/relationships/hyperlink" Target="https://advance.lexis.com/api/document?collection=cases-ca&amp;id=urn:contentItem:5F8P-SCY1-JTNR-M3GT-00000-00&amp;context=" TargetMode="External" /><Relationship Id="rId29" Type="http://schemas.openxmlformats.org/officeDocument/2006/relationships/hyperlink" Target="https://advance.lexis.com/api/document?collection=cases-ca&amp;id=urn:contentItem:5F7T-S7D1-DY89-M463-00000-00&amp;context=" TargetMode="External" /><Relationship Id="rId290" Type="http://schemas.openxmlformats.org/officeDocument/2006/relationships/hyperlink" Target="https://advance.lexis.com/api/document?collection=cases-ca&amp;id=urn:contentItem:5F81-VJV1-JBM1-M43Y-00000-00&amp;context=" TargetMode="External" /><Relationship Id="rId291" Type="http://schemas.openxmlformats.org/officeDocument/2006/relationships/hyperlink" Target="https://advance.lexis.com/api/document?collection=cases-ca&amp;id=urn:contentItem:5F8T-N3S1-JT99-24XF-00000-00&amp;context=" TargetMode="External" /><Relationship Id="rId292" Type="http://schemas.openxmlformats.org/officeDocument/2006/relationships/hyperlink" Target="https://advance.lexis.com/api/document?collection=cases-ca&amp;id=urn:contentItem:5F16-93F1-FGY5-M255-00000-00&amp;context=" TargetMode="External" /><Relationship Id="rId293" Type="http://schemas.openxmlformats.org/officeDocument/2006/relationships/hyperlink" Target="https://advance.lexis.com/api/document?collection=cases-ca&amp;id=urn:contentItem:5F16-9301-FD4T-B1MS-00000-00&amp;context=" TargetMode="External" /><Relationship Id="rId294" Type="http://schemas.openxmlformats.org/officeDocument/2006/relationships/hyperlink" Target="https://advance.lexis.com/api/document?collection=cases-ca&amp;id=urn:contentItem:5F7V-3DK1-JNY7-X2CK-00000-00&amp;context=" TargetMode="External" /><Relationship Id="rId295" Type="http://schemas.openxmlformats.org/officeDocument/2006/relationships/hyperlink" Target="https://advance.lexis.com/api/document?collection=cases-ca&amp;id=urn:contentItem:5F8P-SF51-JK4W-M4MP-00000-00&amp;context=" TargetMode="External" /><Relationship Id="rId296" Type="http://schemas.openxmlformats.org/officeDocument/2006/relationships/hyperlink" Target="https://advance.lexis.com/api/document?collection=cases-ca&amp;id=urn:contentItem:5F81-VJY1-JWBS-64MK-00000-00&amp;context=" TargetMode="External" /><Relationship Id="rId297" Type="http://schemas.openxmlformats.org/officeDocument/2006/relationships/hyperlink" Target="https://advance.lexis.com/api/document?collection=cases-ca&amp;id=urn:contentItem:5F7T-S7H1-F016-S42J-00000-00&amp;context=" TargetMode="External" /><Relationship Id="rId298" Type="http://schemas.openxmlformats.org/officeDocument/2006/relationships/hyperlink" Target="https://advance.lexis.com/api/document?collection=cases-ca&amp;id=urn:contentItem:5F7T-S7C1-F4NT-X3NB-00000-00&amp;context=" TargetMode="External" /><Relationship Id="rId299" Type="http://schemas.openxmlformats.org/officeDocument/2006/relationships/hyperlink" Target="https://advance.lexis.com/api/document?collection=cases-ca&amp;id=urn:contentItem:5F8T-N3S1-JT99-250X-00000-00&amp;context=" TargetMode="External" /><Relationship Id="rId3" Type="http://schemas.openxmlformats.org/officeDocument/2006/relationships/fontTable" Target="fontTable.xml" /><Relationship Id="rId30" Type="http://schemas.openxmlformats.org/officeDocument/2006/relationships/hyperlink" Target="https://advance.lexis.com/api/document?collection=cases-ca&amp;id=urn:contentItem:5F7T-S7D1-F7ND-G0MH-00000-00&amp;context=" TargetMode="External" /><Relationship Id="rId300" Type="http://schemas.openxmlformats.org/officeDocument/2006/relationships/hyperlink" Target="https://advance.lexis.com/api/document?collection=cases-ca&amp;id=urn:contentItem:5F8T-N3S1-JT99-250Y-00000-00&amp;context=" TargetMode="External" /><Relationship Id="rId301" Type="http://schemas.openxmlformats.org/officeDocument/2006/relationships/hyperlink" Target="https://advance.lexis.com/api/document?collection=cases-ca&amp;id=urn:contentItem:5F7T-S6T1-JP9P-G14B-00000-00&amp;context=" TargetMode="External" /><Relationship Id="rId302" Type="http://schemas.openxmlformats.org/officeDocument/2006/relationships/hyperlink" Target="https://advance.lexis.com/api/document?collection=cases-ca&amp;id=urn:contentItem:5F7T-S751-JG02-S27W-00000-00&amp;context=" TargetMode="External" /><Relationship Id="rId303" Type="http://schemas.openxmlformats.org/officeDocument/2006/relationships/hyperlink" Target="https://advance.lexis.com/api/document?collection=cases-ca&amp;id=urn:contentItem:5F7T-S711-JB2B-S120-00000-00&amp;context=" TargetMode="External" /><Relationship Id="rId304" Type="http://schemas.openxmlformats.org/officeDocument/2006/relationships/hyperlink" Target="https://advance.lexis.com/api/document?collection=cases-ca&amp;id=urn:contentItem:5F8P-SDC1-FK0M-S408-00000-00&amp;context=" TargetMode="External" /><Relationship Id="rId305" Type="http://schemas.openxmlformats.org/officeDocument/2006/relationships/hyperlink" Target="https://advance.lexis.com/api/document?collection=cases-ca&amp;id=urn:contentItem:5F7T-S7B1-F7ND-G50F-00000-00&amp;context=" TargetMode="External" /><Relationship Id="rId306" Type="http://schemas.openxmlformats.org/officeDocument/2006/relationships/hyperlink" Target="https://advance.lexis.com/api/document?collection=cases-ca&amp;id=urn:contentItem:5F81-VJT1-JWJ0-G3F8-00000-00&amp;context=" TargetMode="External" /><Relationship Id="rId307" Type="http://schemas.openxmlformats.org/officeDocument/2006/relationships/hyperlink" Target="https://advance.lexis.com/api/document?collection=cases-ca&amp;id=urn:contentItem:5F7T-S711-JNY7-X3HR-00000-00&amp;context=" TargetMode="External" /><Relationship Id="rId308" Type="http://schemas.openxmlformats.org/officeDocument/2006/relationships/hyperlink" Target="https://advance.lexis.com/api/document?collection=cases-ca&amp;id=urn:contentItem:5F7T-S6Y1-JF75-M3TB-00000-00&amp;context=" TargetMode="External" /><Relationship Id="rId309" Type="http://schemas.openxmlformats.org/officeDocument/2006/relationships/hyperlink" Target="https://advance.lexis.com/api/document?collection=cases-ca&amp;id=urn:contentItem:5F7T-S761-JX8W-M2TY-00000-00&amp;context=" TargetMode="External" /><Relationship Id="rId31" Type="http://schemas.openxmlformats.org/officeDocument/2006/relationships/hyperlink" Target="https://advance.lexis.com/api/document?collection=cases-ca&amp;id=urn:contentItem:5F7T-S781-F7G6-63B0-00000-00&amp;context=" TargetMode="External" /><Relationship Id="rId310" Type="http://schemas.openxmlformats.org/officeDocument/2006/relationships/hyperlink" Target="https://advance.lexis.com/api/document?collection=cases-ca&amp;id=urn:contentItem:5F7T-S731-F016-S301-00000-00&amp;context=" TargetMode="External" /><Relationship Id="rId311" Type="http://schemas.openxmlformats.org/officeDocument/2006/relationships/hyperlink" Target="https://advance.lexis.com/api/document?collection=cases-ca&amp;id=urn:contentItem:5F7T-S7F1-FBN1-21XT-00000-00&amp;context=" TargetMode="External" /><Relationship Id="rId312" Type="http://schemas.openxmlformats.org/officeDocument/2006/relationships/hyperlink" Target="https://advance.lexis.com/api/document?collection=cases-ca&amp;id=urn:contentItem:5F7T-S741-F528-G26C-00000-00&amp;context=" TargetMode="External" /><Relationship Id="rId313" Type="http://schemas.openxmlformats.org/officeDocument/2006/relationships/hyperlink" Target="https://advance.lexis.com/api/document?collection=cases-ca&amp;id=urn:contentItem:5F7T-S7C1-JXG3-X053-00000-00&amp;context=" TargetMode="External" /><Relationship Id="rId314" Type="http://schemas.openxmlformats.org/officeDocument/2006/relationships/hyperlink" Target="https://advance.lexis.com/api/document?collection=cases-ca&amp;id=urn:contentItem:5F7T-S7D1-JN6B-S18N-00000-00&amp;context=" TargetMode="External" /><Relationship Id="rId315" Type="http://schemas.openxmlformats.org/officeDocument/2006/relationships/hyperlink" Target="https://advance.lexis.com/api/document?collection=cases-ca&amp;id=urn:contentItem:5F7T-S7C1-JCJ5-20DP-00000-00&amp;context=" TargetMode="External" /><Relationship Id="rId316" Type="http://schemas.openxmlformats.org/officeDocument/2006/relationships/hyperlink" Target="https://advance.lexis.com/api/document?collection=cases-ca&amp;id=urn:contentItem:5F7T-S7F1-FJTD-G35C-00000-00&amp;context=" TargetMode="External" /><Relationship Id="rId317" Type="http://schemas.openxmlformats.org/officeDocument/2006/relationships/hyperlink" Target="https://advance.lexis.com/api/document?collection=legislation-ca&amp;id=urn:contentItem:5F41-1FN1-JBDT-B0J5-00000-00&amp;context=" TargetMode="External" /><Relationship Id="rId318" Type="http://schemas.openxmlformats.org/officeDocument/2006/relationships/hyperlink" Target="https://advance.lexis.com/api/document?collection=cases-ca&amp;id=urn:contentItem:5F7T-S761-F81W-222K-00000-00&amp;context=" TargetMode="External" /><Relationship Id="rId319" Type="http://schemas.openxmlformats.org/officeDocument/2006/relationships/hyperlink" Target="https://advance.lexis.com/api/document?collection=cases-ca&amp;id=urn:contentItem:5F7T-S711-F4W2-61X9-00000-00&amp;context=" TargetMode="External" /><Relationship Id="rId32" Type="http://schemas.openxmlformats.org/officeDocument/2006/relationships/hyperlink" Target="https://advance.lexis.com/api/document?collection=cases-ca&amp;id=urn:contentItem:5RJ8-5GM1-JP9P-G0PD-00000-00&amp;context=" TargetMode="External" /><Relationship Id="rId320" Type="http://schemas.openxmlformats.org/officeDocument/2006/relationships/hyperlink" Target="https://advance.lexis.com/api/document?collection=cases-ca&amp;id=urn:contentItem:5F7T-S6Y1-F65M-604Y-00000-00&amp;context=" TargetMode="External" /><Relationship Id="rId321" Type="http://schemas.openxmlformats.org/officeDocument/2006/relationships/hyperlink" Target="https://advance.lexis.com/api/document?collection=cases-ca&amp;id=urn:contentItem:5F7T-S781-JSC5-M4GD-00000-00&amp;context=" TargetMode="External" /><Relationship Id="rId322" Type="http://schemas.openxmlformats.org/officeDocument/2006/relationships/hyperlink" Target="https://advance.lexis.com/api/document?collection=cases-ca&amp;id=urn:contentItem:5F7T-S7C1-F7VM-S3NW-00000-00&amp;context=" TargetMode="External" /><Relationship Id="rId323" Type="http://schemas.openxmlformats.org/officeDocument/2006/relationships/header" Target="header28.xml" /><Relationship Id="rId324" Type="http://schemas.openxmlformats.org/officeDocument/2006/relationships/header" Target="header29.xml" /><Relationship Id="rId325" Type="http://schemas.openxmlformats.org/officeDocument/2006/relationships/footer" Target="footer28.xml" /><Relationship Id="rId326" Type="http://schemas.openxmlformats.org/officeDocument/2006/relationships/footer" Target="footer29.xml" /><Relationship Id="rId327" Type="http://schemas.openxmlformats.org/officeDocument/2006/relationships/header" Target="header30.xml" /><Relationship Id="rId328" Type="http://schemas.openxmlformats.org/officeDocument/2006/relationships/footer" Target="footer30.xml" /><Relationship Id="rId329" Type="http://schemas.openxmlformats.org/officeDocument/2006/relationships/hyperlink" Target="https://advance.lexis.com/api/document?collection=cases-ca&amp;id=urn:contentItem:5K6Y-81N1-JFDC-X1F3-00000-00&amp;context=" TargetMode="External" /><Relationship Id="rId33" Type="http://schemas.openxmlformats.org/officeDocument/2006/relationships/hyperlink" Target="https://advance.lexis.com/api/document?collection=cases-ca&amp;id=urn:contentItem:5NDB-4M41-F956-S0BN-00000-00&amp;context=" TargetMode="External" /><Relationship Id="rId330" Type="http://schemas.openxmlformats.org/officeDocument/2006/relationships/hyperlink" Target="https://advance.lexis.com/api/document?collection=cases-ca&amp;id=urn:contentItem:5F7T-S7P1-F2TK-237F-00000-00&amp;context=" TargetMode="External" /><Relationship Id="rId331" Type="http://schemas.openxmlformats.org/officeDocument/2006/relationships/hyperlink" Target="https://advance.lexis.com/api/document?collection=cases-ca&amp;id=urn:contentItem:5F7T-S6Y1-JTNR-M4B7-00000-00&amp;context=" TargetMode="External" /><Relationship Id="rId332" Type="http://schemas.openxmlformats.org/officeDocument/2006/relationships/hyperlink" Target="https://advance.lexis.com/api/document?collection=cases-ca&amp;id=urn:contentItem:5F7T-S721-F8D9-M0XD-00000-00&amp;context=" TargetMode="External" /><Relationship Id="rId333" Type="http://schemas.openxmlformats.org/officeDocument/2006/relationships/hyperlink" Target="https://advance.lexis.com/api/document?collection=cases-ca&amp;id=urn:contentItem:5F7T-S721-FD4T-B0V2-00000-00&amp;context=" TargetMode="External" /><Relationship Id="rId334" Type="http://schemas.openxmlformats.org/officeDocument/2006/relationships/hyperlink" Target="https://advance.lexis.com/api/document?collection=cases-ca&amp;id=urn:contentItem:5F7T-S701-JBT7-X24N-00000-00&amp;context=" TargetMode="External" /><Relationship Id="rId335" Type="http://schemas.openxmlformats.org/officeDocument/2006/relationships/hyperlink" Target="https://advance.lexis.com/api/document?collection=cases-ca&amp;id=urn:contentItem:5F7T-S7D1-JS5Y-B2KR-00000-00&amp;context=" TargetMode="External" /><Relationship Id="rId336" Type="http://schemas.openxmlformats.org/officeDocument/2006/relationships/hyperlink" Target="https://advance.lexis.com/api/document?collection=cases-ca&amp;id=urn:contentItem:5F7T-S7K1-F528-G34B-00000-00&amp;context=" TargetMode="External" /><Relationship Id="rId337" Type="http://schemas.openxmlformats.org/officeDocument/2006/relationships/hyperlink" Target="https://advance.lexis.com/api/document?collection=cases-ca&amp;id=urn:contentItem:5F7T-S761-JCBX-S0RT-00000-00&amp;context=" TargetMode="External" /><Relationship Id="rId338" Type="http://schemas.openxmlformats.org/officeDocument/2006/relationships/header" Target="header31.xml" /><Relationship Id="rId339" Type="http://schemas.openxmlformats.org/officeDocument/2006/relationships/header" Target="header32.xml" /><Relationship Id="rId34" Type="http://schemas.openxmlformats.org/officeDocument/2006/relationships/hyperlink" Target="https://advance.lexis.com/api/document?collection=cases-ca&amp;id=urn:contentItem:5F7T-S7K1-JSJC-X168-00000-00&amp;context=" TargetMode="External" /><Relationship Id="rId340" Type="http://schemas.openxmlformats.org/officeDocument/2006/relationships/footer" Target="footer31.xml" /><Relationship Id="rId341" Type="http://schemas.openxmlformats.org/officeDocument/2006/relationships/footer" Target="footer32.xml" /><Relationship Id="rId342" Type="http://schemas.openxmlformats.org/officeDocument/2006/relationships/header" Target="header33.xml" /><Relationship Id="rId343" Type="http://schemas.openxmlformats.org/officeDocument/2006/relationships/footer" Target="footer33.xml" /><Relationship Id="rId344" Type="http://schemas.openxmlformats.org/officeDocument/2006/relationships/hyperlink" Target="https://advance.lexis.com/api/document?collection=cases-ca&amp;id=urn:contentItem:5F7T-S7J1-JGBH-B21X-00000-00&amp;context=" TargetMode="External" /><Relationship Id="rId345" Type="http://schemas.openxmlformats.org/officeDocument/2006/relationships/hyperlink" Target="https://advance.lexis.com/api/document?collection=legislation-ca&amp;id=urn:contentItem:5F41-1FM1-FJM6-61S3-00000-00&amp;context=" TargetMode="External" /><Relationship Id="rId346" Type="http://schemas.openxmlformats.org/officeDocument/2006/relationships/hyperlink" Target="https://advance.lexis.com/api/document?collection=legislation-ca&amp;id=urn:contentItem:5YBS-X1M1-JGPY-X4B5-00000-00&amp;context=" TargetMode="External" /><Relationship Id="rId347" Type="http://schemas.openxmlformats.org/officeDocument/2006/relationships/hyperlink" Target="https://advance.lexis.com/api/document?collection=cases-ca&amp;id=urn:contentItem:5F8P-SDF1-FJDY-X1B9-00000-00&amp;context=" TargetMode="External" /><Relationship Id="rId348" Type="http://schemas.openxmlformats.org/officeDocument/2006/relationships/hyperlink" Target="https://advance.lexis.com/api/document?collection=cases-ca&amp;id=urn:contentItem:5F8T-N3T1-JFKM-650H-00000-00&amp;context=" TargetMode="External" /><Relationship Id="rId349" Type="http://schemas.openxmlformats.org/officeDocument/2006/relationships/hyperlink" Target="https://advance.lexis.com/api/document?collection=cases-ca&amp;id=urn:contentItem:5F8P-SCJ1-F900-G3RR-00000-00&amp;context=" TargetMode="External" /><Relationship Id="rId35" Type="http://schemas.openxmlformats.org/officeDocument/2006/relationships/hyperlink" Target="https://advance.lexis.com/api/document?collection=cases-ca&amp;id=urn:contentItem:5JW3-TKC1-JGPY-X4PG-00000-00&amp;context=" TargetMode="External" /><Relationship Id="rId350" Type="http://schemas.openxmlformats.org/officeDocument/2006/relationships/hyperlink" Target="https://advance.lexis.com/api/document?collection=cases-ca&amp;id=urn:contentItem:5F8P-SD11-JBDT-B2FK-00000-00&amp;context=" TargetMode="External" /><Relationship Id="rId351" Type="http://schemas.openxmlformats.org/officeDocument/2006/relationships/hyperlink" Target="https://advance.lexis.com/api/document?collection=cases-ca&amp;id=urn:contentItem:5F8P-SCJ1-JJ6S-62PN-00000-00&amp;context=" TargetMode="External" /><Relationship Id="rId352" Type="http://schemas.openxmlformats.org/officeDocument/2006/relationships/hyperlink" Target="https://advance.lexis.com/api/document?collection=cases-ca&amp;id=urn:contentItem:5F7T-S6Y1-JNY7-X2P6-00000-00&amp;context=" TargetMode="External" /><Relationship Id="rId353" Type="http://schemas.openxmlformats.org/officeDocument/2006/relationships/hyperlink" Target="https://advance.lexis.com/api/document?collection=cases-ca&amp;id=urn:contentItem:5F8T-N3T1-JFKM-6524-00000-00&amp;context=" TargetMode="External" /><Relationship Id="rId354" Type="http://schemas.openxmlformats.org/officeDocument/2006/relationships/hyperlink" Target="https://advance.lexis.com/api/document?collection=cases-ca&amp;id=urn:contentItem:5F7T-S721-F956-S1P4-00000-00&amp;context=" TargetMode="External" /><Relationship Id="rId355" Type="http://schemas.openxmlformats.org/officeDocument/2006/relationships/hyperlink" Target="https://advance.lexis.com/api/document?collection=cases-ca&amp;id=urn:contentItem:5F8T-N3V1-JF75-M392-00000-00&amp;context=" TargetMode="External" /><Relationship Id="rId356" Type="http://schemas.openxmlformats.org/officeDocument/2006/relationships/hyperlink" Target="https://advance.lexis.com/api/document?collection=cases-ca&amp;id=urn:contentItem:5F8T-N3V1-JFKM-60BG-00000-00&amp;context=" TargetMode="External" /><Relationship Id="rId357" Type="http://schemas.openxmlformats.org/officeDocument/2006/relationships/hyperlink" Target="https://advance.lexis.com/api/document?collection=cases-ca&amp;id=urn:contentItem:5F7T-S7G1-JBT7-X3B0-00000-00&amp;context=" TargetMode="External" /><Relationship Id="rId358" Type="http://schemas.openxmlformats.org/officeDocument/2006/relationships/header" Target="header34.xml" /><Relationship Id="rId359" Type="http://schemas.openxmlformats.org/officeDocument/2006/relationships/header" Target="header35.xml" /><Relationship Id="rId36" Type="http://schemas.openxmlformats.org/officeDocument/2006/relationships/hyperlink" Target="https://advance.lexis.com/api/document?collection=cases-ca&amp;id=urn:contentItem:5J0C-MF51-JSXV-G2N2-00000-00&amp;context=" TargetMode="External" /><Relationship Id="rId360" Type="http://schemas.openxmlformats.org/officeDocument/2006/relationships/footer" Target="footer34.xml" /><Relationship Id="rId361" Type="http://schemas.openxmlformats.org/officeDocument/2006/relationships/footer" Target="footer35.xml" /><Relationship Id="rId362" Type="http://schemas.openxmlformats.org/officeDocument/2006/relationships/header" Target="header36.xml" /><Relationship Id="rId363" Type="http://schemas.openxmlformats.org/officeDocument/2006/relationships/footer" Target="footer36.xml" /><Relationship Id="rId364" Type="http://schemas.openxmlformats.org/officeDocument/2006/relationships/hyperlink" Target="https://advance.lexis.com/api/document?collection=cases-ca&amp;id=urn:contentItem:5R56-8V41-F22N-X3NH-00000-00&amp;context=" TargetMode="External" /><Relationship Id="rId365" Type="http://schemas.openxmlformats.org/officeDocument/2006/relationships/hyperlink" Target="https://advance.lexis.com/api/document?collection=cases-ca&amp;id=urn:contentItem:5P8D-XTB1-FGJR-217H-00000-00&amp;context=" TargetMode="External" /><Relationship Id="rId366" Type="http://schemas.openxmlformats.org/officeDocument/2006/relationships/hyperlink" Target="https://advance.lexis.com/api/document?collection=legislation-ca&amp;id=urn:contentItem:5VYK-47Y1-F06F-21ND-00000-00&amp;context=" TargetMode="External" /><Relationship Id="rId367" Type="http://schemas.openxmlformats.org/officeDocument/2006/relationships/hyperlink" Target="https://advance.lexis.com/api/document?collection=cases-ca&amp;id=urn:contentItem:5F7T-S7N1-JC5P-G29R-00000-00&amp;context=" TargetMode="External" /><Relationship Id="rId368" Type="http://schemas.openxmlformats.org/officeDocument/2006/relationships/hyperlink" Target="https://advance.lexis.com/api/document?collection=cases-ca&amp;id=urn:contentItem:5F7T-S7K1-DY33-B1PS-00000-00&amp;context=" TargetMode="External" /><Relationship Id="rId369" Type="http://schemas.openxmlformats.org/officeDocument/2006/relationships/hyperlink" Target="https://advance.lexis.com/api/document?collection=cases-ca&amp;id=urn:contentItem:5F7T-S7H1-F4GK-M39T-00000-00&amp;context=" TargetMode="External" /><Relationship Id="rId37" Type="http://schemas.openxmlformats.org/officeDocument/2006/relationships/hyperlink" Target="https://advance.lexis.com/api/document?collection=cases-ca&amp;id=urn:contentItem:5F7T-S7H1-F016-S3X8-00000-00&amp;context=" TargetMode="External" /><Relationship Id="rId370" Type="http://schemas.openxmlformats.org/officeDocument/2006/relationships/hyperlink" Target="https://advance.lexis.com/api/document?collection=cases-ca&amp;id=urn:contentItem:5KHN-KX81-JWR6-S42G-00000-00&amp;context=" TargetMode="External" /><Relationship Id="rId371" Type="http://schemas.openxmlformats.org/officeDocument/2006/relationships/hyperlink" Target="https://advance.lexis.com/api/document?collection=cases-ca&amp;id=urn:contentItem:5JSS-9XD1-F4W2-62Y9-00000-00&amp;context=" TargetMode="External" /><Relationship Id="rId372" Type="http://schemas.openxmlformats.org/officeDocument/2006/relationships/hyperlink" Target="https://advance.lexis.com/api/document?collection=cases-ca&amp;id=urn:contentItem:5F7T-S6Y1-FJDY-X23K-00000-00&amp;context=" TargetMode="External" /><Relationship Id="rId373" Type="http://schemas.openxmlformats.org/officeDocument/2006/relationships/hyperlink" Target="https://advance.lexis.com/api/document?collection=cases-ca&amp;id=urn:contentItem:5F7T-S731-FFFC-B0HG-00000-00&amp;context=" TargetMode="External" /><Relationship Id="rId374" Type="http://schemas.openxmlformats.org/officeDocument/2006/relationships/hyperlink" Target="https://advance.lexis.com/api/document?collection=cases-ca&amp;id=urn:contentItem:5F7T-S711-F5KY-B14K-00000-00&amp;context=" TargetMode="External" /><Relationship Id="rId375" Type="http://schemas.openxmlformats.org/officeDocument/2006/relationships/hyperlink" Target="https://advance.lexis.com/api/document?collection=cases-ca&amp;id=urn:contentItem:5F7T-S6X1-JXNB-62N4-00000-00&amp;context=" TargetMode="External" /><Relationship Id="rId376" Type="http://schemas.openxmlformats.org/officeDocument/2006/relationships/header" Target="header37.xml" /><Relationship Id="rId377" Type="http://schemas.openxmlformats.org/officeDocument/2006/relationships/header" Target="header38.xml" /><Relationship Id="rId378" Type="http://schemas.openxmlformats.org/officeDocument/2006/relationships/footer" Target="footer37.xml" /><Relationship Id="rId379" Type="http://schemas.openxmlformats.org/officeDocument/2006/relationships/footer" Target="footer38.xml" /><Relationship Id="rId38" Type="http://schemas.openxmlformats.org/officeDocument/2006/relationships/hyperlink" Target="https://advance.lexis.com/api/document?collection=cases-ca&amp;id=urn:contentItem:5F82-1SH1-F8KH-X1YH-00000-00&amp;context=" TargetMode="External" /><Relationship Id="rId380" Type="http://schemas.openxmlformats.org/officeDocument/2006/relationships/header" Target="header39.xml" /><Relationship Id="rId381" Type="http://schemas.openxmlformats.org/officeDocument/2006/relationships/footer" Target="footer39.xml" /><Relationship Id="rId382" Type="http://schemas.openxmlformats.org/officeDocument/2006/relationships/hyperlink" Target="https://advance.lexis.com/api/document?collection=cases-ca&amp;id=urn:contentItem:5NY8-H081-JSJC-X1XX-00000-00&amp;context=" TargetMode="External" /><Relationship Id="rId383" Type="http://schemas.openxmlformats.org/officeDocument/2006/relationships/hyperlink" Target="https://advance.lexis.com/api/document?collection=cases-ca&amp;id=urn:contentItem:5N4F-4BW1-F81W-236F-00000-00&amp;context=" TargetMode="External" /><Relationship Id="rId384" Type="http://schemas.openxmlformats.org/officeDocument/2006/relationships/hyperlink" Target="https://advance.lexis.com/api/document?collection=legislation-ca&amp;id=urn:contentItem:5VYK-W9V1-JS0R-23WX-00000-00&amp;context=" TargetMode="External" /><Relationship Id="rId385" Type="http://schemas.openxmlformats.org/officeDocument/2006/relationships/hyperlink" Target="https://advance.lexis.com/api/document?collection=cases-ca&amp;id=urn:contentItem:5N59-FCC1-F1P7-B3SJ-00000-00&amp;context=" TargetMode="External" /><Relationship Id="rId386" Type="http://schemas.openxmlformats.org/officeDocument/2006/relationships/hyperlink" Target="https://advance.lexis.com/api/document?collection=legislation-ca&amp;id=urn:contentItem:5W07-7G51-JCBX-S0SB-00000-00&amp;context=" TargetMode="External" /><Relationship Id="rId387" Type="http://schemas.openxmlformats.org/officeDocument/2006/relationships/hyperlink" Target="https://advance.lexis.com/api/document?collection=cases-ca&amp;id=urn:contentItem:5F8T-N3V1-JTGH-B19N-00000-00&amp;context=" TargetMode="External" /><Relationship Id="rId388" Type="http://schemas.openxmlformats.org/officeDocument/2006/relationships/hyperlink" Target="https://advance.lexis.com/api/document?collection=cases-ca&amp;id=urn:contentItem:5F8T-N3V1-JTGH-B1C7-00000-00&amp;context=" TargetMode="External" /><Relationship Id="rId389" Type="http://schemas.openxmlformats.org/officeDocument/2006/relationships/hyperlink" Target="https://advance.lexis.com/api/document?collection=cases-ca&amp;id=urn:contentItem:5F8T-N3V1-FH4C-X22V-00000-00&amp;context=" TargetMode="External" /><Relationship Id="rId39" Type="http://schemas.openxmlformats.org/officeDocument/2006/relationships/hyperlink" Target="https://advance.lexis.com/api/document?collection=cases-ca&amp;id=urn:contentItem:5F7T-S7K1-DY33-B1K8-00000-00&amp;context=" TargetMode="External" /><Relationship Id="rId390" Type="http://schemas.openxmlformats.org/officeDocument/2006/relationships/hyperlink" Target="https://advance.lexis.com/api/document?collection=legislation-ca&amp;id=urn:contentItem:5MS4-PW61-DYV0-G06J-00000-00&amp;context=" TargetMode="External" /><Relationship Id="rId391" Type="http://schemas.openxmlformats.org/officeDocument/2006/relationships/hyperlink" Target="https://advance.lexis.com/api/document?collection=cases-ca&amp;id=urn:contentItem:5F8T-N3S1-JBDT-B05R-00000-00&amp;context=" TargetMode="External" /><Relationship Id="rId392" Type="http://schemas.openxmlformats.org/officeDocument/2006/relationships/hyperlink" Target="https://advance.lexis.com/api/document?collection=cases-ca&amp;id=urn:contentItem:5F8T-N3V1-JF75-M3GV-00000-00&amp;context=" TargetMode="External" /><Relationship Id="rId393" Type="http://schemas.openxmlformats.org/officeDocument/2006/relationships/hyperlink" Target="https://advance.lexis.com/api/document?collection=cases-ca&amp;id=urn:contentItem:5F8T-N3V1-JTGH-B16R-00000-00&amp;context=" TargetMode="External" /><Relationship Id="rId394" Type="http://schemas.openxmlformats.org/officeDocument/2006/relationships/hyperlink" Target="https://advance.lexis.com/api/document?collection=cases-ca&amp;id=urn:contentItem:5F7T-S7H1-JCRC-B13V-00000-00&amp;context=" TargetMode="External" /><Relationship Id="rId395" Type="http://schemas.openxmlformats.org/officeDocument/2006/relationships/hyperlink" Target="https://advance.lexis.com/api/document?collection=cases-ca&amp;id=urn:contentItem:5F81-VJX1-FCK4-G1R5-00000-00&amp;context=" TargetMode="External" /><Relationship Id="rId396" Type="http://schemas.openxmlformats.org/officeDocument/2006/relationships/hyperlink" Target="https://advance.lexis.com/api/document?collection=cases-ca&amp;id=urn:contentItem:5F8P-SDF1-JXNB-651G-00000-00&amp;context=" TargetMode="External" /><Relationship Id="rId397" Type="http://schemas.openxmlformats.org/officeDocument/2006/relationships/hyperlink" Target="https://advance.lexis.com/api/document?collection=cases-ca&amp;id=urn:contentItem:5F7T-S7C1-F7VM-S3BF-00000-00&amp;context=" TargetMode="External" /><Relationship Id="rId398" Type="http://schemas.openxmlformats.org/officeDocument/2006/relationships/hyperlink" Target="https://advance.lexis.com/api/document?collection=cases-ca&amp;id=urn:contentItem:5F8P-SF81-JF75-M1TV-00000-00&amp;context=" TargetMode="External" /><Relationship Id="rId399" Type="http://schemas.openxmlformats.org/officeDocument/2006/relationships/hyperlink" Target="https://advance.lexis.com/api/document?collection=cases-ca&amp;id=urn:contentItem:5F7T-S7M1-F4W2-62J5-00000-00&amp;context=" TargetMode="External" /><Relationship Id="rId4" Type="http://schemas.openxmlformats.org/officeDocument/2006/relationships/header" Target="header1.xml" /><Relationship Id="rId40" Type="http://schemas.openxmlformats.org/officeDocument/2006/relationships/hyperlink" Target="https://advance.lexis.com/api/document?collection=cases-ca&amp;id=urn:contentItem:5F7T-S771-JN14-G2PR-00000-00&amp;context=" TargetMode="External" /><Relationship Id="rId400" Type="http://schemas.openxmlformats.org/officeDocument/2006/relationships/hyperlink" Target="https://advance.lexis.com/api/document?collection=cases-ca&amp;id=urn:contentItem:5GCC-XVC1-JSRM-60PP-00000-00&amp;context=" TargetMode="External" /><Relationship Id="rId401" Type="http://schemas.openxmlformats.org/officeDocument/2006/relationships/hyperlink" Target="https://advance.lexis.com/api/document?collection=cases-ca&amp;id=urn:contentItem:5F7T-S6X1-F7ND-G3FP-00000-00&amp;context=" TargetMode="External" /><Relationship Id="rId402" Type="http://schemas.openxmlformats.org/officeDocument/2006/relationships/hyperlink" Target="https://advance.lexis.com/api/document?collection=cases-ca&amp;id=urn:contentItem:5F7T-S771-JTGH-B136-00000-00&amp;context=" TargetMode="External" /><Relationship Id="rId403" Type="http://schemas.openxmlformats.org/officeDocument/2006/relationships/hyperlink" Target="https://advance.lexis.com/api/document?collection=cases-ca&amp;id=urn:contentItem:5F7T-S7J1-JNS1-M20H-00000-00&amp;context=" TargetMode="External" /><Relationship Id="rId404" Type="http://schemas.openxmlformats.org/officeDocument/2006/relationships/hyperlink" Target="https://advance.lexis.com/api/document?collection=cases-ca&amp;id=urn:contentItem:5F7T-S7D1-JN6B-S0WD-00000-00&amp;context=" TargetMode="External" /><Relationship Id="rId405" Type="http://schemas.openxmlformats.org/officeDocument/2006/relationships/hyperlink" Target="https://advance.lexis.com/api/document?collection=cases-ca&amp;id=urn:contentItem:5F7T-S761-JS5Y-B1HJ-00000-00&amp;context=" TargetMode="External" /><Relationship Id="rId406" Type="http://schemas.openxmlformats.org/officeDocument/2006/relationships/hyperlink" Target="https://advance.lexis.com/api/document?collection=cases-ca&amp;id=urn:contentItem:5F7T-S7D1-DY89-M43N-00000-00&amp;context=" TargetMode="External" /><Relationship Id="rId407" Type="http://schemas.openxmlformats.org/officeDocument/2006/relationships/header" Target="header40.xml" /><Relationship Id="rId408" Type="http://schemas.openxmlformats.org/officeDocument/2006/relationships/header" Target="header41.xml" /><Relationship Id="rId409" Type="http://schemas.openxmlformats.org/officeDocument/2006/relationships/footer" Target="footer40.xml" /><Relationship Id="rId41" Type="http://schemas.openxmlformats.org/officeDocument/2006/relationships/hyperlink" Target="https://advance.lexis.com/api/document?collection=cases-ca&amp;id=urn:contentItem:5F7T-S6W1-JYYX-61TX-00000-00&amp;context=" TargetMode="External" /><Relationship Id="rId410" Type="http://schemas.openxmlformats.org/officeDocument/2006/relationships/footer" Target="footer41.xml" /><Relationship Id="rId411" Type="http://schemas.openxmlformats.org/officeDocument/2006/relationships/header" Target="header42.xml" /><Relationship Id="rId412" Type="http://schemas.openxmlformats.org/officeDocument/2006/relationships/footer" Target="footer42.xml" /><Relationship Id="rId413" Type="http://schemas.openxmlformats.org/officeDocument/2006/relationships/hyperlink" Target="https://advance.lexis.com/api/document?collection=cases-ca&amp;id=urn:contentItem:5NSB-PR71-K054-G3CD-00000-00&amp;context=" TargetMode="External" /><Relationship Id="rId414" Type="http://schemas.openxmlformats.org/officeDocument/2006/relationships/hyperlink" Target="https://advance.lexis.com/api/document?collection=legislation-ca&amp;id=urn:contentItem:5F41-1FH1-F361-M0F4-00000-00&amp;context=" TargetMode="External" /><Relationship Id="rId415" Type="http://schemas.openxmlformats.org/officeDocument/2006/relationships/hyperlink" Target="https://advance.lexis.com/api/document?collection=cases-ca&amp;id=urn:contentItem:5F7T-S711-JG02-S1F6-00000-00&amp;context=" TargetMode="External" /><Relationship Id="rId416" Type="http://schemas.openxmlformats.org/officeDocument/2006/relationships/hyperlink" Target="https://advance.lexis.com/api/document?collection=cases-ca&amp;id=urn:contentItem:5F7T-S7K1-DXWW-2019-00000-00&amp;context=" TargetMode="External" /><Relationship Id="rId417" Type="http://schemas.openxmlformats.org/officeDocument/2006/relationships/hyperlink" Target="https://advance.lexis.com/api/document?collection=cases-ca&amp;id=urn:contentItem:5F7T-S7F1-FFFC-B20P-00000-00&amp;context=" TargetMode="External" /><Relationship Id="rId418" Type="http://schemas.openxmlformats.org/officeDocument/2006/relationships/hyperlink" Target="https://advance.lexis.com/api/document?collection=cases-ca&amp;id=urn:contentItem:5GTH-W621-FCYK-200D-00000-00&amp;context=" TargetMode="External" /><Relationship Id="rId419" Type="http://schemas.openxmlformats.org/officeDocument/2006/relationships/hyperlink" Target="https://advance.lexis.com/api/document?collection=cases-ca&amp;id=urn:contentItem:5JY7-RCM1-DXHD-G2RF-00000-00&amp;context=" TargetMode="External" /><Relationship Id="rId42" Type="http://schemas.openxmlformats.org/officeDocument/2006/relationships/hyperlink" Target="https://advance.lexis.com/api/document?collection=cases-ca&amp;id=urn:contentItem:5F7T-S7P1-JSJC-X1GW-00000-00&amp;context=" TargetMode="External" /><Relationship Id="rId420" Type="http://schemas.openxmlformats.org/officeDocument/2006/relationships/hyperlink" Target="https://advance.lexis.com/api/document?collection=cases-ca&amp;id=urn:contentItem:5K0Y-G9P1-DYMS-61NK-00000-00&amp;context=" TargetMode="External" /><Relationship Id="rId421" Type="http://schemas.openxmlformats.org/officeDocument/2006/relationships/hyperlink" Target="https://advance.lexis.com/api/document?collection=cases-ca&amp;id=urn:contentItem:5F7T-S7J1-DXWW-24XN-00000-00&amp;context=" TargetMode="External" /><Relationship Id="rId422" Type="http://schemas.openxmlformats.org/officeDocument/2006/relationships/hyperlink" Target="https://advance.lexis.com/api/document?collection=cases-ca&amp;id=urn:contentItem:5MKR-T2S1-F27X-60WF-00000-00&amp;context=" TargetMode="External" /><Relationship Id="rId423" Type="http://schemas.openxmlformats.org/officeDocument/2006/relationships/header" Target="header43.xml" /><Relationship Id="rId424" Type="http://schemas.openxmlformats.org/officeDocument/2006/relationships/header" Target="header44.xml" /><Relationship Id="rId425" Type="http://schemas.openxmlformats.org/officeDocument/2006/relationships/footer" Target="footer43.xml" /><Relationship Id="rId426" Type="http://schemas.openxmlformats.org/officeDocument/2006/relationships/footer" Target="footer44.xml" /><Relationship Id="rId427" Type="http://schemas.openxmlformats.org/officeDocument/2006/relationships/header" Target="header45.xml" /><Relationship Id="rId428" Type="http://schemas.openxmlformats.org/officeDocument/2006/relationships/footer" Target="footer45.xml" /><Relationship Id="rId429" Type="http://schemas.openxmlformats.org/officeDocument/2006/relationships/hyperlink" Target="https://advance.lexis.com/api/document?collection=cases-ca&amp;id=urn:contentItem:5F7T-S781-F06F-23XV-00000-00&amp;context=" TargetMode="External" /><Relationship Id="rId43" Type="http://schemas.openxmlformats.org/officeDocument/2006/relationships/hyperlink" Target="https://advance.lexis.com/api/document?collection=cases-ca&amp;id=urn:contentItem:5F7T-S7P1-JG02-S46D-00000-00&amp;context=" TargetMode="External" /><Relationship Id="rId430" Type="http://schemas.openxmlformats.org/officeDocument/2006/relationships/hyperlink" Target="https://advance.lexis.com/api/document?collection=legislation-ca&amp;id=urn:contentItem:5F41-1FJ1-F5KY-B1RT-00000-00&amp;context=" TargetMode="External" /><Relationship Id="rId431" Type="http://schemas.openxmlformats.org/officeDocument/2006/relationships/hyperlink" Target="https://advance.lexis.com/api/document?collection=cases-ca&amp;id=urn:contentItem:5F81-VJV1-JK4W-M4GH-00000-00&amp;context=" TargetMode="External" /><Relationship Id="rId432" Type="http://schemas.openxmlformats.org/officeDocument/2006/relationships/hyperlink" Target="https://advance.lexis.com/api/document?collection=cases-ca&amp;id=urn:contentItem:5F7T-S771-JSJC-X060-00000-00&amp;context=" TargetMode="External" /><Relationship Id="rId433" Type="http://schemas.openxmlformats.org/officeDocument/2006/relationships/hyperlink" Target="https://advance.lexis.com/api/document?collection=cases-ca&amp;id=urn:contentItem:5F7T-S751-JX3N-B0PW-00000-00&amp;context=" TargetMode="External" /><Relationship Id="rId434" Type="http://schemas.openxmlformats.org/officeDocument/2006/relationships/hyperlink" Target="https://advance.lexis.com/api/document?collection=cases-ca&amp;id=urn:contentItem:5F7T-S761-JCBX-S0KM-00000-00&amp;context=" TargetMode="External" /><Relationship Id="rId435" Type="http://schemas.openxmlformats.org/officeDocument/2006/relationships/header" Target="header46.xml" /><Relationship Id="rId436" Type="http://schemas.openxmlformats.org/officeDocument/2006/relationships/header" Target="header47.xml" /><Relationship Id="rId437" Type="http://schemas.openxmlformats.org/officeDocument/2006/relationships/footer" Target="footer46.xml" /><Relationship Id="rId438" Type="http://schemas.openxmlformats.org/officeDocument/2006/relationships/footer" Target="footer47.xml" /><Relationship Id="rId439" Type="http://schemas.openxmlformats.org/officeDocument/2006/relationships/header" Target="header48.xml" /><Relationship Id="rId44" Type="http://schemas.openxmlformats.org/officeDocument/2006/relationships/hyperlink" Target="https://advance.lexis.com/api/document?collection=cases-ca&amp;id=urn:contentItem:5F8T-N3V1-FC1F-M4BC-00000-00&amp;context=" TargetMode="External" /><Relationship Id="rId440" Type="http://schemas.openxmlformats.org/officeDocument/2006/relationships/footer" Target="footer48.xml" /><Relationship Id="rId441" Type="http://schemas.openxmlformats.org/officeDocument/2006/relationships/hyperlink" Target="https://advance.lexis.com/api/document?collection=cases-ca&amp;id=urn:contentItem:5F7T-S7P1-F2TK-23NW-00000-00&amp;context=" TargetMode="External" /><Relationship Id="rId442" Type="http://schemas.openxmlformats.org/officeDocument/2006/relationships/hyperlink" Target="https://advance.lexis.com/api/document?collection=legislation-ca&amp;id=urn:contentItem:5F41-1FJ1-F5KY-B22P-00000-00&amp;context=" TargetMode="External" /><Relationship Id="rId443" Type="http://schemas.openxmlformats.org/officeDocument/2006/relationships/hyperlink" Target="https://advance.lexis.com/api/document?collection=cases-ca&amp;id=urn:contentItem:5F7T-S7N1-JC5P-G23K-00000-00&amp;context=" TargetMode="External" /><Relationship Id="rId444" Type="http://schemas.openxmlformats.org/officeDocument/2006/relationships/hyperlink" Target="https://advance.lexis.com/api/document?collection=cases-ca&amp;id=urn:contentItem:5F7T-S701-JF75-M4J3-00000-00&amp;context=" TargetMode="External" /><Relationship Id="rId445" Type="http://schemas.openxmlformats.org/officeDocument/2006/relationships/hyperlink" Target="https://advance.lexis.com/api/document?collection=cases-ca&amp;id=urn:contentItem:5F7T-S711-JB2B-S117-00000-00&amp;context=" TargetMode="External" /><Relationship Id="rId446" Type="http://schemas.openxmlformats.org/officeDocument/2006/relationships/hyperlink" Target="https://advance.lexis.com/api/document?collection=cases-ca&amp;id=urn:contentItem:5F7T-S7M1-JFSV-G3FS-00000-00&amp;context=" TargetMode="External" /><Relationship Id="rId447" Type="http://schemas.openxmlformats.org/officeDocument/2006/relationships/hyperlink" Target="https://advance.lexis.com/api/document?collection=cases-ca&amp;id=urn:contentItem:5F7T-S7N1-JC5P-G1XX-00000-00&amp;context=" TargetMode="External" /><Relationship Id="rId448" Type="http://schemas.openxmlformats.org/officeDocument/2006/relationships/hyperlink" Target="https://advance.lexis.com/api/document?collection=cases-ca&amp;id=urn:contentItem:5F8T-N3V1-FH4C-X1XK-00000-00&amp;context=" TargetMode="External" /><Relationship Id="rId449" Type="http://schemas.openxmlformats.org/officeDocument/2006/relationships/hyperlink" Target="https://advance.lexis.com/api/document?collection=cases-ca&amp;id=urn:contentItem:5F8T-N3V1-FH4C-X1WM-00000-00&amp;context=" TargetMode="External" /><Relationship Id="rId45" Type="http://schemas.openxmlformats.org/officeDocument/2006/relationships/hyperlink" Target="https://advance.lexis.com/api/document?collection=cases-ca&amp;id=urn:contentItem:5F7T-S7M1-JCRC-B1D6-00000-00&amp;context=" TargetMode="External" /><Relationship Id="rId450" Type="http://schemas.openxmlformats.org/officeDocument/2006/relationships/hyperlink" Target="https://advance.lexis.com/api/document?collection=cases-ca&amp;id=urn:contentItem:5F8T-N3V1-FC1F-M4CB-00000-00&amp;context=" TargetMode="External" /><Relationship Id="rId451" Type="http://schemas.openxmlformats.org/officeDocument/2006/relationships/hyperlink" Target="https://advance.lexis.com/api/document?collection=cases-ca&amp;id=urn:contentItem:5F7T-S7D1-JG02-S2RX-00000-00&amp;context=" TargetMode="External" /><Relationship Id="rId452" Type="http://schemas.openxmlformats.org/officeDocument/2006/relationships/hyperlink" Target="https://advance.lexis.com/api/document?collection=cases-ca&amp;id=urn:contentItem:5F7T-S7M1-F4W2-6297-00000-00&amp;context=" TargetMode="External" /><Relationship Id="rId453" Type="http://schemas.openxmlformats.org/officeDocument/2006/relationships/header" Target="header49.xml" /><Relationship Id="rId454" Type="http://schemas.openxmlformats.org/officeDocument/2006/relationships/header" Target="header50.xml" /><Relationship Id="rId455" Type="http://schemas.openxmlformats.org/officeDocument/2006/relationships/footer" Target="footer49.xml" /><Relationship Id="rId456" Type="http://schemas.openxmlformats.org/officeDocument/2006/relationships/footer" Target="footer50.xml" /><Relationship Id="rId457" Type="http://schemas.openxmlformats.org/officeDocument/2006/relationships/header" Target="header51.xml" /><Relationship Id="rId458" Type="http://schemas.openxmlformats.org/officeDocument/2006/relationships/footer" Target="footer51.xml" /><Relationship Id="rId459" Type="http://schemas.openxmlformats.org/officeDocument/2006/relationships/hyperlink" Target="https://advance.lexis.com/api/document?collection=cases-ca&amp;id=urn:contentItem:5F7T-S7J1-JGBH-B2K9-00000-00&amp;context=" TargetMode="External" /><Relationship Id="rId46" Type="http://schemas.openxmlformats.org/officeDocument/2006/relationships/hyperlink" Target="https://advance.lexis.com/api/document?collection=cases-ca&amp;id=urn:contentItem:5F7T-S7P1-F2TK-23KN-00000-00&amp;context=" TargetMode="External" /><Relationship Id="rId460" Type="http://schemas.openxmlformats.org/officeDocument/2006/relationships/hyperlink" Target="https://advance.lexis.com/api/document?collection=cases-ca&amp;id=urn:contentItem:5F7T-S7H1-JCRC-B11H-00000-00&amp;context=" TargetMode="External" /><Relationship Id="rId461" Type="http://schemas.openxmlformats.org/officeDocument/2006/relationships/hyperlink" Target="https://advance.lexis.com/api/document?collection=cases-ca&amp;id=urn:contentItem:5F7T-S7H1-JCRC-B0SR-00000-00&amp;context=" TargetMode="External" /><Relationship Id="rId462" Type="http://schemas.openxmlformats.org/officeDocument/2006/relationships/image" Target="media/image4.png" /><Relationship Id="rId463" Type="http://schemas.openxmlformats.org/officeDocument/2006/relationships/hyperlink" Target="https://advance.lexis.com/api/document?collection=cases-ca&amp;id=urn:contentItem:5F7T-S771-FG68-G103-00000-00&amp;context=" TargetMode="External" /><Relationship Id="rId464" Type="http://schemas.openxmlformats.org/officeDocument/2006/relationships/hyperlink" Target="https://advance.lexis.com/api/document?collection=cases-ca&amp;id=urn:contentItem:5F81-VJX1-JJYN-B4T6-00000-00&amp;context=" TargetMode="External" /><Relationship Id="rId465" Type="http://schemas.openxmlformats.org/officeDocument/2006/relationships/hyperlink" Target="https://advance.lexis.com/api/document?collection=cases-ca&amp;id=urn:contentItem:5F7T-S7J1-JGBH-B225-00000-00&amp;context=" TargetMode="External" /><Relationship Id="rId466" Type="http://schemas.openxmlformats.org/officeDocument/2006/relationships/hyperlink" Target="https://advance.lexis.com/api/document?collection=cases-ca&amp;id=urn:contentItem:5F7T-S7B1-F7ND-G541-00000-00&amp;context=" TargetMode="External" /><Relationship Id="rId467" Type="http://schemas.openxmlformats.org/officeDocument/2006/relationships/hyperlink" Target="https://advance.lexis.com/api/document?collection=cases-ca&amp;id=urn:contentItem:5F8P-SDS1-F1WF-M2C5-00000-00&amp;context=" TargetMode="External" /><Relationship Id="rId468" Type="http://schemas.openxmlformats.org/officeDocument/2006/relationships/hyperlink" Target="https://advance.lexis.com/api/document?collection=cases-ca&amp;id=urn:contentItem:5F7T-S7D1-JG02-S2SX-00000-00&amp;context=" TargetMode="External" /><Relationship Id="rId469" Type="http://schemas.openxmlformats.org/officeDocument/2006/relationships/hyperlink" Target="https://advance.lexis.com/api/document?collection=cases-ca&amp;id=urn:contentItem:5F8P-SF61-JBT7-X27S-00000-00&amp;context=" TargetMode="External" /><Relationship Id="rId47" Type="http://schemas.openxmlformats.org/officeDocument/2006/relationships/hyperlink" Target="https://advance.lexis.com/api/document?collection=cases-ca&amp;id=urn:contentItem:5F7T-S7N1-F06F-24BC-00000-00&amp;context=" TargetMode="External" /><Relationship Id="rId470" Type="http://schemas.openxmlformats.org/officeDocument/2006/relationships/header" Target="header52.xml" /><Relationship Id="rId471" Type="http://schemas.openxmlformats.org/officeDocument/2006/relationships/header" Target="header53.xml" /><Relationship Id="rId472" Type="http://schemas.openxmlformats.org/officeDocument/2006/relationships/footer" Target="footer52.xml" /><Relationship Id="rId473" Type="http://schemas.openxmlformats.org/officeDocument/2006/relationships/footer" Target="footer53.xml" /><Relationship Id="rId474" Type="http://schemas.openxmlformats.org/officeDocument/2006/relationships/header" Target="header54.xml" /><Relationship Id="rId475" Type="http://schemas.openxmlformats.org/officeDocument/2006/relationships/footer" Target="footer54.xml" /><Relationship Id="rId476" Type="http://schemas.openxmlformats.org/officeDocument/2006/relationships/hyperlink" Target="https://advance.lexis.com/api/document?collection=cases-ca&amp;id=urn:contentItem:5F7T-S7G1-F5KY-B1DJ-00000-00&amp;context=" TargetMode="External" /><Relationship Id="rId477" Type="http://schemas.openxmlformats.org/officeDocument/2006/relationships/hyperlink" Target="https://advance.lexis.com/api/document?collection=cases-ca&amp;id=urn:contentItem:5F7T-S7C1-JSRM-60TS-00000-00&amp;context=" TargetMode="External" /><Relationship Id="rId478" Type="http://schemas.openxmlformats.org/officeDocument/2006/relationships/hyperlink" Target="https://advance.lexis.com/api/document?collection=cases-ca&amp;id=urn:contentItem:5F7T-S6W1-F7ND-G2GK-00000-00&amp;context=" TargetMode="External" /><Relationship Id="rId479" Type="http://schemas.openxmlformats.org/officeDocument/2006/relationships/hyperlink" Target="https://advance.lexis.com/api/document?collection=cases-ca&amp;id=urn:contentItem:5F7T-S791-FJTD-G2VY-00000-00&amp;context=" TargetMode="External" /><Relationship Id="rId48" Type="http://schemas.openxmlformats.org/officeDocument/2006/relationships/header" Target="header4.xml" /><Relationship Id="rId480" Type="http://schemas.openxmlformats.org/officeDocument/2006/relationships/hyperlink" Target="https://advance.lexis.com/api/document?collection=cases-ca&amp;id=urn:contentItem:5F7T-S781-JC5P-G1HX-00000-00&amp;context=" TargetMode="External" /><Relationship Id="rId481" Type="http://schemas.openxmlformats.org/officeDocument/2006/relationships/hyperlink" Target="https://advance.lexis.com/api/document?collection=cases-ca&amp;id=urn:contentItem:5F7T-S7C1-FGRY-B0BG-00000-00&amp;context=" TargetMode="External" /><Relationship Id="rId482" Type="http://schemas.openxmlformats.org/officeDocument/2006/relationships/hyperlink" Target="https://advance.lexis.com/api/document?collection=cases-ca&amp;id=urn:contentItem:5F7T-S7F1-JFKM-61RR-00000-00&amp;context=" TargetMode="External" /><Relationship Id="rId483" Type="http://schemas.openxmlformats.org/officeDocument/2006/relationships/hyperlink" Target="https://advance.lexis.com/api/document?collection=cases-ca&amp;id=urn:contentItem:5F7T-S7D1-F7ND-G0T9-00000-00&amp;context=" TargetMode="External" /><Relationship Id="rId484" Type="http://schemas.openxmlformats.org/officeDocument/2006/relationships/hyperlink" Target="https://advance.lexis.com/api/document?collection=cases-ca&amp;id=urn:contentItem:5F8T-N3V1-JF75-M3V2-00000-00&amp;context=" TargetMode="External" /><Relationship Id="rId485" Type="http://schemas.openxmlformats.org/officeDocument/2006/relationships/hyperlink" Target="https://advance.lexis.com/api/document?collection=cases-ca&amp;id=urn:contentItem:5F7T-S731-F1WF-M2F6-00000-00&amp;context=" TargetMode="External" /><Relationship Id="rId486" Type="http://schemas.openxmlformats.org/officeDocument/2006/relationships/hyperlink" Target="https://advance.lexis.com/api/document?collection=cases-ca&amp;id=urn:contentItem:5F7T-S781-F7G6-63HH-00000-00&amp;context=" TargetMode="External" /><Relationship Id="rId487" Type="http://schemas.openxmlformats.org/officeDocument/2006/relationships/hyperlink" Target="https://advance.lexis.com/api/document?collection=cases-ca&amp;id=urn:contentItem:5F8T-N3S1-JT99-2532-00000-00&amp;context=" TargetMode="External" /><Relationship Id="rId488" Type="http://schemas.openxmlformats.org/officeDocument/2006/relationships/hyperlink" Target="https://advance.lexis.com/api/document?collection=cases-ca&amp;id=urn:contentItem:5F8T-N3V1-FC1F-M3WX-00000-00&amp;context=" TargetMode="External" /><Relationship Id="rId489" Type="http://schemas.openxmlformats.org/officeDocument/2006/relationships/hyperlink" Target="https://advance.lexis.com/api/document?collection=cases-ca&amp;id=urn:contentItem:5F7T-S731-JNJT-B1W0-00000-00&amp;context=" TargetMode="External" /><Relationship Id="rId49" Type="http://schemas.openxmlformats.org/officeDocument/2006/relationships/header" Target="header5.xml" /><Relationship Id="rId490" Type="http://schemas.openxmlformats.org/officeDocument/2006/relationships/hyperlink" Target="https://advance.lexis.com/api/document?collection=cases-ca&amp;id=urn:contentItem:5F7T-S761-F81W-227S-00000-00&amp;context=" TargetMode="External" /><Relationship Id="rId491" Type="http://schemas.openxmlformats.org/officeDocument/2006/relationships/hyperlink" Target="https://advance.lexis.com/api/document?collection=cases-ca&amp;id=urn:contentItem:5F7T-S721-JSC5-M387-00000-00&amp;context=" TargetMode="External" /><Relationship Id="rId492" Type="http://schemas.openxmlformats.org/officeDocument/2006/relationships/hyperlink" Target="https://advance.lexis.com/api/document?collection=cases-ca&amp;id=urn:contentItem:5F7T-S6X1-FJDY-X10J-00000-00&amp;context=" TargetMode="External" /><Relationship Id="rId493" Type="http://schemas.openxmlformats.org/officeDocument/2006/relationships/hyperlink" Target="https://advance.lexis.com/api/document?collection=cases-ca&amp;id=urn:contentItem:5F7T-S6W1-F4GK-M1J6-00000-00&amp;context=" TargetMode="External" /><Relationship Id="rId494" Type="http://schemas.openxmlformats.org/officeDocument/2006/relationships/hyperlink" Target="https://advance.lexis.com/api/document?collection=cases-ca&amp;id=urn:contentItem:5F8T-N3T1-JJSF-23NF-00000-00&amp;context=" TargetMode="External" /><Relationship Id="rId495" Type="http://schemas.openxmlformats.org/officeDocument/2006/relationships/hyperlink" Target="https://advance.lexis.com/api/document?collection=cases-ca&amp;id=urn:contentItem:5F7T-S6S1-JX3N-B083-00000-00&amp;context=" TargetMode="External" /><Relationship Id="rId496" Type="http://schemas.openxmlformats.org/officeDocument/2006/relationships/header" Target="header55.xml" /><Relationship Id="rId497" Type="http://schemas.openxmlformats.org/officeDocument/2006/relationships/header" Target="header56.xml" /><Relationship Id="rId498" Type="http://schemas.openxmlformats.org/officeDocument/2006/relationships/footer" Target="footer55.xml" /><Relationship Id="rId499" Type="http://schemas.openxmlformats.org/officeDocument/2006/relationships/footer" Target="footer56.xml" /><Relationship Id="rId5" Type="http://schemas.openxmlformats.org/officeDocument/2006/relationships/header" Target="header2.xml" /><Relationship Id="rId50" Type="http://schemas.openxmlformats.org/officeDocument/2006/relationships/footer" Target="footer4.xml" /><Relationship Id="rId500" Type="http://schemas.openxmlformats.org/officeDocument/2006/relationships/header" Target="header57.xml" /><Relationship Id="rId501" Type="http://schemas.openxmlformats.org/officeDocument/2006/relationships/footer" Target="footer57.xml" /><Relationship Id="rId502" Type="http://schemas.openxmlformats.org/officeDocument/2006/relationships/hyperlink" Target="https://advance.lexis.com/api/document?collection=cases-ca&amp;id=urn:contentItem:5F7T-S7F1-JK4W-M1CC-00000-00&amp;context=" TargetMode="External" /><Relationship Id="rId503" Type="http://schemas.openxmlformats.org/officeDocument/2006/relationships/hyperlink" Target="https://advance.lexis.com/api/document?collection=cases-ca&amp;id=urn:contentItem:5F7T-S7C1-F7ND-G014-00000-00&amp;context=" TargetMode="External" /><Relationship Id="rId504" Type="http://schemas.openxmlformats.org/officeDocument/2006/relationships/hyperlink" Target="https://advance.lexis.com/api/document?collection=cases-ca&amp;id=urn:contentItem:5F7T-S7C1-JXG3-X0CY-00000-00&amp;context=" TargetMode="External" /><Relationship Id="rId505" Type="http://schemas.openxmlformats.org/officeDocument/2006/relationships/hyperlink" Target="https://advance.lexis.com/api/document?collection=cases-ca&amp;id=urn:contentItem:5F7T-S781-JC5P-G1D9-00000-00&amp;context=" TargetMode="External" /><Relationship Id="rId506" Type="http://schemas.openxmlformats.org/officeDocument/2006/relationships/hyperlink" Target="https://advance.lexis.com/api/document?collection=cases-ca&amp;id=urn:contentItem:5F7T-S7F1-FFFC-B1WP-00000-00&amp;context=" TargetMode="External" /><Relationship Id="rId507" Type="http://schemas.openxmlformats.org/officeDocument/2006/relationships/hyperlink" Target="https://advance.lexis.com/api/document?collection=cases-ca&amp;id=urn:contentItem:5F7T-S7C1-F30T-B29F-00000-00&amp;context=" TargetMode="External" /><Relationship Id="rId508" Type="http://schemas.openxmlformats.org/officeDocument/2006/relationships/hyperlink" Target="https://advance.lexis.com/api/document?collection=cases-ca&amp;id=urn:contentItem:5F7T-S791-FJTD-G2MC-00000-00&amp;context=" TargetMode="External" /><Relationship Id="rId509" Type="http://schemas.openxmlformats.org/officeDocument/2006/relationships/hyperlink" Target="https://advance.lexis.com/api/document?collection=cases-ca&amp;id=urn:contentItem:5F7T-S7D1-FCSB-S377-00000-00&amp;context=" TargetMode="External" /><Relationship Id="rId51" Type="http://schemas.openxmlformats.org/officeDocument/2006/relationships/footer" Target="footer5.xml" /><Relationship Id="rId510" Type="http://schemas.openxmlformats.org/officeDocument/2006/relationships/hyperlink" Target="https://advance.lexis.com/api/document?collection=cases-ca&amp;id=urn:contentItem:5F7T-S7F1-DXWW-23S1-00000-00&amp;context=" TargetMode="External" /><Relationship Id="rId511" Type="http://schemas.openxmlformats.org/officeDocument/2006/relationships/hyperlink" Target="https://advance.lexis.com/api/document?collection=cases-ca&amp;id=urn:contentItem:5F7T-S731-F016-S3D3-00000-00&amp;context=" TargetMode="External" /><Relationship Id="rId512" Type="http://schemas.openxmlformats.org/officeDocument/2006/relationships/hyperlink" Target="https://advance.lexis.com/api/document?collection=cases-ca&amp;id=urn:contentItem:5F7T-S751-JCJ5-24CV-00000-00&amp;context=" TargetMode="External" /><Relationship Id="rId513" Type="http://schemas.openxmlformats.org/officeDocument/2006/relationships/hyperlink" Target="https://advance.lexis.com/api/document?collection=cases-ca&amp;id=urn:contentItem:5F7T-S701-JBT7-X23F-00000-00&amp;context=" TargetMode="External" /><Relationship Id="rId514" Type="http://schemas.openxmlformats.org/officeDocument/2006/relationships/hyperlink" Target="https://advance.lexis.com/api/document?collection=cases-ca&amp;id=urn:contentItem:5F7T-S7D1-JXG3-X0W7-00000-00&amp;context=" TargetMode="External" /><Relationship Id="rId515" Type="http://schemas.openxmlformats.org/officeDocument/2006/relationships/hyperlink" Target="https://advance.lexis.com/api/document?collection=cases-ca&amp;id=urn:contentItem:5F7T-S781-JSC5-M4C3-00000-00&amp;context=" TargetMode="External" /><Relationship Id="rId516" Type="http://schemas.openxmlformats.org/officeDocument/2006/relationships/hyperlink" Target="https://advance.lexis.com/api/document?collection=cases-ca&amp;id=urn:contentItem:5F7T-S7C1-F4NT-X2XW-00000-00&amp;context=" TargetMode="External" /><Relationship Id="rId517" Type="http://schemas.openxmlformats.org/officeDocument/2006/relationships/hyperlink" Target="https://advance.lexis.com/api/document?collection=cases-ca&amp;id=urn:contentItem:5F7T-S7B1-FH4C-X3MY-00000-00&amp;context=" TargetMode="External" /><Relationship Id="rId518" Type="http://schemas.openxmlformats.org/officeDocument/2006/relationships/hyperlink" Target="https://advance.lexis.com/api/document?collection=cases-ca&amp;id=urn:contentItem:5F7T-S7D1-JXG3-X0NN-00000-00&amp;context=" TargetMode="External" /><Relationship Id="rId519" Type="http://schemas.openxmlformats.org/officeDocument/2006/relationships/header" Target="header58.xml" /><Relationship Id="rId52" Type="http://schemas.openxmlformats.org/officeDocument/2006/relationships/header" Target="header6.xml" /><Relationship Id="rId520" Type="http://schemas.openxmlformats.org/officeDocument/2006/relationships/header" Target="header59.xml" /><Relationship Id="rId521" Type="http://schemas.openxmlformats.org/officeDocument/2006/relationships/footer" Target="footer58.xml" /><Relationship Id="rId522" Type="http://schemas.openxmlformats.org/officeDocument/2006/relationships/footer" Target="footer59.xml" /><Relationship Id="rId523" Type="http://schemas.openxmlformats.org/officeDocument/2006/relationships/header" Target="header60.xml" /><Relationship Id="rId524" Type="http://schemas.openxmlformats.org/officeDocument/2006/relationships/footer" Target="footer60.xml" /><Relationship Id="rId525" Type="http://schemas.openxmlformats.org/officeDocument/2006/relationships/hyperlink" Target="https://advance.lexis.com/api/document?collection=cases-ca&amp;id=urn:contentItem:5F7T-S7G1-JPP5-223J-00000-00&amp;context=" TargetMode="External" /><Relationship Id="rId526" Type="http://schemas.openxmlformats.org/officeDocument/2006/relationships/hyperlink" Target="https://advance.lexis.com/api/document?collection=cases-ca&amp;id=urn:contentItem:5K6Y-81M1-JGPY-X219-00000-00&amp;context=" TargetMode="External" /><Relationship Id="rId527" Type="http://schemas.openxmlformats.org/officeDocument/2006/relationships/hyperlink" Target="https://advance.lexis.com/api/document?collection=legislation-ca&amp;id=urn:contentItem:5F41-1FH1-F361-M0GX-00000-00&amp;context=" TargetMode="External" /><Relationship Id="rId528" Type="http://schemas.openxmlformats.org/officeDocument/2006/relationships/hyperlink" Target="https://advance.lexis.com/api/document?collection=legislation-ca&amp;id=urn:contentItem:5F41-1FJ1-JBDT-B066-00000-00&amp;context=" TargetMode="External" /><Relationship Id="rId529" Type="http://schemas.openxmlformats.org/officeDocument/2006/relationships/hyperlink" Target="https://advance.lexis.com/api/document?collection=cases-ca&amp;id=urn:contentItem:5F7T-S7F1-F7VM-S3YG-00000-00&amp;context=" TargetMode="External" /><Relationship Id="rId53" Type="http://schemas.openxmlformats.org/officeDocument/2006/relationships/footer" Target="footer6.xml" /><Relationship Id="rId530" Type="http://schemas.openxmlformats.org/officeDocument/2006/relationships/hyperlink" Target="https://advance.lexis.com/api/document?collection=cases-ca&amp;id=urn:contentItem:5F7T-S7F1-JX3N-B1BJ-00000-00&amp;context=" TargetMode="External" /><Relationship Id="rId531" Type="http://schemas.openxmlformats.org/officeDocument/2006/relationships/hyperlink" Target="https://advance.lexis.com/api/document?collection=cases-ca&amp;id=urn:contentItem:5F7T-S7F1-DXWW-23G7-00000-00&amp;context=" TargetMode="External" /><Relationship Id="rId532" Type="http://schemas.openxmlformats.org/officeDocument/2006/relationships/hyperlink" Target="https://advance.lexis.com/api/document?collection=cases-ca&amp;id=urn:contentItem:5F7T-S7F1-JK4W-M1JH-00000-00&amp;context=" TargetMode="External" /><Relationship Id="rId533" Type="http://schemas.openxmlformats.org/officeDocument/2006/relationships/header" Target="header61.xml" /><Relationship Id="rId534" Type="http://schemas.openxmlformats.org/officeDocument/2006/relationships/header" Target="header62.xml" /><Relationship Id="rId535" Type="http://schemas.openxmlformats.org/officeDocument/2006/relationships/footer" Target="footer61.xml" /><Relationship Id="rId536" Type="http://schemas.openxmlformats.org/officeDocument/2006/relationships/footer" Target="footer62.xml" /><Relationship Id="rId537" Type="http://schemas.openxmlformats.org/officeDocument/2006/relationships/header" Target="header63.xml" /><Relationship Id="rId538" Type="http://schemas.openxmlformats.org/officeDocument/2006/relationships/footer" Target="footer63.xml" /><Relationship Id="rId539" Type="http://schemas.openxmlformats.org/officeDocument/2006/relationships/hyperlink" Target="https://advance.lexis.com/api/document?collection=cases-ca&amp;id=urn:contentItem:5F7T-S7B1-JSRM-6071-00000-00&amp;context=" TargetMode="External" /><Relationship Id="rId54" Type="http://schemas.openxmlformats.org/officeDocument/2006/relationships/hyperlink" Target="https://advance.lexis.com/api/document?collection=cases-ca&amp;id=urn:contentItem:5G6C-VP51-F7VM-S0N3-00000-00&amp;context=" TargetMode="External" /><Relationship Id="rId540" Type="http://schemas.openxmlformats.org/officeDocument/2006/relationships/hyperlink" Target="https://advance.lexis.com/api/document?collection=cases-ca&amp;id=urn:contentItem:5F8T-N3V1-JF75-M3FN-00000-00&amp;context=" TargetMode="External" /><Relationship Id="rId541" Type="http://schemas.openxmlformats.org/officeDocument/2006/relationships/hyperlink" Target="https://advance.lexis.com/api/document?collection=cases-ca&amp;id=urn:contentItem:5F8T-N3T1-JFKM-6519-00000-00&amp;context=" TargetMode="External" /><Relationship Id="rId542" Type="http://schemas.openxmlformats.org/officeDocument/2006/relationships/hyperlink" Target="https://advance.lexis.com/api/document?collection=cases-ca&amp;id=urn:contentItem:5F8T-N3V1-JF75-M3VR-00000-00&amp;context=" TargetMode="External" /><Relationship Id="rId543" Type="http://schemas.openxmlformats.org/officeDocument/2006/relationships/hyperlink" Target="https://advance.lexis.com/api/document?collection=cases-ca&amp;id=urn:contentItem:5F8T-N3V1-FC1F-M491-00000-00&amp;context=" TargetMode="External" /><Relationship Id="rId544" Type="http://schemas.openxmlformats.org/officeDocument/2006/relationships/header" Target="header64.xml" /><Relationship Id="rId545" Type="http://schemas.openxmlformats.org/officeDocument/2006/relationships/header" Target="header65.xml" /><Relationship Id="rId546" Type="http://schemas.openxmlformats.org/officeDocument/2006/relationships/footer" Target="footer64.xml" /><Relationship Id="rId547" Type="http://schemas.openxmlformats.org/officeDocument/2006/relationships/footer" Target="footer65.xml" /><Relationship Id="rId548" Type="http://schemas.openxmlformats.org/officeDocument/2006/relationships/header" Target="header66.xml" /><Relationship Id="rId549" Type="http://schemas.openxmlformats.org/officeDocument/2006/relationships/footer" Target="footer66.xml" /><Relationship Id="rId55" Type="http://schemas.openxmlformats.org/officeDocument/2006/relationships/hyperlink" Target="https://advance.lexis.com/api/document?collection=cases-ca&amp;id=urn:contentItem:5K6Y-81T1-JYYX-61PK-00000-00&amp;context=" TargetMode="External" /><Relationship Id="rId550" Type="http://schemas.openxmlformats.org/officeDocument/2006/relationships/hyperlink" Target="https://advance.lexis.com/api/document?collection=cases-ca&amp;id=urn:contentItem:5F7T-S7H1-JCRC-B114-00000-00&amp;context=" TargetMode="External" /><Relationship Id="rId551" Type="http://schemas.openxmlformats.org/officeDocument/2006/relationships/hyperlink" Target="https://advance.lexis.com/api/document?collection=cases-ca&amp;id=urn:contentItem:5F7T-S7D1-DY89-M48H-00000-00&amp;context=" TargetMode="External" /><Relationship Id="rId552" Type="http://schemas.openxmlformats.org/officeDocument/2006/relationships/hyperlink" Target="https://advance.lexis.com/api/document?collection=cases-ca&amp;id=urn:contentItem:5F7T-S741-F2F4-G2CF-00000-00&amp;context=" TargetMode="External" /><Relationship Id="rId553" Type="http://schemas.openxmlformats.org/officeDocument/2006/relationships/hyperlink" Target="https://advance.lexis.com/api/document?collection=cases-ca&amp;id=urn:contentItem:5F7T-S7F1-JX3N-B1D0-00000-00&amp;context=" TargetMode="External" /><Relationship Id="rId554" Type="http://schemas.openxmlformats.org/officeDocument/2006/relationships/hyperlink" Target="https://advance.lexis.com/api/document?collection=cases-ca&amp;id=urn:contentItem:5F7T-S7F1-FFFC-B1MT-00000-00&amp;context=" TargetMode="External" /><Relationship Id="rId555" Type="http://schemas.openxmlformats.org/officeDocument/2006/relationships/hyperlink" Target="https://advance.lexis.com/api/document?collection=cases-ca&amp;id=urn:contentItem:5F7T-S7F1-FJTD-G39V-00000-00&amp;context=" TargetMode="External" /><Relationship Id="rId556" Type="http://schemas.openxmlformats.org/officeDocument/2006/relationships/hyperlink" Target="https://advance.lexis.com/api/document?collection=cases-ca&amp;id=urn:contentItem:5F7V-3DG1-JJK6-S3K7-00000-00&amp;context=" TargetMode="External" /><Relationship Id="rId557" Type="http://schemas.openxmlformats.org/officeDocument/2006/relationships/hyperlink" Target="https://advance.lexis.com/api/document?collection=cases-ca&amp;id=urn:contentItem:5F8T-N3S1-JT99-24N1-00000-00&amp;context=" TargetMode="External" /><Relationship Id="rId558" Type="http://schemas.openxmlformats.org/officeDocument/2006/relationships/hyperlink" Target="https://advance.lexis.com/api/document?collection=cases-ca&amp;id=urn:contentItem:5F7T-S6T1-F361-M02B-00000-00&amp;context=" TargetMode="External" /><Relationship Id="rId559" Type="http://schemas.openxmlformats.org/officeDocument/2006/relationships/hyperlink" Target="https://advance.lexis.com/api/document?collection=cases-ca&amp;id=urn:contentItem:5F16-93B1-F4GK-M3X0-00000-00&amp;context=" TargetMode="External" /><Relationship Id="rId56" Type="http://schemas.openxmlformats.org/officeDocument/2006/relationships/hyperlink" Target="https://advance.lexis.com/api/document?collection=legislation-ca&amp;id=urn:contentItem:5F41-1FG1-JJYN-B06K-00000-00&amp;context=" TargetMode="External" /><Relationship Id="rId560" Type="http://schemas.openxmlformats.org/officeDocument/2006/relationships/hyperlink" Target="https://advance.lexis.com/api/document?collection=cases-ca&amp;id=urn:contentItem:5F7T-S7H1-JFKM-6275-00000-00&amp;context=" TargetMode="External" /><Relationship Id="rId561" Type="http://schemas.openxmlformats.org/officeDocument/2006/relationships/hyperlink" Target="https://advance.lexis.com/api/document?collection=cases-ca&amp;id=urn:contentItem:5F7T-S6R1-F4GK-M0H6-00000-00&amp;context=" TargetMode="External" /><Relationship Id="rId562" Type="http://schemas.openxmlformats.org/officeDocument/2006/relationships/hyperlink" Target="https://advance.lexis.com/api/document?collection=cases-ca&amp;id=urn:contentItem:5F7T-XPW1-F65M-62S2-00000-00&amp;context=" TargetMode="External" /><Relationship Id="rId563" Type="http://schemas.openxmlformats.org/officeDocument/2006/relationships/header" Target="header67.xml" /><Relationship Id="rId564" Type="http://schemas.openxmlformats.org/officeDocument/2006/relationships/header" Target="header68.xml" /><Relationship Id="rId565" Type="http://schemas.openxmlformats.org/officeDocument/2006/relationships/footer" Target="footer67.xml" /><Relationship Id="rId566" Type="http://schemas.openxmlformats.org/officeDocument/2006/relationships/footer" Target="footer68.xml" /><Relationship Id="rId567" Type="http://schemas.openxmlformats.org/officeDocument/2006/relationships/header" Target="header69.xml" /><Relationship Id="rId568" Type="http://schemas.openxmlformats.org/officeDocument/2006/relationships/footer" Target="footer69.xml" /><Relationship Id="rId569" Type="http://schemas.openxmlformats.org/officeDocument/2006/relationships/hyperlink" Target="https://advance.lexis.com/api/document?collection=cases-ca&amp;id=urn:contentItem:5F7T-S7M1-JFSV-G3X8-00000-00&amp;context=" TargetMode="External" /><Relationship Id="rId57" Type="http://schemas.openxmlformats.org/officeDocument/2006/relationships/image" Target="media/image1.jpeg" /><Relationship Id="rId570" Type="http://schemas.openxmlformats.org/officeDocument/2006/relationships/hyperlink" Target="https://advance.lexis.com/api/document?collection=cases-ca&amp;id=urn:contentItem:5F7T-S7H1-F4GK-M3FV-00000-00&amp;context=" TargetMode="External" /><Relationship Id="rId571" Type="http://schemas.openxmlformats.org/officeDocument/2006/relationships/hyperlink" Target="https://advance.lexis.com/api/document?collection=cases-ca&amp;id=urn:contentItem:5F7T-S7F1-JBT7-X2KB-00000-00&amp;context=" TargetMode="External" /><Relationship Id="rId572" Type="http://schemas.openxmlformats.org/officeDocument/2006/relationships/hyperlink" Target="https://advance.lexis.com/api/document?collection=cases-ca&amp;id=urn:contentItem:5F7T-S7H1-JS5Y-B33T-00000-00&amp;context=" TargetMode="External" /><Relationship Id="rId573" Type="http://schemas.openxmlformats.org/officeDocument/2006/relationships/hyperlink" Target="https://advance.lexis.com/api/document?collection=cases-ca&amp;id=urn:contentItem:5F7T-S7K1-JSJC-X17V-00000-00&amp;context=" TargetMode="External" /><Relationship Id="rId574" Type="http://schemas.openxmlformats.org/officeDocument/2006/relationships/hyperlink" Target="https://advance.lexis.com/api/document?collection=cases-ca&amp;id=urn:contentItem:5F7T-S7J1-JYYX-624X-00000-00&amp;context=" TargetMode="External" /><Relationship Id="rId575" Type="http://schemas.openxmlformats.org/officeDocument/2006/relationships/hyperlink" Target="https://advance.lexis.com/api/document?collection=cases-ca&amp;id=urn:contentItem:5F7T-S7K1-JWXF-2174-00000-00&amp;context=" TargetMode="External" /><Relationship Id="rId576" Type="http://schemas.openxmlformats.org/officeDocument/2006/relationships/hyperlink" Target="https://advance.lexis.com/api/document?collection=cases-ca&amp;id=urn:contentItem:5F7T-S7F1-JFKM-61TN-00000-00&amp;context=" TargetMode="External" /><Relationship Id="rId577" Type="http://schemas.openxmlformats.org/officeDocument/2006/relationships/hyperlink" Target="https://advance.lexis.com/api/document?collection=cases-ca&amp;id=urn:contentItem:5F7T-S7F1-DXWW-24JP-00000-00&amp;context=" TargetMode="External" /><Relationship Id="rId578" Type="http://schemas.openxmlformats.org/officeDocument/2006/relationships/header" Target="header70.xml" /><Relationship Id="rId579" Type="http://schemas.openxmlformats.org/officeDocument/2006/relationships/header" Target="header71.xml" /><Relationship Id="rId58" Type="http://schemas.openxmlformats.org/officeDocument/2006/relationships/image" Target="media/image2.jpeg" /><Relationship Id="rId580" Type="http://schemas.openxmlformats.org/officeDocument/2006/relationships/footer" Target="footer70.xml" /><Relationship Id="rId581" Type="http://schemas.openxmlformats.org/officeDocument/2006/relationships/footer" Target="footer71.xml" /><Relationship Id="rId582" Type="http://schemas.openxmlformats.org/officeDocument/2006/relationships/header" Target="header72.xml" /><Relationship Id="rId583" Type="http://schemas.openxmlformats.org/officeDocument/2006/relationships/footer" Target="footer72.xml" /><Relationship Id="rId584" Type="http://schemas.openxmlformats.org/officeDocument/2006/relationships/hyperlink" Target="https://advance.lexis.com/api/document?collection=cases-ca&amp;id=urn:contentItem:5F7T-S7P1-F2TK-23TJ-00000-00&amp;context=" TargetMode="External" /><Relationship Id="rId585" Type="http://schemas.openxmlformats.org/officeDocument/2006/relationships/hyperlink" Target="https://advance.lexis.com/api/document?collection=legislation-ca&amp;id=urn:contentItem:5F41-1FH1-JT42-S1MS-00000-00&amp;context=" TargetMode="External" /><Relationship Id="rId586" Type="http://schemas.openxmlformats.org/officeDocument/2006/relationships/hyperlink" Target="https://advance.lexis.com/api/document?collection=legislation-ca&amp;id=urn:contentItem:5F97-RCB1-F5DR-204G-00000-00&amp;context=" TargetMode="External" /><Relationship Id="rId587" Type="http://schemas.openxmlformats.org/officeDocument/2006/relationships/hyperlink" Target="https://advance.lexis.com/api/document?collection=cases-ca&amp;id=urn:contentItem:5F7T-S7K1-F1H1-22DB-00000-00&amp;context=" TargetMode="External" /><Relationship Id="rId588" Type="http://schemas.openxmlformats.org/officeDocument/2006/relationships/hyperlink" Target="https://advance.lexis.com/api/document?collection=cases-ca&amp;id=urn:contentItem:5F16-9371-F5DR-234B-00000-00&amp;context=" TargetMode="External" /><Relationship Id="rId589" Type="http://schemas.openxmlformats.org/officeDocument/2006/relationships/hyperlink" Target="https://advance.lexis.com/api/document?collection=cases-ca&amp;id=urn:contentItem:5F7T-S731-F60C-X145-00000-00&amp;context=" TargetMode="External" /><Relationship Id="rId59" Type="http://schemas.openxmlformats.org/officeDocument/2006/relationships/hyperlink" Target="https://advance.lexis.com/api/document?collection=cases-ca&amp;id=urn:contentItem:5F7T-S7K1-JX3N-B2V4-00000-00&amp;context=" TargetMode="External" /><Relationship Id="rId590" Type="http://schemas.openxmlformats.org/officeDocument/2006/relationships/hyperlink" Target="https://advance.lexis.com/api/document?collection=cases-ca&amp;id=urn:contentItem:5F81-VJX1-JP9P-G4SP-00000-00&amp;context=" TargetMode="External" /><Relationship Id="rId591" Type="http://schemas.openxmlformats.org/officeDocument/2006/relationships/hyperlink" Target="https://advance.lexis.com/api/document?collection=cases-ca&amp;id=urn:contentItem:5F8P-SCK1-F81W-254N-00000-00&amp;context=" TargetMode="External" /><Relationship Id="rId592" Type="http://schemas.openxmlformats.org/officeDocument/2006/relationships/hyperlink" Target="https://advance.lexis.com/api/document?collection=cases-ca&amp;id=urn:contentItem:5F8T-N3T1-JFKM-655P-00000-00&amp;context=" TargetMode="External" /><Relationship Id="rId593" Type="http://schemas.openxmlformats.org/officeDocument/2006/relationships/hyperlink" Target="https://advance.lexis.com/api/document?collection=cases-ca&amp;id=urn:contentItem:5F8T-N3V1-JTGH-B1H3-00000-00&amp;context=" TargetMode="External" /><Relationship Id="rId594" Type="http://schemas.openxmlformats.org/officeDocument/2006/relationships/hyperlink" Target="https://advance.lexis.com/api/document?collection=cases-ca&amp;id=urn:contentItem:5F7H-KW61-DXPM-S0BV-00000-00&amp;context=" TargetMode="External" /><Relationship Id="rId595" Type="http://schemas.openxmlformats.org/officeDocument/2006/relationships/hyperlink" Target="https://advance.lexis.com/api/document?collection=cases-ca&amp;id=urn:contentItem:5F8T-N3V1-JF75-M3T6-00000-00&amp;context=" TargetMode="External" /><Relationship Id="rId596" Type="http://schemas.openxmlformats.org/officeDocument/2006/relationships/hyperlink" Target="https://advance.lexis.com/api/document?collection=cases-ca&amp;id=urn:contentItem:5F7T-S751-JNS1-M1T9-00000-00&amp;context=" TargetMode="External" /><Relationship Id="rId597" Type="http://schemas.openxmlformats.org/officeDocument/2006/relationships/hyperlink" Target="https://advance.lexis.com/api/document?collection=cases-ca&amp;id=urn:contentItem:5F7T-S7K1-JSJC-X176-00000-00&amp;context=" TargetMode="External" /><Relationship Id="rId598" Type="http://schemas.openxmlformats.org/officeDocument/2006/relationships/hyperlink" Target="https://advance.lexis.com/api/document?collection=cases-ca&amp;id=urn:contentItem:5F7T-S7K1-F1H1-220C-00000-00&amp;context=" TargetMode="External" /><Relationship Id="rId599" Type="http://schemas.openxmlformats.org/officeDocument/2006/relationships/hyperlink" Target="https://advance.lexis.com/api/document?collection=cases-ca&amp;id=urn:contentItem:5F7T-S7M1-JJK6-S1Y5-00000-00&amp;context=" TargetMode="External" /><Relationship Id="rId6" Type="http://schemas.openxmlformats.org/officeDocument/2006/relationships/footer" Target="footer1.xml" /><Relationship Id="rId60" Type="http://schemas.openxmlformats.org/officeDocument/2006/relationships/hyperlink" Target="https://advance.lexis.com/api/document?collection=cases-ca&amp;id=urn:contentItem:5F7T-S7N1-F06F-24KX-00000-00&amp;context=" TargetMode="External" /><Relationship Id="rId600" Type="http://schemas.openxmlformats.org/officeDocument/2006/relationships/hyperlink" Target="https://advance.lexis.com/api/document?collection=cases-ca&amp;id=urn:contentItem:5F7T-S701-JJ6S-61J4-00000-00&amp;context=" TargetMode="External" /><Relationship Id="rId601" Type="http://schemas.openxmlformats.org/officeDocument/2006/relationships/hyperlink" Target="https://advance.lexis.com/api/document?collection=cases-ca&amp;id=urn:contentItem:5F8P-SFM1-JCBX-S2W2-00000-00&amp;context=" TargetMode="External" /><Relationship Id="rId602" Type="http://schemas.openxmlformats.org/officeDocument/2006/relationships/hyperlink" Target="https://advance.lexis.com/api/document?collection=cases-ca&amp;id=urn:contentItem:5F81-VJX1-JX3N-B17H-00000-00&amp;context=" TargetMode="External" /><Relationship Id="rId603" Type="http://schemas.openxmlformats.org/officeDocument/2006/relationships/hyperlink" Target="https://advance.lexis.com/api/document?collection=cases-ca&amp;id=urn:contentItem:5F8P-SCM1-F81W-2042-00000-00&amp;context=" TargetMode="External" /><Relationship Id="rId604" Type="http://schemas.openxmlformats.org/officeDocument/2006/relationships/hyperlink" Target="https://advance.lexis.com/api/document?collection=cases-ca&amp;id=urn:contentItem:5F7T-S7P1-JCRC-B23D-00000-00&amp;context=" TargetMode="External" /><Relationship Id="rId605" Type="http://schemas.openxmlformats.org/officeDocument/2006/relationships/hyperlink" Target="https://advance.lexis.com/api/document?collection=cases-ca&amp;id=urn:contentItem:5F8T-N3V1-JTGH-B0YP-00000-00&amp;context=" TargetMode="External" /><Relationship Id="rId606" Type="http://schemas.openxmlformats.org/officeDocument/2006/relationships/hyperlink" Target="https://advance.lexis.com/api/document?collection=cases-ca&amp;id=urn:contentItem:5F8T-N3V1-FH4C-X234-00000-00&amp;context=" TargetMode="External" /><Relationship Id="rId607" Type="http://schemas.openxmlformats.org/officeDocument/2006/relationships/hyperlink" Target="https://advance.lexis.com/api/document?collection=cases-ca&amp;id=urn:contentItem:5F7T-S7N1-JGHR-M39D-00000-00&amp;context=" TargetMode="External" /><Relationship Id="rId608" Type="http://schemas.openxmlformats.org/officeDocument/2006/relationships/hyperlink" Target="https://advance.lexis.com/api/document?collection=cases-ca&amp;id=urn:contentItem:5F82-1SJ1-F7VM-S55K-00000-00&amp;context=" TargetMode="External" /><Relationship Id="rId609" Type="http://schemas.openxmlformats.org/officeDocument/2006/relationships/hyperlink" Target="https://advance.lexis.com/api/document?collection=cases-ca&amp;id=urn:contentItem:5F8T-N3V1-FH4C-X1VX-00000-00&amp;context=" TargetMode="External" /><Relationship Id="rId61" Type="http://schemas.openxmlformats.org/officeDocument/2006/relationships/hyperlink" Target="https://advance.lexis.com/api/document?collection=cases-ca&amp;id=urn:contentItem:5F8T-N3P1-F7ND-G14C-00000-00&amp;context=" TargetMode="External" /><Relationship Id="rId610" Type="http://schemas.openxmlformats.org/officeDocument/2006/relationships/hyperlink" Target="https://advance.lexis.com/api/document?collection=cases-ca&amp;id=urn:contentItem:5F8T-N3V1-JTGH-B1JG-00000-00&amp;context=" TargetMode="External" /><Relationship Id="rId611" Type="http://schemas.openxmlformats.org/officeDocument/2006/relationships/hyperlink" Target="https://advance.lexis.com/api/document?collection=cases-ca&amp;id=urn:contentItem:5F8T-N3V1-JTGH-B12R-00000-00&amp;context=" TargetMode="External" /><Relationship Id="rId612" Type="http://schemas.openxmlformats.org/officeDocument/2006/relationships/hyperlink" Target="https://advance.lexis.com/api/document?collection=cases-ca&amp;id=urn:contentItem:5F8T-N3T1-JGHR-M29X-00000-00&amp;context=" TargetMode="External" /><Relationship Id="rId613" Type="http://schemas.openxmlformats.org/officeDocument/2006/relationships/hyperlink" Target="https://advance.lexis.com/api/document?collection=cases-ca&amp;id=urn:contentItem:5F8T-N3V1-FH4C-X1XY-00000-00&amp;context=" TargetMode="External" /><Relationship Id="rId614" Type="http://schemas.openxmlformats.org/officeDocument/2006/relationships/hyperlink" Target="https://advance.lexis.com/api/document?collection=legislation-ca&amp;id=urn:contentItem:5W2C-X5M1-JPP5-23C2-00000-00&amp;context=" TargetMode="External" /><Relationship Id="rId615" Type="http://schemas.openxmlformats.org/officeDocument/2006/relationships/hyperlink" Target="https://advance.lexis.com/api/document?collection=legislation-ca&amp;id=urn:contentItem:5W2C-X5J1-JJ1H-X0F7-00000-00&amp;context=" TargetMode="External" /><Relationship Id="rId616" Type="http://schemas.openxmlformats.org/officeDocument/2006/relationships/hyperlink" Target="https://advance.lexis.com/api/document?collection=cases-ca&amp;id=urn:contentItem:5F7T-S7G1-JBT7-X42B-00000-00&amp;context=" TargetMode="External" /><Relationship Id="rId617" Type="http://schemas.openxmlformats.org/officeDocument/2006/relationships/hyperlink" Target="https://advance.lexis.com/api/document?collection=cases-ca&amp;id=urn:contentItem:5F7T-S7M1-JNCK-22GB-00000-00&amp;context=" TargetMode="External" /><Relationship Id="rId618" Type="http://schemas.openxmlformats.org/officeDocument/2006/relationships/hyperlink" Target="https://advance.lexis.com/api/document?collection=cases-ca&amp;id=urn:contentItem:5F8T-N3V1-FH4C-X213-00000-00&amp;context=" TargetMode="External" /><Relationship Id="rId619" Type="http://schemas.openxmlformats.org/officeDocument/2006/relationships/hyperlink" Target="https://advance.lexis.com/api/document?collection=cases-ca&amp;id=urn:contentItem:5F8T-N3T1-JJSF-23CD-00000-00&amp;context=" TargetMode="External" /><Relationship Id="rId62" Type="http://schemas.openxmlformats.org/officeDocument/2006/relationships/hyperlink" Target="https://advance.lexis.com/api/document?collection=cases-ca&amp;id=urn:contentItem:5F81-YGW1-DYFH-X025-00000-00&amp;context=" TargetMode="External" /><Relationship Id="rId620" Type="http://schemas.openxmlformats.org/officeDocument/2006/relationships/hyperlink" Target="https://advance.lexis.com/api/document?collection=cases-ca&amp;id=urn:contentItem:5F7T-S7J1-JYYX-62DB-00000-00&amp;context=" TargetMode="External" /><Relationship Id="rId621" Type="http://schemas.openxmlformats.org/officeDocument/2006/relationships/hyperlink" Target="https://advance.lexis.com/api/document?collection=cases-ca&amp;id=urn:contentItem:5F7T-S771-F361-M1N3-00000-00&amp;context=" TargetMode="External" /><Relationship Id="rId622" Type="http://schemas.openxmlformats.org/officeDocument/2006/relationships/hyperlink" Target="https://advance.lexis.com/api/document?collection=cases-ca&amp;id=urn:contentItem:5F7T-S7D1-F7ND-G0FM-00000-00&amp;context=" TargetMode="External" /><Relationship Id="rId623" Type="http://schemas.openxmlformats.org/officeDocument/2006/relationships/hyperlink" Target="https://advance.lexis.com/api/document?collection=cases-ca&amp;id=urn:contentItem:5F7T-S6T1-JTNR-M2MX-00000-00&amp;context=" TargetMode="External" /><Relationship Id="rId624" Type="http://schemas.openxmlformats.org/officeDocument/2006/relationships/hyperlink" Target="https://advance.lexis.com/api/document?collection=cases-ca&amp;id=urn:contentItem:5F7T-S7F1-FBN1-21D7-00000-00&amp;context=" TargetMode="External" /><Relationship Id="rId625" Type="http://schemas.openxmlformats.org/officeDocument/2006/relationships/hyperlink" Target="https://advance.lexis.com/api/document?collection=cases-ca&amp;id=urn:contentItem:5F7T-S731-FG12-629H-00000-00&amp;context=" TargetMode="External" /><Relationship Id="rId626" Type="http://schemas.openxmlformats.org/officeDocument/2006/relationships/hyperlink" Target="https://advance.lexis.com/api/document?collection=cases-ca&amp;id=urn:contentItem:5F7T-S7G1-JN6B-S19D-00000-00&amp;context=" TargetMode="External" /><Relationship Id="rId627" Type="http://schemas.openxmlformats.org/officeDocument/2006/relationships/hyperlink" Target="https://advance.lexis.com/api/document?collection=cases-ca&amp;id=urn:contentItem:5F7T-S6X1-F7ND-G3JX-00000-00&amp;context=" TargetMode="External" /><Relationship Id="rId628" Type="http://schemas.openxmlformats.org/officeDocument/2006/relationships/hyperlink" Target="https://advance.lexis.com/api/document?collection=cases-ca&amp;id=urn:contentItem:5F7T-S7F1-JX3N-B1SD-00000-00&amp;context=" TargetMode="External" /><Relationship Id="rId629" Type="http://schemas.openxmlformats.org/officeDocument/2006/relationships/hyperlink" Target="https://advance.lexis.com/api/document?collection=cases-ca&amp;id=urn:contentItem:5F7T-S7J1-JGBH-B27H-00000-00&amp;context=" TargetMode="External" /><Relationship Id="rId63" Type="http://schemas.openxmlformats.org/officeDocument/2006/relationships/hyperlink" Target="https://advance.lexis.com/api/document?collection=cases-ca&amp;id=urn:contentItem:5F8P-SC71-JK4W-M2MK-00000-00&amp;context=" TargetMode="External" /><Relationship Id="rId630" Type="http://schemas.openxmlformats.org/officeDocument/2006/relationships/hyperlink" Target="https://advance.lexis.com/api/document?collection=cases-ca&amp;id=urn:contentItem:5F16-9351-FFFC-B2TG-00000-00&amp;context=" TargetMode="External" /><Relationship Id="rId631" Type="http://schemas.openxmlformats.org/officeDocument/2006/relationships/hyperlink" Target="https://advance.lexis.com/api/document?collection=cases-ca&amp;id=urn:contentItem:5F82-1SF1-K054-G420-00000-00&amp;context=" TargetMode="External" /><Relationship Id="rId632" Type="http://schemas.openxmlformats.org/officeDocument/2006/relationships/hyperlink" Target="https://advance.lexis.com/api/document?collection=cases-ca&amp;id=urn:contentItem:5F81-VJX1-FFTT-X1TV-00000-00&amp;context=" TargetMode="External" /><Relationship Id="rId633" Type="http://schemas.openxmlformats.org/officeDocument/2006/relationships/hyperlink" Target="https://advance.lexis.com/api/document?collection=cases-ca&amp;id=urn:contentItem:5F8P-SGB1-JBT7-X37M-00000-00&amp;context=" TargetMode="External" /><Relationship Id="rId634" Type="http://schemas.openxmlformats.org/officeDocument/2006/relationships/header" Target="header73.xml" /><Relationship Id="rId635" Type="http://schemas.openxmlformats.org/officeDocument/2006/relationships/header" Target="header74.xml" /><Relationship Id="rId636" Type="http://schemas.openxmlformats.org/officeDocument/2006/relationships/footer" Target="footer73.xml" /><Relationship Id="rId637" Type="http://schemas.openxmlformats.org/officeDocument/2006/relationships/footer" Target="footer74.xml" /><Relationship Id="rId638" Type="http://schemas.openxmlformats.org/officeDocument/2006/relationships/header" Target="header75.xml" /><Relationship Id="rId639" Type="http://schemas.openxmlformats.org/officeDocument/2006/relationships/footer" Target="footer75.xml" /><Relationship Id="rId64" Type="http://schemas.openxmlformats.org/officeDocument/2006/relationships/hyperlink" Target="https://advance.lexis.com/api/document?collection=cases-ca&amp;id=urn:contentItem:5F7T-S7G1-JBT7-X40C-00000-00&amp;context=" TargetMode="External" /><Relationship Id="rId640" Type="http://schemas.openxmlformats.org/officeDocument/2006/relationships/hyperlink" Target="https://advance.lexis.com/api/document?collection=cases-ca&amp;id=urn:contentItem:5F7T-S7F1-DXWW-24HX-00000-00&amp;context=" TargetMode="External" /><Relationship Id="rId641" Type="http://schemas.openxmlformats.org/officeDocument/2006/relationships/hyperlink" Target="https://advance.lexis.com/api/document?collection=legislation-ca&amp;id=urn:contentItem:5F41-1FJ1-JKPJ-G0P7-00000-00&amp;context=" TargetMode="External" /><Relationship Id="rId642" Type="http://schemas.openxmlformats.org/officeDocument/2006/relationships/hyperlink" Target="https://advance.lexis.com/api/document?collection=legislation-ca&amp;id=urn:contentItem:5F97-RC81-JWBS-64BR-00000-00&amp;context=" TargetMode="External" /><Relationship Id="rId643" Type="http://schemas.openxmlformats.org/officeDocument/2006/relationships/hyperlink" Target="https://advance.lexis.com/api/document?collection=cases-ca&amp;id=urn:contentItem:5F7T-S711-F4W2-61PJ-00000-00&amp;context=" TargetMode="External" /><Relationship Id="rId644" Type="http://schemas.openxmlformats.org/officeDocument/2006/relationships/hyperlink" Target="https://advance.lexis.com/api/document?collection=cases-ca&amp;id=urn:contentItem:5F7T-S7F1-F7VM-S4DJ-00000-00&amp;context=" TargetMode="External" /><Relationship Id="rId645" Type="http://schemas.openxmlformats.org/officeDocument/2006/relationships/hyperlink" Target="https://advance.lexis.com/api/document?collection=cases-ca&amp;id=urn:contentItem:5F8T-N3V1-FC1F-M41J-00000-00&amp;context=" TargetMode="External" /><Relationship Id="rId646" Type="http://schemas.openxmlformats.org/officeDocument/2006/relationships/hyperlink" Target="https://advance.lexis.com/api/document?collection=cases-ca&amp;id=urn:contentItem:5F16-9351-F2MB-S06V-00000-00&amp;context=" TargetMode="External" /><Relationship Id="rId647" Type="http://schemas.openxmlformats.org/officeDocument/2006/relationships/header" Target="header76.xml" /><Relationship Id="rId648" Type="http://schemas.openxmlformats.org/officeDocument/2006/relationships/header" Target="header77.xml" /><Relationship Id="rId649" Type="http://schemas.openxmlformats.org/officeDocument/2006/relationships/footer" Target="footer76.xml" /><Relationship Id="rId65" Type="http://schemas.openxmlformats.org/officeDocument/2006/relationships/hyperlink" Target="https://advance.lexis.com/api/document?collection=cases-ca&amp;id=urn:contentItem:5F8T-N3V1-JF75-M3WX-00000-00&amp;context=" TargetMode="External" /><Relationship Id="rId650" Type="http://schemas.openxmlformats.org/officeDocument/2006/relationships/footer" Target="footer77.xml" /><Relationship Id="rId651" Type="http://schemas.openxmlformats.org/officeDocument/2006/relationships/header" Target="header78.xml" /><Relationship Id="rId652" Type="http://schemas.openxmlformats.org/officeDocument/2006/relationships/footer" Target="footer78.xml" /><Relationship Id="rId653" Type="http://schemas.openxmlformats.org/officeDocument/2006/relationships/hyperlink" Target="https://advance.lexis.com/api/document?collection=cases-ca&amp;id=urn:contentItem:5F7T-S7H1-JCRC-B13X-00000-00&amp;context=" TargetMode="External" /><Relationship Id="rId654" Type="http://schemas.openxmlformats.org/officeDocument/2006/relationships/hyperlink" Target="https://advance.lexis.com/api/document?collection=legislation-ca&amp;id=urn:contentItem:5W3Y-TSV1-F900-G0D7-00000-00&amp;context=" TargetMode="External" /><Relationship Id="rId655" Type="http://schemas.openxmlformats.org/officeDocument/2006/relationships/hyperlink" Target="https://advance.lexis.com/api/document?collection=legislation-ca&amp;id=urn:contentItem:5XHX-X4W1-DYMS-600X-00000-00&amp;context=" TargetMode="External" /><Relationship Id="rId656" Type="http://schemas.openxmlformats.org/officeDocument/2006/relationships/hyperlink" Target="https://advance.lexis.com/api/document?collection=legislation-ca&amp;id=urn:contentItem:5FBX-WFT1-FFFC-B4FB-00000-00&amp;context=" TargetMode="External" /><Relationship Id="rId657" Type="http://schemas.openxmlformats.org/officeDocument/2006/relationships/hyperlink" Target="https://advance.lexis.com/api/document?collection=legislation-ca&amp;id=urn:contentItem:5W3Y-TSM1-FH4C-X37W-00000-00&amp;context=" TargetMode="External" /><Relationship Id="rId658" Type="http://schemas.openxmlformats.org/officeDocument/2006/relationships/hyperlink" Target="https://advance.lexis.com/api/document?collection=legislation-ca&amp;id=urn:contentItem:5F97-RBV1-JBM1-M55G-00000-00&amp;context=" TargetMode="External" /><Relationship Id="rId659" Type="http://schemas.openxmlformats.org/officeDocument/2006/relationships/hyperlink" Target="https://advance.lexis.com/api/document?collection=legislation-ca&amp;id=urn:contentItem:5VYC-W1J1-JN14-G452-00000-00&amp;context=" TargetMode="External" /><Relationship Id="rId66" Type="http://schemas.openxmlformats.org/officeDocument/2006/relationships/hyperlink" Target="https://advance.lexis.com/api/document?collection=cases-ca&amp;id=urn:contentItem:5F7T-S6V1-JFKM-6133-00000-00&amp;context=" TargetMode="External" /><Relationship Id="rId660" Type="http://schemas.openxmlformats.org/officeDocument/2006/relationships/hyperlink" Target="https://advance.lexis.com/api/document?collection=legislation-ca&amp;id=urn:contentItem:5FBX-WG31-JS5Y-B4CT-00000-00&amp;context=" TargetMode="External" /><Relationship Id="rId661" Type="http://schemas.openxmlformats.org/officeDocument/2006/relationships/hyperlink" Target="https://advance.lexis.com/api/document?collection=legislation-ca&amp;id=urn:contentItem:5FBX-WG31-JS5Y-B4N3-00000-00&amp;context=" TargetMode="External" /><Relationship Id="rId662" Type="http://schemas.openxmlformats.org/officeDocument/2006/relationships/hyperlink" Target="https://advance.lexis.com/api/document?collection=legislation-ca&amp;id=urn:contentItem:5F41-1FK1-FJM6-616F-00000-00&amp;context=" TargetMode="External" /><Relationship Id="rId663" Type="http://schemas.openxmlformats.org/officeDocument/2006/relationships/hyperlink" Target="https://advance.lexis.com/api/document?collection=legislation-ca&amp;id=urn:contentItem:5W2C-X5G1-JJYN-B448-00000-00&amp;context=" TargetMode="External" /><Relationship Id="rId664" Type="http://schemas.openxmlformats.org/officeDocument/2006/relationships/hyperlink" Target="https://advance.lexis.com/api/document?collection=legislation-ca&amp;id=urn:contentItem:5VYK-W9S1-JKHB-649S-00000-00&amp;context=" TargetMode="External" /><Relationship Id="rId665" Type="http://schemas.openxmlformats.org/officeDocument/2006/relationships/hyperlink" Target="https://advance.lexis.com/api/document?collection=legislation-ca&amp;id=urn:contentItem:5VYK-W9X1-FFTT-X0TW-00000-00&amp;context=" TargetMode="External" /><Relationship Id="rId666" Type="http://schemas.openxmlformats.org/officeDocument/2006/relationships/hyperlink" Target="https://advance.lexis.com/api/document?collection=cases-ca&amp;id=urn:contentItem:5F8P-SCN1-FCSB-S0X8-00000-00&amp;context=" TargetMode="External" /><Relationship Id="rId667" Type="http://schemas.openxmlformats.org/officeDocument/2006/relationships/hyperlink" Target="https://advance.lexis.com/api/document?collection=cases-ca&amp;id=urn:contentItem:5F82-1SB1-JP4G-64HY-00000-00&amp;context=" TargetMode="External" /><Relationship Id="rId668" Type="http://schemas.openxmlformats.org/officeDocument/2006/relationships/hyperlink" Target="https://advance.lexis.com/api/document?collection=cases-ca&amp;id=urn:contentItem:5F7T-XPY1-FC1F-M1R1-00000-00&amp;context=" TargetMode="External" /><Relationship Id="rId669" Type="http://schemas.openxmlformats.org/officeDocument/2006/relationships/hyperlink" Target="https://advance.lexis.com/api/document?collection=cases-ca&amp;id=urn:contentItem:5F8T-N3V1-JTGH-B1BH-00000-00&amp;context=" TargetMode="External" /><Relationship Id="rId67" Type="http://schemas.openxmlformats.org/officeDocument/2006/relationships/hyperlink" Target="https://advance.lexis.com/api/document?collection=cases-ca&amp;id=urn:contentItem:5F7T-S7F1-FBN1-21Y2-00000-00&amp;context=" TargetMode="External" /><Relationship Id="rId670" Type="http://schemas.openxmlformats.org/officeDocument/2006/relationships/hyperlink" Target="https://advance.lexis.com/api/document?collection=cases-ca&amp;id=urn:contentItem:5F8P-SF51-F5KY-B4SM-00000-00&amp;context=" TargetMode="External" /><Relationship Id="rId671" Type="http://schemas.openxmlformats.org/officeDocument/2006/relationships/hyperlink" Target="https://advance.lexis.com/api/document?collection=cases-ca&amp;id=urn:contentItem:5F8T-N3V1-JFKM-601K-00000-00&amp;context=" TargetMode="External" /><Relationship Id="rId672" Type="http://schemas.openxmlformats.org/officeDocument/2006/relationships/hyperlink" Target="https://advance.lexis.com/api/document?collection=cases-ca&amp;id=urn:contentItem:5F8T-N3V1-JTGH-B191-00000-00&amp;context=" TargetMode="External" /><Relationship Id="rId673" Type="http://schemas.openxmlformats.org/officeDocument/2006/relationships/hyperlink" Target="https://advance.lexis.com/api/document?collection=cases-ca&amp;id=urn:contentItem:5F8T-N3V1-FC1F-M412-00000-00&amp;context=" TargetMode="External" /><Relationship Id="rId674" Type="http://schemas.openxmlformats.org/officeDocument/2006/relationships/hyperlink" Target="https://advance.lexis.com/api/document?collection=cases-ca&amp;id=urn:contentItem:5F81-WC31-F5KY-B4KG-00000-00&amp;context=" TargetMode="External" /><Relationship Id="rId675" Type="http://schemas.openxmlformats.org/officeDocument/2006/relationships/hyperlink" Target="https://advance.lexis.com/api/document?collection=cases-ca&amp;id=urn:contentItem:5F81-WC31-F5KY-B4MF-00000-00&amp;context=" TargetMode="External" /><Relationship Id="rId676" Type="http://schemas.openxmlformats.org/officeDocument/2006/relationships/hyperlink" Target="https://advance.lexis.com/api/document?collection=cases-ca&amp;id=urn:contentItem:5F8T-N3T1-JJSF-23JD-00000-00&amp;context=" TargetMode="External" /><Relationship Id="rId677" Type="http://schemas.openxmlformats.org/officeDocument/2006/relationships/hyperlink" Target="https://advance.lexis.com/api/document?collection=cases-ca&amp;id=urn:contentItem:5F8T-N3V1-FC1F-M3WT-00000-00&amp;context=" TargetMode="External" /><Relationship Id="rId678" Type="http://schemas.openxmlformats.org/officeDocument/2006/relationships/hyperlink" Target="https://advance.lexis.com/api/document?collection=cases-ca&amp;id=urn:contentItem:5F8T-N3S1-JT99-251P-00000-00&amp;context=" TargetMode="External" /><Relationship Id="rId679" Type="http://schemas.openxmlformats.org/officeDocument/2006/relationships/hyperlink" Target="https://advance.lexis.com/api/document?collection=cases-ca&amp;id=urn:contentItem:5F8T-N3V1-FC1F-M4F9-00000-00&amp;context=" TargetMode="External" /><Relationship Id="rId68" Type="http://schemas.openxmlformats.org/officeDocument/2006/relationships/hyperlink" Target="https://advance.lexis.com/api/document?collection=cases-ca&amp;id=urn:contentItem:5F7T-S7K1-F528-G2XC-00000-00&amp;context=" TargetMode="External" /><Relationship Id="rId680" Type="http://schemas.openxmlformats.org/officeDocument/2006/relationships/hyperlink" Target="https://advance.lexis.com/api/document?collection=cases-ca&amp;id=urn:contentItem:5F8T-N3T1-JJSF-23J9-00000-00&amp;context=" TargetMode="External" /><Relationship Id="rId681" Type="http://schemas.openxmlformats.org/officeDocument/2006/relationships/hyperlink" Target="https://advance.lexis.com/api/document?collection=cases-ca&amp;id=urn:contentItem:5F8T-N3T1-JJSF-23J8-00000-00&amp;context=" TargetMode="External" /><Relationship Id="rId682" Type="http://schemas.openxmlformats.org/officeDocument/2006/relationships/hyperlink" Target="https://advance.lexis.com/api/document?collection=cases-ca&amp;id=urn:contentItem:5F8T-N3V1-JTGH-B190-00000-00&amp;context=" TargetMode="External" /><Relationship Id="rId683" Type="http://schemas.openxmlformats.org/officeDocument/2006/relationships/hyperlink" Target="https://advance.lexis.com/api/document?collection=cases-ca&amp;id=urn:contentItem:5F8T-N3V1-FC1F-M444-00000-00&amp;context=" TargetMode="External" /><Relationship Id="rId684" Type="http://schemas.openxmlformats.org/officeDocument/2006/relationships/hyperlink" Target="https://advance.lexis.com/api/document?collection=cases-ca&amp;id=urn:contentItem:5F8T-N3V1-JTGH-B14S-00000-00&amp;context=" TargetMode="External" /><Relationship Id="rId685" Type="http://schemas.openxmlformats.org/officeDocument/2006/relationships/hyperlink" Target="https://advance.lexis.com/api/document?collection=cases-ca&amp;id=urn:contentItem:5F8T-N3T1-JJSF-23NN-00000-00&amp;context=" TargetMode="External" /><Relationship Id="rId686" Type="http://schemas.openxmlformats.org/officeDocument/2006/relationships/hyperlink" Target="https://advance.lexis.com/api/document?collection=cases-ca&amp;id=urn:contentItem:5F8T-N3V1-FC1F-M406-00000-00&amp;context=" TargetMode="External" /><Relationship Id="rId687" Type="http://schemas.openxmlformats.org/officeDocument/2006/relationships/hyperlink" Target="https://advance.lexis.com/api/document?collection=cases-ca&amp;id=urn:contentItem:5F8T-N3T1-JGHR-M259-00000-00&amp;context=" TargetMode="External" /><Relationship Id="rId688" Type="http://schemas.openxmlformats.org/officeDocument/2006/relationships/hyperlink" Target="https://advance.lexis.com/api/document?collection=cases-ca&amp;id=urn:contentItem:5F8T-N3V1-FC1F-M496-00000-00&amp;context=" TargetMode="External" /><Relationship Id="rId689" Type="http://schemas.openxmlformats.org/officeDocument/2006/relationships/hyperlink" Target="https://advance.lexis.com/api/document?collection=cases-ca&amp;id=urn:contentItem:5F8T-N3V1-JFKM-602R-00000-00&amp;context=" TargetMode="External" /><Relationship Id="rId69" Type="http://schemas.openxmlformats.org/officeDocument/2006/relationships/hyperlink" Target="https://advance.lexis.com/api/document?collection=cases-ca&amp;id=urn:contentItem:5F7T-S7M1-F4W2-626V-00000-00&amp;context=" TargetMode="External" /><Relationship Id="rId690" Type="http://schemas.openxmlformats.org/officeDocument/2006/relationships/hyperlink" Target="https://advance.lexis.com/api/document?collection=cases-ca&amp;id=urn:contentItem:5F8T-N3T1-JFKM-651S-00000-00&amp;context=" TargetMode="External" /><Relationship Id="rId691" Type="http://schemas.openxmlformats.org/officeDocument/2006/relationships/hyperlink" Target="https://advance.lexis.com/api/document?collection=cases-ca&amp;id=urn:contentItem:5F8T-N3V1-FC1F-M3WY-00000-00&amp;context=" TargetMode="External" /><Relationship Id="rId692" Type="http://schemas.openxmlformats.org/officeDocument/2006/relationships/hyperlink" Target="https://advance.lexis.com/api/document?collection=cases-ca&amp;id=urn:contentItem:5F8T-N3T1-JJSF-23B6-00000-00&amp;context=" TargetMode="External" /><Relationship Id="rId693" Type="http://schemas.openxmlformats.org/officeDocument/2006/relationships/hyperlink" Target="https://advance.lexis.com/api/document?collection=cases-ca&amp;id=urn:contentItem:5F8T-N3T1-JGHR-M1T0-00000-00&amp;context=" TargetMode="External" /><Relationship Id="rId694" Type="http://schemas.openxmlformats.org/officeDocument/2006/relationships/hyperlink" Target="https://advance.lexis.com/api/document?collection=cases-ca&amp;id=urn:contentItem:5F7T-XPY1-JP9P-G306-00000-00&amp;context=" TargetMode="External" /><Relationship Id="rId695" Type="http://schemas.openxmlformats.org/officeDocument/2006/relationships/hyperlink" Target="https://advance.lexis.com/api/document?collection=cases-ca&amp;id=urn:contentItem:5F8T-N3V1-FC1F-M4BW-00000-00&amp;context=" TargetMode="External" /><Relationship Id="rId696" Type="http://schemas.openxmlformats.org/officeDocument/2006/relationships/hyperlink" Target="https://advance.lexis.com/api/document?collection=cases-ca&amp;id=urn:contentItem:5F7T-S6S1-JNY7-X25W-00000-00&amp;context=" TargetMode="External" /><Relationship Id="rId697" Type="http://schemas.openxmlformats.org/officeDocument/2006/relationships/hyperlink" Target="https://advance.lexis.com/api/document?collection=cases-ca&amp;id=urn:contentItem:5F8T-N3T1-JGHR-M1RV-00000-00&amp;context=" TargetMode="External" /><Relationship Id="rId698" Type="http://schemas.openxmlformats.org/officeDocument/2006/relationships/hyperlink" Target="https://advance.lexis.com/api/document?collection=cases-ca&amp;id=urn:contentItem:5F81-WC31-F5KY-B4PK-00000-00&amp;context=" TargetMode="External" /><Relationship Id="rId699" Type="http://schemas.openxmlformats.org/officeDocument/2006/relationships/hyperlink" Target="https://advance.lexis.com/api/document?collection=cases-ca&amp;id=urn:contentItem:5F8T-N3T1-JGHR-M1V5-00000-00&amp;context=" TargetMode="External" /><Relationship Id="rId7" Type="http://schemas.openxmlformats.org/officeDocument/2006/relationships/footer" Target="footer2.xml" /><Relationship Id="rId70" Type="http://schemas.openxmlformats.org/officeDocument/2006/relationships/hyperlink" Target="https://advance.lexis.com/api/document?collection=cases-ca&amp;id=urn:contentItem:5F7T-S7J1-JYYX-625B-00000-00&amp;context=" TargetMode="External" /><Relationship Id="rId700" Type="http://schemas.openxmlformats.org/officeDocument/2006/relationships/hyperlink" Target="https://advance.lexis.com/api/document?collection=cases-ca&amp;id=urn:contentItem:5F7T-S7C1-JCJ5-20GJ-00000-00&amp;context=" TargetMode="External" /><Relationship Id="rId701" Type="http://schemas.openxmlformats.org/officeDocument/2006/relationships/hyperlink" Target="https://advance.lexis.com/api/document?collection=cases-ca&amp;id=urn:contentItem:5F8T-N3V1-FC1F-M4C9-00000-00&amp;context=" TargetMode="External" /><Relationship Id="rId702" Type="http://schemas.openxmlformats.org/officeDocument/2006/relationships/hyperlink" Target="https://advance.lexis.com/api/document?collection=cases-ca&amp;id=urn:contentItem:5F8T-N3T1-JGHR-M29C-00000-00&amp;context=" TargetMode="External" /><Relationship Id="rId703" Type="http://schemas.openxmlformats.org/officeDocument/2006/relationships/hyperlink" Target="https://advance.lexis.com/api/document?collection=cases-ca&amp;id=urn:contentItem:5F7T-S6W1-JYYX-61YF-00000-00&amp;context=" TargetMode="External" /><Relationship Id="rId704" Type="http://schemas.openxmlformats.org/officeDocument/2006/relationships/hyperlink" Target="https://advance.lexis.com/api/document?collection=cases-ca&amp;id=urn:contentItem:5F7T-S7F1-JFKM-61XW-00000-00&amp;context=" TargetMode="External" /><Relationship Id="rId705" Type="http://schemas.openxmlformats.org/officeDocument/2006/relationships/hyperlink" Target="https://advance.lexis.com/api/document?collection=cases-ca&amp;id=urn:contentItem:5F8T-N3V1-FC1F-M48B-00000-00&amp;context=" TargetMode="External" /><Relationship Id="rId706" Type="http://schemas.openxmlformats.org/officeDocument/2006/relationships/hyperlink" Target="https://advance.lexis.com/api/document?collection=cases-ca&amp;id=urn:contentItem:5F8T-N3T1-JFKM-6538-00000-00&amp;context=" TargetMode="External" /><Relationship Id="rId707" Type="http://schemas.openxmlformats.org/officeDocument/2006/relationships/hyperlink" Target="https://advance.lexis.com/api/document?collection=cases-ca&amp;id=urn:contentItem:5F8T-N3V1-JTGH-B13F-00000-00&amp;context=" TargetMode="External" /><Relationship Id="rId708" Type="http://schemas.openxmlformats.org/officeDocument/2006/relationships/hyperlink" Target="https://advance.lexis.com/api/document?collection=cases-ca&amp;id=urn:contentItem:5F7F-5RG1-F4NT-X0GR-00000-00&amp;context=" TargetMode="External" /><Relationship Id="rId709" Type="http://schemas.openxmlformats.org/officeDocument/2006/relationships/hyperlink" Target="https://advance.lexis.com/api/document?collection=cases-ca&amp;id=urn:contentItem:5F8T-N3R1-JJSF-22YX-00000-00&amp;context=" TargetMode="External" /><Relationship Id="rId71" Type="http://schemas.openxmlformats.org/officeDocument/2006/relationships/hyperlink" Target="https://advance.lexis.com/api/document?collection=cases-ca&amp;id=urn:contentItem:5F7T-S7M1-JPP5-22SN-00000-00&amp;context=" TargetMode="External" /><Relationship Id="rId710" Type="http://schemas.openxmlformats.org/officeDocument/2006/relationships/hyperlink" Target="https://advance.lexis.com/api/document?collection=cases-ca&amp;id=urn:contentItem:5F8T-N3R1-JNS1-M0Y0-00000-00&amp;context=" TargetMode="External" /><Relationship Id="rId711" Type="http://schemas.openxmlformats.org/officeDocument/2006/relationships/hyperlink" Target="https://advance.lexis.com/api/document?collection=cases-ca&amp;id=urn:contentItem:5F8T-N3S1-JT99-250T-00000-00&amp;context=" TargetMode="External" /><Relationship Id="rId712" Type="http://schemas.openxmlformats.org/officeDocument/2006/relationships/hyperlink" Target="https://advance.lexis.com/api/document?collection=cases-ca&amp;id=urn:contentItem:5F8T-N3S1-JT99-2553-00000-00&amp;context=" TargetMode="External" /><Relationship Id="rId713" Type="http://schemas.openxmlformats.org/officeDocument/2006/relationships/hyperlink" Target="https://advance.lexis.com/api/document?collection=cases-ca&amp;id=urn:contentItem:5F81-WC31-F5KY-B4KB-00000-00&amp;context=" TargetMode="External" /><Relationship Id="rId714" Type="http://schemas.openxmlformats.org/officeDocument/2006/relationships/hyperlink" Target="https://advance.lexis.com/api/document?collection=cases-ca&amp;id=urn:contentItem:5F7F-5RG1-JT42-S03T-00000-00&amp;context=" TargetMode="External" /><Relationship Id="rId715" Type="http://schemas.openxmlformats.org/officeDocument/2006/relationships/hyperlink" Target="https://advance.lexis.com/api/document?collection=cases-ca&amp;id=urn:contentItem:5F8T-N3S1-JT99-250J-00000-00&amp;context=" TargetMode="External" /><Relationship Id="rId716" Type="http://schemas.openxmlformats.org/officeDocument/2006/relationships/hyperlink" Target="https://advance.lexis.com/api/document?collection=cases-ca&amp;id=urn:contentItem:5F7F-5RF1-F4W2-605K-00000-00&amp;context=" TargetMode="External" /><Relationship Id="rId717" Type="http://schemas.openxmlformats.org/officeDocument/2006/relationships/hyperlink" Target="https://advance.lexis.com/api/document?collection=cases-ca&amp;id=urn:contentItem:5F8W-M4B1-F361-M3C3-00000-00&amp;context=" TargetMode="External" /><Relationship Id="rId718" Type="http://schemas.openxmlformats.org/officeDocument/2006/relationships/hyperlink" Target="https://advance.lexis.com/api/document?collection=cases-ca&amp;id=urn:contentItem:5F7F-5RH1-JTGH-B03P-00000-00&amp;context=" TargetMode="External" /><Relationship Id="rId719" Type="http://schemas.openxmlformats.org/officeDocument/2006/relationships/hyperlink" Target="https://advance.lexis.com/api/document?collection=cases-ca&amp;id=urn:contentItem:5F7T-S781-DYMS-61H6-00000-00&amp;context=" TargetMode="External" /><Relationship Id="rId72" Type="http://schemas.openxmlformats.org/officeDocument/2006/relationships/hyperlink" Target="https://advance.lexis.com/api/document?collection=cases-ca&amp;id=urn:contentItem:5F7T-S7M1-JFSV-G3B9-00000-00&amp;context=" TargetMode="External" /><Relationship Id="rId720" Type="http://schemas.openxmlformats.org/officeDocument/2006/relationships/hyperlink" Target="https://advance.lexis.com/api/document?collection=cases-ca&amp;id=urn:contentItem:5F8T-N3T1-JJSF-23F7-00000-00&amp;context=" TargetMode="External" /><Relationship Id="rId721" Type="http://schemas.openxmlformats.org/officeDocument/2006/relationships/header" Target="header79.xml" /><Relationship Id="rId722" Type="http://schemas.openxmlformats.org/officeDocument/2006/relationships/header" Target="header80.xml" /><Relationship Id="rId723" Type="http://schemas.openxmlformats.org/officeDocument/2006/relationships/footer" Target="footer79.xml" /><Relationship Id="rId724" Type="http://schemas.openxmlformats.org/officeDocument/2006/relationships/footer" Target="footer80.xml" /><Relationship Id="rId725" Type="http://schemas.openxmlformats.org/officeDocument/2006/relationships/header" Target="header81.xml" /><Relationship Id="rId726" Type="http://schemas.openxmlformats.org/officeDocument/2006/relationships/footer" Target="footer81.xml" /><Relationship Id="rId727" Type="http://schemas.openxmlformats.org/officeDocument/2006/relationships/hyperlink" Target="https://advance.lexis.com/api/document?collection=cases-ca&amp;id=urn:contentItem:5F7T-S7N1-JC5P-G25K-00000-00&amp;context=" TargetMode="External" /><Relationship Id="rId728" Type="http://schemas.openxmlformats.org/officeDocument/2006/relationships/hyperlink" Target="https://advance.lexis.com/api/document?collection=cases-ca&amp;id=urn:contentItem:5K6Y-81N1-JFDC-X1GD-00000-00&amp;context=" TargetMode="External" /><Relationship Id="rId729" Type="http://schemas.openxmlformats.org/officeDocument/2006/relationships/hyperlink" Target="https://advance.lexis.com/api/document?collection=legislation-ca&amp;id=urn:contentItem:5F41-1FH1-F361-M0F8-00000-00&amp;context=" TargetMode="External" /><Relationship Id="rId73" Type="http://schemas.openxmlformats.org/officeDocument/2006/relationships/hyperlink" Target="https://advance.lexis.com/api/document?collection=cases-ca&amp;id=urn:contentItem:5F7T-S721-FD4T-B0MF-00000-00&amp;context=" TargetMode="External" /><Relationship Id="rId730" Type="http://schemas.openxmlformats.org/officeDocument/2006/relationships/hyperlink" Target="https://advance.lexis.com/api/document?collection=cases-ca&amp;id=urn:contentItem:5F7T-S7H1-JG02-S3RS-00000-00&amp;context=" TargetMode="External" /><Relationship Id="rId731" Type="http://schemas.openxmlformats.org/officeDocument/2006/relationships/hyperlink" Target="https://advance.lexis.com/api/document?collection=cases-ca&amp;id=urn:contentItem:5K6Y-81N1-JT99-219Y-00000-00&amp;context=" TargetMode="External" /><Relationship Id="rId732" Type="http://schemas.openxmlformats.org/officeDocument/2006/relationships/hyperlink" Target="https://advance.lexis.com/api/document?collection=cases-ca&amp;id=urn:contentItem:5F8T-N3P1-FC6N-X1BS-00000-00&amp;context=" TargetMode="External" /><Relationship Id="rId733" Type="http://schemas.openxmlformats.org/officeDocument/2006/relationships/hyperlink" Target="https://advance.lexis.com/api/document?collection=cases-ca&amp;id=urn:contentItem:5F7T-S7K1-F528-G33M-00000-00&amp;context=" TargetMode="External" /><Relationship Id="rId734" Type="http://schemas.openxmlformats.org/officeDocument/2006/relationships/hyperlink" Target="https://advance.lexis.com/api/document?collection=cases-ca&amp;id=urn:contentItem:5F81-YH41-JX8W-M05P-00000-00&amp;context=" TargetMode="External" /><Relationship Id="rId735" Type="http://schemas.openxmlformats.org/officeDocument/2006/relationships/hyperlink" Target="https://advance.lexis.com/api/document?collection=cases-ca&amp;id=urn:contentItem:5F81-YH41-JX8W-M05X-00000-00&amp;context=" TargetMode="External" /><Relationship Id="rId736" Type="http://schemas.openxmlformats.org/officeDocument/2006/relationships/header" Target="header82.xml" /><Relationship Id="rId737" Type="http://schemas.openxmlformats.org/officeDocument/2006/relationships/header" Target="header83.xml" /><Relationship Id="rId738" Type="http://schemas.openxmlformats.org/officeDocument/2006/relationships/footer" Target="footer82.xml" /><Relationship Id="rId739" Type="http://schemas.openxmlformats.org/officeDocument/2006/relationships/footer" Target="footer83.xml" /><Relationship Id="rId74" Type="http://schemas.openxmlformats.org/officeDocument/2006/relationships/hyperlink" Target="https://advance.lexis.com/api/document?collection=cases-ca&amp;id=urn:contentItem:5F7T-S7N1-DXWW-20CN-00000-00&amp;context=" TargetMode="External" /><Relationship Id="rId740" Type="http://schemas.openxmlformats.org/officeDocument/2006/relationships/header" Target="header84.xml" /><Relationship Id="rId741" Type="http://schemas.openxmlformats.org/officeDocument/2006/relationships/footer" Target="footer84.xml" /><Relationship Id="rId742" Type="http://schemas.openxmlformats.org/officeDocument/2006/relationships/hyperlink" Target="https://advance.lexis.com/api/document?collection=cases-ca&amp;id=urn:contentItem:5F7T-S7F1-JX3N-B1MN-00000-00&amp;context=" TargetMode="External" /><Relationship Id="rId743" Type="http://schemas.openxmlformats.org/officeDocument/2006/relationships/hyperlink" Target="https://advance.lexis.com/api/document?collection=legislation-ca&amp;id=urn:contentItem:5F41-1FM1-FCK4-G01C-00000-00&amp;context=" TargetMode="External" /><Relationship Id="rId744" Type="http://schemas.openxmlformats.org/officeDocument/2006/relationships/hyperlink" Target="https://advance.lexis.com/api/document?collection=cases-ca&amp;id=urn:contentItem:5F7T-S7D1-JG02-S2WV-00000-00&amp;context=" TargetMode="External" /><Relationship Id="rId745" Type="http://schemas.openxmlformats.org/officeDocument/2006/relationships/hyperlink" Target="https://advance.lexis.com/api/document?collection=cases-ca&amp;id=urn:contentItem:5F7T-S6X1-F7ND-G39N-00000-00&amp;context=" TargetMode="External" /><Relationship Id="rId746" Type="http://schemas.openxmlformats.org/officeDocument/2006/relationships/hyperlink" Target="https://advance.lexis.com/api/document?collection=cases-ca&amp;id=urn:contentItem:5F7T-S751-JCJ5-246J-00000-00&amp;context=" TargetMode="External" /><Relationship Id="rId747" Type="http://schemas.openxmlformats.org/officeDocument/2006/relationships/hyperlink" Target="https://advance.lexis.com/api/document?collection=cases-ca&amp;id=urn:contentItem:5F7T-S7D1-JS5Y-B2JK-00000-00&amp;context=" TargetMode="External" /><Relationship Id="rId748" Type="http://schemas.openxmlformats.org/officeDocument/2006/relationships/hyperlink" Target="https://advance.lexis.com/api/document?collection=cases-ca&amp;id=urn:contentItem:5F81-VJX1-F5T5-M3YH-00000-00&amp;context=" TargetMode="External" /><Relationship Id="rId749" Type="http://schemas.openxmlformats.org/officeDocument/2006/relationships/hyperlink" Target="https://advance.lexis.com/api/document?collection=cases-ca&amp;id=urn:contentItem:5F7T-S751-JG02-S2J2-00000-00&amp;context=" TargetMode="External" /><Relationship Id="rId75" Type="http://schemas.openxmlformats.org/officeDocument/2006/relationships/hyperlink" Target="https://advance.lexis.com/api/document?collection=cases-ca&amp;id=urn:contentItem:5F8T-N3V1-JTGH-B153-00000-00&amp;context=" TargetMode="External" /><Relationship Id="rId750" Type="http://schemas.openxmlformats.org/officeDocument/2006/relationships/hyperlink" Target="https://advance.lexis.com/api/document?collection=cases-ca&amp;id=urn:contentItem:5F7T-S771-JW5H-X21S-00000-00&amp;context=" TargetMode="External" /><Relationship Id="rId751" Type="http://schemas.openxmlformats.org/officeDocument/2006/relationships/hyperlink" Target="https://advance.lexis.com/api/document?collection=cases-ca&amp;id=urn:contentItem:5F7T-S7C1-F4NT-X356-00000-00&amp;context=" TargetMode="External" /><Relationship Id="rId752" Type="http://schemas.openxmlformats.org/officeDocument/2006/relationships/hyperlink" Target="https://advance.lexis.com/api/document?collection=cases-ca&amp;id=urn:contentItem:5F7T-S751-F361-M14C-00000-00&amp;context=" TargetMode="External" /><Relationship Id="rId753" Type="http://schemas.openxmlformats.org/officeDocument/2006/relationships/hyperlink" Target="https://advance.lexis.com/api/document?collection=cases-ca&amp;id=urn:contentItem:5F7T-S7D1-FFFC-B1K3-00000-00&amp;context=" TargetMode="External" /><Relationship Id="rId754" Type="http://schemas.openxmlformats.org/officeDocument/2006/relationships/hyperlink" Target="https://advance.lexis.com/api/document?collection=cases-ca&amp;id=urn:contentItem:5F7T-S7D1-F7ND-G0JS-00000-00&amp;context=" TargetMode="External" /><Relationship Id="rId755" Type="http://schemas.openxmlformats.org/officeDocument/2006/relationships/hyperlink" Target="https://advance.lexis.com/api/document?collection=cases-ca&amp;id=urn:contentItem:5F7T-S7D1-FC6N-X0YY-00000-00&amp;context=" TargetMode="External" /><Relationship Id="rId756" Type="http://schemas.openxmlformats.org/officeDocument/2006/relationships/hyperlink" Target="https://advance.lexis.com/api/document?collection=cases-ca&amp;id=urn:contentItem:5F7T-S7D1-JG02-S33T-00000-00&amp;context=" TargetMode="External" /><Relationship Id="rId757" Type="http://schemas.openxmlformats.org/officeDocument/2006/relationships/hyperlink" Target="https://advance.lexis.com/api/document?collection=cases-ca&amp;id=urn:contentItem:5F7T-S7F1-JK4W-M1F8-00000-00&amp;context=" TargetMode="External" /><Relationship Id="rId758" Type="http://schemas.openxmlformats.org/officeDocument/2006/relationships/header" Target="header85.xml" /><Relationship Id="rId759" Type="http://schemas.openxmlformats.org/officeDocument/2006/relationships/header" Target="header86.xml" /><Relationship Id="rId76" Type="http://schemas.openxmlformats.org/officeDocument/2006/relationships/hyperlink" Target="https://advance.lexis.com/api/document?collection=cases-ca&amp;id=urn:contentItem:5F7T-S7M1-JJK6-S222-00000-00&amp;context=" TargetMode="External" /><Relationship Id="rId760" Type="http://schemas.openxmlformats.org/officeDocument/2006/relationships/footer" Target="footer85.xml" /><Relationship Id="rId761" Type="http://schemas.openxmlformats.org/officeDocument/2006/relationships/footer" Target="footer86.xml" /><Relationship Id="rId762" Type="http://schemas.openxmlformats.org/officeDocument/2006/relationships/header" Target="header87.xml" /><Relationship Id="rId763" Type="http://schemas.openxmlformats.org/officeDocument/2006/relationships/footer" Target="footer87.xml" /><Relationship Id="rId764" Type="http://schemas.openxmlformats.org/officeDocument/2006/relationships/hyperlink" Target="https://advance.lexis.com/api/document?collection=cases-ca&amp;id=urn:contentItem:5F7T-S7N1-F57G-S2CC-00000-00&amp;context=" TargetMode="External" /><Relationship Id="rId765" Type="http://schemas.openxmlformats.org/officeDocument/2006/relationships/hyperlink" Target="https://advance.lexis.com/api/document?collection=legislation-ca&amp;id=urn:contentItem:5F41-1FH1-F361-M0F1-00000-00&amp;context=" TargetMode="External" /><Relationship Id="rId766" Type="http://schemas.openxmlformats.org/officeDocument/2006/relationships/hyperlink" Target="https://advance.lexis.com/api/document?collection=cases-ca&amp;id=urn:contentItem:5F7T-S7M1-JFSV-G3T6-00000-00&amp;context=" TargetMode="External" /><Relationship Id="rId767" Type="http://schemas.openxmlformats.org/officeDocument/2006/relationships/hyperlink" Target="https://advance.lexis.com/api/document?collection=cases-ca&amp;id=urn:contentItem:5F7T-S771-JWBS-61WN-00000-00&amp;context=" TargetMode="External" /><Relationship Id="rId768" Type="http://schemas.openxmlformats.org/officeDocument/2006/relationships/hyperlink" Target="https://advance.lexis.com/api/document?collection=cases-ca&amp;id=urn:contentItem:5F7T-S7K1-JX3N-B35G-00000-00&amp;context=" TargetMode="External" /><Relationship Id="rId769" Type="http://schemas.openxmlformats.org/officeDocument/2006/relationships/hyperlink" Target="https://advance.lexis.com/api/document?collection=cases-ca&amp;id=urn:contentItem:5F7T-S7M1-JPP5-22N6-00000-00&amp;context=" TargetMode="External" /><Relationship Id="rId77" Type="http://schemas.openxmlformats.org/officeDocument/2006/relationships/hyperlink" Target="https://advance.lexis.com/api/document?collection=cases-ca&amp;id=urn:contentItem:5F8T-N3V1-JTGH-B18F-00000-00&amp;context=" TargetMode="External" /><Relationship Id="rId770" Type="http://schemas.openxmlformats.org/officeDocument/2006/relationships/hyperlink" Target="https://advance.lexis.com/api/document?collection=cases-ca&amp;id=urn:contentItem:5F7T-S7C1-FCSB-S298-00000-00&amp;context=" TargetMode="External" /><Relationship Id="rId771" Type="http://schemas.openxmlformats.org/officeDocument/2006/relationships/hyperlink" Target="https://advance.lexis.com/api/document?collection=cases-ca&amp;id=urn:contentItem:5F7T-S7D1-DY89-M408-00000-00&amp;context=" TargetMode="External" /><Relationship Id="rId772" Type="http://schemas.openxmlformats.org/officeDocument/2006/relationships/hyperlink" Target="https://advance.lexis.com/api/document?collection=cases-ca&amp;id=urn:contentItem:5F7T-S7F1-FBN1-21SM-00000-00&amp;context=" TargetMode="External" /><Relationship Id="rId773" Type="http://schemas.openxmlformats.org/officeDocument/2006/relationships/hyperlink" Target="https://advance.lexis.com/api/document?collection=cases-ca&amp;id=urn:contentItem:5F7T-S7M1-JJK6-S271-00000-00&amp;context=" TargetMode="External" /><Relationship Id="rId774" Type="http://schemas.openxmlformats.org/officeDocument/2006/relationships/hyperlink" Target="https://advance.lexis.com/api/document?collection=cases-ca&amp;id=urn:contentItem:5F7T-S7D1-JG02-S34H-00000-00&amp;context=" TargetMode="External" /><Relationship Id="rId775" Type="http://schemas.openxmlformats.org/officeDocument/2006/relationships/hyperlink" Target="https://advance.lexis.com/api/document?collection=cases-ca&amp;id=urn:contentItem:5F7T-S7J1-FGCG-S0MB-00000-00&amp;context=" TargetMode="External" /><Relationship Id="rId776" Type="http://schemas.openxmlformats.org/officeDocument/2006/relationships/hyperlink" Target="https://advance.lexis.com/api/document?collection=cases-ca&amp;id=urn:contentItem:5F7T-S7K1-F1H1-225F-00000-00&amp;context=" TargetMode="External" /><Relationship Id="rId777" Type="http://schemas.openxmlformats.org/officeDocument/2006/relationships/hyperlink" Target="https://advance.lexis.com/api/document?collection=cases-ca&amp;id=urn:contentItem:5F7T-S7K1-JSJC-X11J-00000-00&amp;context=" TargetMode="External" /><Relationship Id="rId778" Type="http://schemas.openxmlformats.org/officeDocument/2006/relationships/hyperlink" Target="https://advance.lexis.com/api/document?collection=cases-ca&amp;id=urn:contentItem:5F7T-S7J1-FGCG-S05H-00000-00&amp;context=" TargetMode="External" /><Relationship Id="rId779" Type="http://schemas.openxmlformats.org/officeDocument/2006/relationships/hyperlink" Target="https://advance.lexis.com/api/document?collection=cases-ca&amp;id=urn:contentItem:5F7T-S7G1-JNY7-X43W-00000-00&amp;context=" TargetMode="External" /><Relationship Id="rId78" Type="http://schemas.openxmlformats.org/officeDocument/2006/relationships/hyperlink" Target="https://advance.lexis.com/api/document?collection=cases-ca&amp;id=urn:contentItem:5F7T-S781-F06F-23N7-00000-00&amp;context=" TargetMode="External" /><Relationship Id="rId780" Type="http://schemas.openxmlformats.org/officeDocument/2006/relationships/hyperlink" Target="https://advance.lexis.com/api/document?collection=cases-ca&amp;id=urn:contentItem:5F7T-S7G1-JBT7-X3JN-00000-00&amp;context=" TargetMode="External" /><Relationship Id="rId781" Type="http://schemas.openxmlformats.org/officeDocument/2006/relationships/hyperlink" Target="https://advance.lexis.com/api/document?collection=cases-ca&amp;id=urn:contentItem:5F7T-S711-JNY7-X30K-00000-00&amp;context=" TargetMode="External" /><Relationship Id="rId782" Type="http://schemas.openxmlformats.org/officeDocument/2006/relationships/header" Target="header88.xml" /><Relationship Id="rId783" Type="http://schemas.openxmlformats.org/officeDocument/2006/relationships/header" Target="header89.xml" /><Relationship Id="rId784" Type="http://schemas.openxmlformats.org/officeDocument/2006/relationships/footer" Target="footer88.xml" /><Relationship Id="rId785" Type="http://schemas.openxmlformats.org/officeDocument/2006/relationships/footer" Target="footer89.xml" /><Relationship Id="rId786" Type="http://schemas.openxmlformats.org/officeDocument/2006/relationships/header" Target="header90.xml" /><Relationship Id="rId787" Type="http://schemas.openxmlformats.org/officeDocument/2006/relationships/footer" Target="footer90.xml" /><Relationship Id="rId788" Type="http://schemas.openxmlformats.org/officeDocument/2006/relationships/hyperlink" Target="https://advance.lexis.com/api/document?collection=cases-ca&amp;id=urn:contentItem:5F7T-S771-JTGH-B1DF-00000-00&amp;context=" TargetMode="External" /><Relationship Id="rId789" Type="http://schemas.openxmlformats.org/officeDocument/2006/relationships/header" Target="header91.xml" /><Relationship Id="rId79" Type="http://schemas.openxmlformats.org/officeDocument/2006/relationships/hyperlink" Target="https://advance.lexis.com/api/document?collection=cases-ca&amp;id=urn:contentItem:5F7T-S7C1-JSRM-60TP-00000-00&amp;context=" TargetMode="External" /><Relationship Id="rId790" Type="http://schemas.openxmlformats.org/officeDocument/2006/relationships/header" Target="header92.xml" /><Relationship Id="rId791" Type="http://schemas.openxmlformats.org/officeDocument/2006/relationships/footer" Target="footer91.xml" /><Relationship Id="rId792" Type="http://schemas.openxmlformats.org/officeDocument/2006/relationships/footer" Target="footer92.xml" /><Relationship Id="rId793" Type="http://schemas.openxmlformats.org/officeDocument/2006/relationships/header" Target="header93.xml" /><Relationship Id="rId794" Type="http://schemas.openxmlformats.org/officeDocument/2006/relationships/footer" Target="footer93.xml" /><Relationship Id="rId795" Type="http://schemas.openxmlformats.org/officeDocument/2006/relationships/hyperlink" Target="https://advance.lexis.com/api/document?collection=cases-ca&amp;id=urn:contentItem:5GS2-38W1-JBDT-B00M-00000-00&amp;context=" TargetMode="External" /><Relationship Id="rId796" Type="http://schemas.openxmlformats.org/officeDocument/2006/relationships/image" Target="media/image5.jpeg" /><Relationship Id="rId797" Type="http://schemas.openxmlformats.org/officeDocument/2006/relationships/hyperlink" Target="https://advance.lexis.com/api/document?collection=cases-ca&amp;id=urn:contentItem:5F8T-N3V1-JTGH-B1D3-00000-00&amp;context=" TargetMode="External" /><Relationship Id="rId798" Type="http://schemas.openxmlformats.org/officeDocument/2006/relationships/hyperlink" Target="https://advance.lexis.com/api/document?collection=cases-ca&amp;id=urn:contentItem:5F7T-S7P1-JSJC-X1DW-00000-00&amp;context=" TargetMode="External" /><Relationship Id="rId799" Type="http://schemas.openxmlformats.org/officeDocument/2006/relationships/hyperlink" Target="https://advance.lexis.com/api/document?collection=cases-ca&amp;id=urn:contentItem:5F16-9321-FC1F-M53V-00000-00&amp;context=" TargetMode="External" /><Relationship Id="rId8" Type="http://schemas.openxmlformats.org/officeDocument/2006/relationships/header" Target="header3.xml" /><Relationship Id="rId80" Type="http://schemas.openxmlformats.org/officeDocument/2006/relationships/hyperlink" Target="https://advance.lexis.com/api/document?collection=cases-ca&amp;id=urn:contentItem:5F7T-S751-JP4G-61BC-00000-00&amp;context=" TargetMode="External" /><Relationship Id="rId800" Type="http://schemas.openxmlformats.org/officeDocument/2006/relationships/hyperlink" Target="https://advance.lexis.com/api/document?collection=cases-ca&amp;id=urn:contentItem:5F7T-S7M1-DYMS-623W-00000-00&amp;context=" TargetMode="External" /><Relationship Id="rId801" Type="http://schemas.openxmlformats.org/officeDocument/2006/relationships/hyperlink" Target="https://advance.lexis.com/api/document?collection=cases-ca&amp;id=urn:contentItem:5F8T-N3V1-JTGH-B1D5-00000-00&amp;context=" TargetMode="External" /><Relationship Id="rId802" Type="http://schemas.openxmlformats.org/officeDocument/2006/relationships/hyperlink" Target="https://advance.lexis.com/api/document?collection=cases-ca&amp;id=urn:contentItem:5F8T-N3T1-JJSF-23FN-00000-00&amp;context=" TargetMode="External" /><Relationship Id="rId803" Type="http://schemas.openxmlformats.org/officeDocument/2006/relationships/hyperlink" Target="https://advance.lexis.com/api/document?collection=cases-ca&amp;id=urn:contentItem:5F7T-S7K1-DY33-B197-00000-00&amp;context=" TargetMode="External" /><Relationship Id="rId804" Type="http://schemas.openxmlformats.org/officeDocument/2006/relationships/hyperlink" Target="https://advance.lexis.com/api/document?collection=cases-ca&amp;id=urn:contentItem:5F8P-SDG1-JXNB-604F-00000-00&amp;context=" TargetMode="External" /><Relationship Id="rId805" Type="http://schemas.openxmlformats.org/officeDocument/2006/relationships/hyperlink" Target="https://advance.lexis.com/api/document?collection=cases-ca&amp;id=urn:contentItem:5F7T-S721-F06F-23D1-00000-00&amp;context=" TargetMode="External" /><Relationship Id="rId806" Type="http://schemas.openxmlformats.org/officeDocument/2006/relationships/hyperlink" Target="https://advance.lexis.com/api/document?collection=cases-ca&amp;id=urn:contentItem:5F7T-S7K1-F528-G349-00000-00&amp;context=" TargetMode="External" /><Relationship Id="rId807" Type="http://schemas.openxmlformats.org/officeDocument/2006/relationships/hyperlink" Target="https://advance.lexis.com/api/document?collection=cases-ca&amp;id=urn:contentItem:5GCC-XVB1-FK0M-S4TX-00000-00&amp;context=" TargetMode="External" /><Relationship Id="rId808" Type="http://schemas.openxmlformats.org/officeDocument/2006/relationships/hyperlink" Target="https://advance.lexis.com/api/document?collection=cases-ca&amp;id=urn:contentItem:5F7T-S6Y1-JNY7-X296-00000-00&amp;context=" TargetMode="External" /><Relationship Id="rId809" Type="http://schemas.openxmlformats.org/officeDocument/2006/relationships/header" Target="header94.xml" /><Relationship Id="rId81" Type="http://schemas.openxmlformats.org/officeDocument/2006/relationships/hyperlink" Target="https://advance.lexis.com/api/document?collection=cases-ca&amp;id=urn:contentItem:5F7T-S741-F528-G2J5-00000-00&amp;context=" TargetMode="External" /><Relationship Id="rId810" Type="http://schemas.openxmlformats.org/officeDocument/2006/relationships/header" Target="header95.xml" /><Relationship Id="rId811" Type="http://schemas.openxmlformats.org/officeDocument/2006/relationships/footer" Target="footer94.xml" /><Relationship Id="rId812" Type="http://schemas.openxmlformats.org/officeDocument/2006/relationships/footer" Target="footer95.xml" /><Relationship Id="rId813" Type="http://schemas.openxmlformats.org/officeDocument/2006/relationships/header" Target="header96.xml" /><Relationship Id="rId814" Type="http://schemas.openxmlformats.org/officeDocument/2006/relationships/footer" Target="footer96.xml" /><Relationship Id="rId815" Type="http://schemas.openxmlformats.org/officeDocument/2006/relationships/hyperlink" Target="https://advance.lexis.com/api/document?collection=cases-ca&amp;id=urn:contentItem:5F7T-S7P1-JP4G-6239-00000-00&amp;context=" TargetMode="External" /><Relationship Id="rId816" Type="http://schemas.openxmlformats.org/officeDocument/2006/relationships/hyperlink" Target="https://advance.lexis.com/api/document?collection=cases-ca&amp;id=urn:contentItem:5K6Y-81N1-JNY7-X1WP-00000-00&amp;context=" TargetMode="External" /><Relationship Id="rId817" Type="http://schemas.openxmlformats.org/officeDocument/2006/relationships/hyperlink" Target="https://advance.lexis.com/api/document?collection=legislation-ca&amp;id=urn:contentItem:5F41-1FG1-JJYN-B06S-00000-00&amp;context=" TargetMode="External" /><Relationship Id="rId818" Type="http://schemas.openxmlformats.org/officeDocument/2006/relationships/hyperlink" Target="https://advance.lexis.com/api/document?collection=cases-ca&amp;id=urn:contentItem:5F8T-N3V1-JTGH-B136-00000-00&amp;context=" TargetMode="External" /><Relationship Id="rId819" Type="http://schemas.openxmlformats.org/officeDocument/2006/relationships/hyperlink" Target="https://advance.lexis.com/api/document?collection=cases-ca&amp;id=urn:contentItem:5F8P-SCH1-F57G-S475-00000-00&amp;context=" TargetMode="External" /><Relationship Id="rId82" Type="http://schemas.openxmlformats.org/officeDocument/2006/relationships/hyperlink" Target="https://advance.lexis.com/api/document?collection=cases-ca&amp;id=urn:contentItem:5F7T-S771-F361-M1B5-00000-00&amp;context=" TargetMode="External" /><Relationship Id="rId820" Type="http://schemas.openxmlformats.org/officeDocument/2006/relationships/hyperlink" Target="https://advance.lexis.com/api/document?collection=cases-ca&amp;id=urn:contentItem:5F8T-N3V1-JTGH-B1J4-00000-00&amp;context=" TargetMode="External" /><Relationship Id="rId821" Type="http://schemas.openxmlformats.org/officeDocument/2006/relationships/hyperlink" Target="https://advance.lexis.com/api/document?collection=cases-ca&amp;id=urn:contentItem:5F8T-N3T1-JFKM-6545-00000-00&amp;context=" TargetMode="External" /><Relationship Id="rId822" Type="http://schemas.openxmlformats.org/officeDocument/2006/relationships/hyperlink" Target="https://advance.lexis.com/api/document?collection=cases-ca&amp;id=urn:contentItem:5F8T-N3V1-FC1F-M48M-00000-00&amp;context=" TargetMode="External" /><Relationship Id="rId823" Type="http://schemas.openxmlformats.org/officeDocument/2006/relationships/hyperlink" Target="https://advance.lexis.com/api/document?collection=cases-ca&amp;id=urn:contentItem:5F8T-N3V1-JTGH-B16V-00000-00&amp;context=" TargetMode="External" /><Relationship Id="rId824" Type="http://schemas.openxmlformats.org/officeDocument/2006/relationships/hyperlink" Target="https://advance.lexis.com/api/document?collection=cases-ca&amp;id=urn:contentItem:5F8T-N3V1-FC1F-M44Y-00000-00&amp;context=" TargetMode="External" /><Relationship Id="rId825" Type="http://schemas.openxmlformats.org/officeDocument/2006/relationships/hyperlink" Target="https://advance.lexis.com/api/document?collection=cases-ca&amp;id=urn:contentItem:5F8T-N3V1-JTGH-B1GV-00000-00&amp;context=" TargetMode="External" /><Relationship Id="rId826" Type="http://schemas.openxmlformats.org/officeDocument/2006/relationships/hyperlink" Target="https://advance.lexis.com/api/document?collection=cases-ca&amp;id=urn:contentItem:5F8T-N3T1-JGHR-M1TY-00000-00&amp;context=" TargetMode="External" /><Relationship Id="rId827" Type="http://schemas.openxmlformats.org/officeDocument/2006/relationships/hyperlink" Target="https://advance.lexis.com/api/document?collection=cases-ca&amp;id=urn:contentItem:5F8T-N3T1-JJSF-235C-00000-00&amp;context=" TargetMode="External" /><Relationship Id="rId828" Type="http://schemas.openxmlformats.org/officeDocument/2006/relationships/hyperlink" Target="https://advance.lexis.com/api/document?collection=cases-ca&amp;id=urn:contentItem:5F81-VJX1-FGY5-M3B7-00000-00&amp;context=" TargetMode="External" /><Relationship Id="rId829" Type="http://schemas.openxmlformats.org/officeDocument/2006/relationships/hyperlink" Target="https://advance.lexis.com/api/document?collection=cases-ca&amp;id=urn:contentItem:5F7T-S7K1-JX3N-B338-00000-00&amp;context=" TargetMode="External" /><Relationship Id="rId83" Type="http://schemas.openxmlformats.org/officeDocument/2006/relationships/hyperlink" Target="https://advance.lexis.com/api/document?collection=cases-ca&amp;id=urn:contentItem:5F7T-S751-JG02-S2H4-00000-00&amp;context=" TargetMode="External" /><Relationship Id="rId830" Type="http://schemas.openxmlformats.org/officeDocument/2006/relationships/hyperlink" Target="https://advance.lexis.com/api/document?collection=cases-ca&amp;id=urn:contentItem:5F8T-N3V1-JFKM-609S-00000-00&amp;context=" TargetMode="External" /><Relationship Id="rId831" Type="http://schemas.openxmlformats.org/officeDocument/2006/relationships/hyperlink" Target="https://advance.lexis.com/api/document?collection=cases-ca&amp;id=urn:contentItem:5F81-VJW1-JGPY-X4P5-00000-00&amp;context=" TargetMode="External" /><Relationship Id="rId832" Type="http://schemas.openxmlformats.org/officeDocument/2006/relationships/hyperlink" Target="https://advance.lexis.com/api/document?collection=cases-ca&amp;id=urn:contentItem:5F82-1SG1-FGY5-M4C1-00000-00&amp;context=" TargetMode="External" /><Relationship Id="rId833" Type="http://schemas.openxmlformats.org/officeDocument/2006/relationships/header" Target="header97.xml" /><Relationship Id="rId834" Type="http://schemas.openxmlformats.org/officeDocument/2006/relationships/header" Target="header98.xml" /><Relationship Id="rId835" Type="http://schemas.openxmlformats.org/officeDocument/2006/relationships/footer" Target="footer97.xml" /><Relationship Id="rId836" Type="http://schemas.openxmlformats.org/officeDocument/2006/relationships/footer" Target="footer98.xml" /><Relationship Id="rId837" Type="http://schemas.openxmlformats.org/officeDocument/2006/relationships/header" Target="header99.xml" /><Relationship Id="rId838" Type="http://schemas.openxmlformats.org/officeDocument/2006/relationships/footer" Target="footer99.xml" /><Relationship Id="rId839" Type="http://schemas.openxmlformats.org/officeDocument/2006/relationships/hyperlink" Target="https://advance.lexis.com/api/document?collection=cases-ca&amp;id=urn:contentItem:5F7T-S7F1-F7VM-S44B-00000-00&amp;context=" TargetMode="External" /><Relationship Id="rId84" Type="http://schemas.openxmlformats.org/officeDocument/2006/relationships/hyperlink" Target="https://advance.lexis.com/api/document?collection=cases-ca&amp;id=urn:contentItem:5F7T-S7K1-JWXF-2115-00000-00&amp;context=" TargetMode="External" /><Relationship Id="rId840" Type="http://schemas.openxmlformats.org/officeDocument/2006/relationships/hyperlink" Target="https://advance.lexis.com/api/document?collection=cases-ca&amp;id=urn:contentItem:5K6Y-81M1-JGPY-X21W-00000-00&amp;context=" TargetMode="External" /><Relationship Id="rId841" Type="http://schemas.openxmlformats.org/officeDocument/2006/relationships/hyperlink" Target="https://advance.lexis.com/api/document?collection=legislation-ca&amp;id=urn:contentItem:5F41-1FH1-F361-M0H9-00000-00&amp;context=" TargetMode="External" /><Relationship Id="rId842" Type="http://schemas.openxmlformats.org/officeDocument/2006/relationships/hyperlink" Target="https://advance.lexis.com/api/document?collection=cases-ca&amp;id=urn:contentItem:5F7T-S7D1-JS5Y-B21Y-00000-00&amp;context=" TargetMode="External" /><Relationship Id="rId843" Type="http://schemas.openxmlformats.org/officeDocument/2006/relationships/hyperlink" Target="https://advance.lexis.com/api/document?collection=cases-ca&amp;id=urn:contentItem:5F7T-S7D1-DY89-M4D2-00000-00&amp;context=" TargetMode="External" /><Relationship Id="rId844" Type="http://schemas.openxmlformats.org/officeDocument/2006/relationships/hyperlink" Target="https://advance.lexis.com/api/document?collection=cases-ca&amp;id=urn:contentItem:5F7T-S7C1-F7VM-S3N9-00000-00&amp;context=" TargetMode="External" /><Relationship Id="rId845" Type="http://schemas.openxmlformats.org/officeDocument/2006/relationships/hyperlink" Target="https://advance.lexis.com/api/document?collection=cases-ca&amp;id=urn:contentItem:5F7T-S751-JG02-S2B2-00000-00&amp;context=" TargetMode="External" /><Relationship Id="rId846" Type="http://schemas.openxmlformats.org/officeDocument/2006/relationships/hyperlink" Target="https://advance.lexis.com/api/document?collection=cases-ca&amp;id=urn:contentItem:5F7T-S7F1-JBT7-X2KD-00000-00&amp;context=" TargetMode="External" /><Relationship Id="rId847" Type="http://schemas.openxmlformats.org/officeDocument/2006/relationships/hyperlink" Target="https://advance.lexis.com/api/document?collection=cases-ca&amp;id=urn:contentItem:5F7T-S7C1-F7VM-S3TM-00000-00&amp;context=" TargetMode="External" /><Relationship Id="rId848" Type="http://schemas.openxmlformats.org/officeDocument/2006/relationships/hyperlink" Target="https://advance.lexis.com/api/document?collection=cases-ca&amp;id=urn:contentItem:5F7T-S7C1-F7VM-S3T2-00000-00&amp;context=" TargetMode="External" /><Relationship Id="rId849" Type="http://schemas.openxmlformats.org/officeDocument/2006/relationships/header" Target="header100.xml" /><Relationship Id="rId85" Type="http://schemas.openxmlformats.org/officeDocument/2006/relationships/hyperlink" Target="https://advance.lexis.com/api/document?collection=cases-ca&amp;id=urn:contentItem:5F7T-S7M1-DYMS-62FG-00000-00&amp;context=" TargetMode="External" /><Relationship Id="rId850" Type="http://schemas.openxmlformats.org/officeDocument/2006/relationships/header" Target="header101.xml" /><Relationship Id="rId851" Type="http://schemas.openxmlformats.org/officeDocument/2006/relationships/footer" Target="footer100.xml" /><Relationship Id="rId852" Type="http://schemas.openxmlformats.org/officeDocument/2006/relationships/footer" Target="footer101.xml" /><Relationship Id="rId853" Type="http://schemas.openxmlformats.org/officeDocument/2006/relationships/header" Target="header102.xml" /><Relationship Id="rId854" Type="http://schemas.openxmlformats.org/officeDocument/2006/relationships/footer" Target="footer102.xml" /><Relationship Id="rId855" Type="http://schemas.openxmlformats.org/officeDocument/2006/relationships/hyperlink" Target="https://advance.lexis.com/api/document?collection=cases-ca&amp;id=urn:contentItem:5F7T-S791-JCJ5-24VJ-00000-00&amp;context=" TargetMode="External" /><Relationship Id="rId856" Type="http://schemas.openxmlformats.org/officeDocument/2006/relationships/hyperlink" Target="https://advance.lexis.com/api/document?collection=legislation-ca&amp;id=urn:contentItem:5F41-1FJ1-JPGX-S0RT-00000-00&amp;context=" TargetMode="External" /><Relationship Id="rId857" Type="http://schemas.openxmlformats.org/officeDocument/2006/relationships/hyperlink" Target="https://advance.lexis.com/api/document?collection=cases-ca&amp;id=urn:contentItem:5F7T-S6X1-F7ND-G3F1-00000-00&amp;context=" TargetMode="External" /><Relationship Id="rId858" Type="http://schemas.openxmlformats.org/officeDocument/2006/relationships/hyperlink" Target="https://advance.lexis.com/api/document?collection=cases-ca&amp;id=urn:contentItem:5F7T-S761-JS5Y-B1XR-00000-00&amp;context=" TargetMode="External" /><Relationship Id="rId859" Type="http://schemas.openxmlformats.org/officeDocument/2006/relationships/hyperlink" Target="https://advance.lexis.com/api/document?collection=cases-ca&amp;id=urn:contentItem:5F8P-SCT1-JP4G-60TT-00000-00&amp;context=" TargetMode="External" /><Relationship Id="rId86" Type="http://schemas.openxmlformats.org/officeDocument/2006/relationships/hyperlink" Target="https://advance.lexis.com/api/document?collection=cases-ca&amp;id=urn:contentItem:5F7T-S781-F900-G0T1-00000-00&amp;context=" TargetMode="External" /><Relationship Id="rId860" Type="http://schemas.openxmlformats.org/officeDocument/2006/relationships/hyperlink" Target="https://advance.lexis.com/api/document?collection=cases-ca&amp;id=urn:contentItem:5F8P-SD31-F2MB-S465-00000-00&amp;context=" TargetMode="External" /><Relationship Id="rId861" Type="http://schemas.openxmlformats.org/officeDocument/2006/relationships/hyperlink" Target="https://advance.lexis.com/api/document?collection=cases-ca&amp;id=urn:contentItem:5F7T-S731-FFFC-B0FN-00000-00&amp;context=" TargetMode="External" /><Relationship Id="rId862" Type="http://schemas.openxmlformats.org/officeDocument/2006/relationships/hyperlink" Target="https://advance.lexis.com/api/document?collection=cases-ca&amp;id=urn:contentItem:5F7T-S751-JBM1-M231-00000-00&amp;context=" TargetMode="External" /><Relationship Id="rId863" Type="http://schemas.openxmlformats.org/officeDocument/2006/relationships/hyperlink" Target="https://advance.lexis.com/api/document?collection=cases-ca&amp;id=urn:contentItem:5F7T-S731-FFFC-B0NK-00000-00&amp;context=" TargetMode="External" /><Relationship Id="rId864" Type="http://schemas.openxmlformats.org/officeDocument/2006/relationships/hyperlink" Target="https://advance.lexis.com/api/document?collection=cases-ca&amp;id=urn:contentItem:5F7T-S6T1-DY89-M30T-00000-00&amp;context=" TargetMode="External" /><Relationship Id="rId865" Type="http://schemas.openxmlformats.org/officeDocument/2006/relationships/hyperlink" Target="https://advance.lexis.com/api/document?collection=cases-ca&amp;id=urn:contentItem:5F7T-S6V1-JTNR-M302-00000-00&amp;context=" TargetMode="External" /><Relationship Id="rId866" Type="http://schemas.openxmlformats.org/officeDocument/2006/relationships/hyperlink" Target="https://advance.lexis.com/api/document?collection=cases-ca&amp;id=urn:contentItem:5F7T-S761-JX8W-M2TK-00000-00&amp;context=" TargetMode="External" /><Relationship Id="rId867" Type="http://schemas.openxmlformats.org/officeDocument/2006/relationships/header" Target="header103.xml" /><Relationship Id="rId868" Type="http://schemas.openxmlformats.org/officeDocument/2006/relationships/header" Target="header104.xml" /><Relationship Id="rId869" Type="http://schemas.openxmlformats.org/officeDocument/2006/relationships/footer" Target="footer103.xml" /><Relationship Id="rId87" Type="http://schemas.openxmlformats.org/officeDocument/2006/relationships/hyperlink" Target="https://advance.lexis.com/api/document?collection=cases-ca&amp;id=urn:contentItem:5F7T-S7B1-FH4C-X381-00000-00&amp;context=" TargetMode="External" /><Relationship Id="rId870" Type="http://schemas.openxmlformats.org/officeDocument/2006/relationships/footer" Target="footer104.xml" /><Relationship Id="rId871" Type="http://schemas.openxmlformats.org/officeDocument/2006/relationships/header" Target="header105.xml" /><Relationship Id="rId872" Type="http://schemas.openxmlformats.org/officeDocument/2006/relationships/footer" Target="footer105.xml" /><Relationship Id="rId873" Type="http://schemas.openxmlformats.org/officeDocument/2006/relationships/hyperlink" Target="https://advance.lexis.com/api/document?collection=cases-ca&amp;id=urn:contentItem:5F7T-S7K1-JX3N-B31Y-00000-00&amp;context=" TargetMode="External" /><Relationship Id="rId874" Type="http://schemas.openxmlformats.org/officeDocument/2006/relationships/hyperlink" Target="https://advance.lexis.com/api/document?collection=cases-ca&amp;id=urn:contentItem:5K6Y-81M1-F81W-23T8-00000-00&amp;context=" TargetMode="External" /><Relationship Id="rId875" Type="http://schemas.openxmlformats.org/officeDocument/2006/relationships/hyperlink" Target="https://advance.lexis.com/api/document?collection=cases-ca&amp;id=urn:contentItem:5F7T-S6Y1-JNY7-X2NV-00000-00&amp;context=" TargetMode="External" /><Relationship Id="rId876" Type="http://schemas.openxmlformats.org/officeDocument/2006/relationships/hyperlink" Target="https://advance.lexis.com/api/document?collection=cases-ca&amp;id=urn:contentItem:5F7T-S781-FH4C-X2WY-00000-00&amp;context=" TargetMode="External" /><Relationship Id="rId877" Type="http://schemas.openxmlformats.org/officeDocument/2006/relationships/hyperlink" Target="https://advance.lexis.com/api/document?collection=cases-ca&amp;id=urn:contentItem:5F7T-S6X1-K054-G1NS-00000-00&amp;context=" TargetMode="External" /><Relationship Id="rId878" Type="http://schemas.openxmlformats.org/officeDocument/2006/relationships/hyperlink" Target="https://advance.lexis.com/api/document?collection=cases-ca&amp;id=urn:contentItem:5F7T-S7C1-F7ND-G03N-00000-00&amp;context=" TargetMode="External" /><Relationship Id="rId879" Type="http://schemas.openxmlformats.org/officeDocument/2006/relationships/hyperlink" Target="https://advance.lexis.com/api/document?collection=cases-ca&amp;id=urn:contentItem:5F7T-S7G1-JX3N-B2JF-00000-00&amp;context=" TargetMode="External" /><Relationship Id="rId88" Type="http://schemas.openxmlformats.org/officeDocument/2006/relationships/hyperlink" Target="https://advance.lexis.com/api/document?collection=cases-ca&amp;id=urn:contentItem:5F7T-S7K1-JKHB-6300-00000-00&amp;context=" TargetMode="External" /><Relationship Id="rId880" Type="http://schemas.openxmlformats.org/officeDocument/2006/relationships/header" Target="header106.xml" /><Relationship Id="rId881" Type="http://schemas.openxmlformats.org/officeDocument/2006/relationships/header" Target="header107.xml" /><Relationship Id="rId882" Type="http://schemas.openxmlformats.org/officeDocument/2006/relationships/footer" Target="footer106.xml" /><Relationship Id="rId883" Type="http://schemas.openxmlformats.org/officeDocument/2006/relationships/footer" Target="footer107.xml" /><Relationship Id="rId884" Type="http://schemas.openxmlformats.org/officeDocument/2006/relationships/header" Target="header108.xml" /><Relationship Id="rId885" Type="http://schemas.openxmlformats.org/officeDocument/2006/relationships/footer" Target="footer108.xml" /><Relationship Id="rId886" Type="http://schemas.openxmlformats.org/officeDocument/2006/relationships/hyperlink" Target="https://advance.lexis.com/api/document?collection=cases-ca&amp;id=urn:contentItem:5F7T-S7K1-F528-G2KR-00000-00&amp;context=" TargetMode="External" /><Relationship Id="rId887" Type="http://schemas.openxmlformats.org/officeDocument/2006/relationships/hyperlink" Target="https://advance.lexis.com/api/document?collection=cases-ca&amp;id=urn:contentItem:5F7T-S7K1-JSJC-X0TC-00000-00&amp;context=" TargetMode="External" /><Relationship Id="rId888" Type="http://schemas.openxmlformats.org/officeDocument/2006/relationships/hyperlink" Target="https://advance.lexis.com/api/document?collection=cases-ca&amp;id=urn:contentItem:5F7T-S7J1-JNS1-M20Y-00000-00&amp;context=" TargetMode="External" /><Relationship Id="rId889" Type="http://schemas.openxmlformats.org/officeDocument/2006/relationships/hyperlink" Target="https://advance.lexis.com/api/document?collection=cases-ca&amp;id=urn:contentItem:5F7T-S7K1-JSJC-X108-00000-00&amp;context=" TargetMode="External" /><Relationship Id="rId89" Type="http://schemas.openxmlformats.org/officeDocument/2006/relationships/hyperlink" Target="https://advance.lexis.com/api/document?collection=cases-ca&amp;id=urn:contentItem:5F7T-S7K1-F1H1-22C1-00000-00&amp;context=" TargetMode="External" /><Relationship Id="rId890" Type="http://schemas.openxmlformats.org/officeDocument/2006/relationships/hyperlink" Target="https://advance.lexis.com/api/document?collection=cases-ca&amp;id=urn:contentItem:5F7T-S7J1-JYYX-62GJ-00000-00&amp;context=" TargetMode="External" /><Relationship Id="rId891" Type="http://schemas.openxmlformats.org/officeDocument/2006/relationships/hyperlink" Target="https://advance.lexis.com/api/document?collection=cases-ca&amp;id=urn:contentItem:5F7T-S7J1-FGCG-S05X-00000-00&amp;context=" TargetMode="External" /><Relationship Id="rId892" Type="http://schemas.openxmlformats.org/officeDocument/2006/relationships/hyperlink" Target="https://advance.lexis.com/api/document?collection=cases-ca&amp;id=urn:contentItem:5F7T-S7H1-JS5Y-B2V3-00000-00&amp;context=" TargetMode="External" /><Relationship Id="rId893" Type="http://schemas.openxmlformats.org/officeDocument/2006/relationships/hyperlink" Target="https://advance.lexis.com/api/document?collection=cases-ca&amp;id=urn:contentItem:5F7T-S7G1-JN6B-S19F-00000-00&amp;context=" TargetMode="External" /><Relationship Id="rId894" Type="http://schemas.openxmlformats.org/officeDocument/2006/relationships/hyperlink" Target="https://advance.lexis.com/api/document?collection=cases-ca&amp;id=urn:contentItem:5F7T-S7F1-FBN1-21VK-00000-00&amp;context=" TargetMode="External" /><Relationship Id="rId895" Type="http://schemas.openxmlformats.org/officeDocument/2006/relationships/hyperlink" Target="https://advance.lexis.com/api/document?collection=cases-ca&amp;id=urn:contentItem:5F7T-S7J1-JNS1-M22J-00000-00&amp;context=" TargetMode="External" /><Relationship Id="rId896" Type="http://schemas.openxmlformats.org/officeDocument/2006/relationships/hyperlink" Target="https://advance.lexis.com/api/document?collection=cases-ca&amp;id=urn:contentItem:5F7T-S7H1-JFSV-G2V1-00000-00&amp;context=" TargetMode="External" /><Relationship Id="rId897" Type="http://schemas.openxmlformats.org/officeDocument/2006/relationships/hyperlink" Target="https://advance.lexis.com/api/document?collection=cases-ca&amp;id=urn:contentItem:5F7T-S7D1-JS5Y-B21W-00000-00&amp;context=" TargetMode="External" /><Relationship Id="rId898" Type="http://schemas.openxmlformats.org/officeDocument/2006/relationships/header" Target="header109.xml" /><Relationship Id="rId899" Type="http://schemas.openxmlformats.org/officeDocument/2006/relationships/header" Target="header110.xml" /><Relationship Id="rId9" Type="http://schemas.openxmlformats.org/officeDocument/2006/relationships/footer" Target="footer3.xml" /><Relationship Id="rId90" Type="http://schemas.openxmlformats.org/officeDocument/2006/relationships/hyperlink" Target="https://advance.lexis.com/api/document?collection=cases-ca&amp;id=urn:contentItem:5F7T-S7D1-JN6B-S13K-00000-00&amp;context=" TargetMode="External" /><Relationship Id="rId900" Type="http://schemas.openxmlformats.org/officeDocument/2006/relationships/footer" Target="footer109.xml" /><Relationship Id="rId901" Type="http://schemas.openxmlformats.org/officeDocument/2006/relationships/footer" Target="footer110.xml" /><Relationship Id="rId902" Type="http://schemas.openxmlformats.org/officeDocument/2006/relationships/header" Target="header111.xml" /><Relationship Id="rId903" Type="http://schemas.openxmlformats.org/officeDocument/2006/relationships/footer" Target="footer111.xml" /><Relationship Id="rId904" Type="http://schemas.openxmlformats.org/officeDocument/2006/relationships/hyperlink" Target="https://advance.lexis.com/api/document?collection=cases-ca&amp;id=urn:contentItem:5F7T-S7K1-F1H1-222W-00000-00&amp;context=" TargetMode="External" /><Relationship Id="rId905" Type="http://schemas.openxmlformats.org/officeDocument/2006/relationships/header" Target="header112.xml" /><Relationship Id="rId906" Type="http://schemas.openxmlformats.org/officeDocument/2006/relationships/header" Target="header113.xml" /><Relationship Id="rId907" Type="http://schemas.openxmlformats.org/officeDocument/2006/relationships/footer" Target="footer112.xml" /><Relationship Id="rId908" Type="http://schemas.openxmlformats.org/officeDocument/2006/relationships/footer" Target="footer113.xml" /><Relationship Id="rId909" Type="http://schemas.openxmlformats.org/officeDocument/2006/relationships/header" Target="header114.xml" /><Relationship Id="rId91" Type="http://schemas.openxmlformats.org/officeDocument/2006/relationships/hyperlink" Target="https://advance.lexis.com/api/document?collection=cases-ca&amp;id=urn:contentItem:5F7T-S7N1-F06F-247P-00000-00&amp;context=" TargetMode="External" /><Relationship Id="rId910" Type="http://schemas.openxmlformats.org/officeDocument/2006/relationships/footer" Target="footer114.xml" /><Relationship Id="rId911" Type="http://schemas.openxmlformats.org/officeDocument/2006/relationships/hyperlink" Target="https://advance.lexis.com/api/document?collection=cases-ca&amp;id=urn:contentItem:5VTJ-5HP1-JGHR-M0Y6-00000-00&amp;context=" TargetMode="External" /><Relationship Id="rId912" Type="http://schemas.openxmlformats.org/officeDocument/2006/relationships/hyperlink" Target="https://advance.lexis.com/api/document?collection=cases-ca&amp;id=urn:contentItem:5F7T-S7P1-JP4G-61R3-00000-00&amp;context=" TargetMode="External" /><Relationship Id="rId913" Type="http://schemas.openxmlformats.org/officeDocument/2006/relationships/hyperlink" Target="https://advance.lexis.com/api/document?collection=cases-ca&amp;id=urn:contentItem:5GFR-6WX1-JW5H-X1K0-00000-00&amp;context=" TargetMode="External" /><Relationship Id="rId914" Type="http://schemas.openxmlformats.org/officeDocument/2006/relationships/hyperlink" Target="https://advance.lexis.com/api/document?collection=cases-ca&amp;id=urn:contentItem:5F7T-S7C1-JCJ5-20S1-00000-00&amp;context=" TargetMode="External" /><Relationship Id="rId915" Type="http://schemas.openxmlformats.org/officeDocument/2006/relationships/hyperlink" Target="https://advance.lexis.com/api/document?collection=cases-ca&amp;id=urn:contentItem:5F82-1SF1-JKPJ-G2MS-00000-00&amp;context=" TargetMode="External" /><Relationship Id="rId916" Type="http://schemas.openxmlformats.org/officeDocument/2006/relationships/hyperlink" Target="https://advance.lexis.com/api/document?collection=cases-ca&amp;id=urn:contentItem:5F7T-S6Y1-JPP5-2188-00000-00&amp;context=" TargetMode="External" /><Relationship Id="rId917" Type="http://schemas.openxmlformats.org/officeDocument/2006/relationships/header" Target="header115.xml" /><Relationship Id="rId918" Type="http://schemas.openxmlformats.org/officeDocument/2006/relationships/header" Target="header116.xml" /><Relationship Id="rId919" Type="http://schemas.openxmlformats.org/officeDocument/2006/relationships/footer" Target="footer115.xml" /><Relationship Id="rId92" Type="http://schemas.openxmlformats.org/officeDocument/2006/relationships/hyperlink" Target="https://advance.lexis.com/api/document?collection=cases-ca&amp;id=urn:contentItem:5F7T-S7P1-JP4G-61S5-00000-00&amp;context=" TargetMode="External" /><Relationship Id="rId920" Type="http://schemas.openxmlformats.org/officeDocument/2006/relationships/footer" Target="footer116.xml" /><Relationship Id="rId921" Type="http://schemas.openxmlformats.org/officeDocument/2006/relationships/header" Target="header117.xml" /><Relationship Id="rId922" Type="http://schemas.openxmlformats.org/officeDocument/2006/relationships/footer" Target="footer117.xml" /><Relationship Id="rId923" Type="http://schemas.openxmlformats.org/officeDocument/2006/relationships/hyperlink" Target="https://advance.lexis.com/api/document?collection=cases-ca&amp;id=urn:contentItem:5F7T-S7D1-DY89-M47G-00000-00&amp;context=" TargetMode="External" /><Relationship Id="rId924" Type="http://schemas.openxmlformats.org/officeDocument/2006/relationships/hyperlink" Target="https://advance.lexis.com/api/document?collection=legislation-ca&amp;id=urn:contentItem:5TBM-3RM1-F7VM-S13S-00000-00&amp;context=" TargetMode="External" /><Relationship Id="rId925" Type="http://schemas.openxmlformats.org/officeDocument/2006/relationships/hyperlink" Target="https://advance.lexis.com/api/document?collection=cases-ca&amp;id=urn:contentItem:5F8P-SD51-F1H1-24BV-00000-00&amp;context=" TargetMode="External" /><Relationship Id="rId926" Type="http://schemas.openxmlformats.org/officeDocument/2006/relationships/hyperlink" Target="https://advance.lexis.com/api/document?collection=cases-ca&amp;id=urn:contentItem:5F8T-N3V1-FC1F-M486-00000-00&amp;context=" TargetMode="External" /><Relationship Id="rId927" Type="http://schemas.openxmlformats.org/officeDocument/2006/relationships/hyperlink" Target="https://advance.lexis.com/api/document?collection=cases-ca&amp;id=urn:contentItem:5F7T-S771-F2TK-22T7-00000-00&amp;context=" TargetMode="External" /><Relationship Id="rId928" Type="http://schemas.openxmlformats.org/officeDocument/2006/relationships/hyperlink" Target="https://advance.lexis.com/api/document?collection=cases-ca&amp;id=urn:contentItem:5F8T-N3V1-FC1F-M497-00000-00&amp;context=" TargetMode="External" /><Relationship Id="rId929" Type="http://schemas.openxmlformats.org/officeDocument/2006/relationships/hyperlink" Target="https://advance.lexis.com/api/document?collection=cases-ca&amp;id=urn:contentItem:5F81-VJX1-FD4T-B2WK-00000-00&amp;context=" TargetMode="External" /><Relationship Id="rId93" Type="http://schemas.openxmlformats.org/officeDocument/2006/relationships/hyperlink" Target="https://advance.lexis.com/api/document?collection=cases-ca&amp;id=urn:contentItem:5GCC-XVC1-F900-G4N2-00000-00&amp;context=" TargetMode="External" /><Relationship Id="rId930" Type="http://schemas.openxmlformats.org/officeDocument/2006/relationships/hyperlink" Target="https://advance.lexis.com/api/document?collection=cases-ca&amp;id=urn:contentItem:5F7T-S781-F7G6-63FJ-00000-00&amp;context=" TargetMode="External" /><Relationship Id="rId931" Type="http://schemas.openxmlformats.org/officeDocument/2006/relationships/hyperlink" Target="https://advance.lexis.com/api/document?collection=cases-ca&amp;id=urn:contentItem:5F7T-S761-JX8W-M2NN-00000-00&amp;context=" TargetMode="External" /><Relationship Id="rId932" Type="http://schemas.openxmlformats.org/officeDocument/2006/relationships/hyperlink" Target="https://advance.lexis.com/api/document?collection=cases-ca&amp;id=urn:contentItem:5F8T-N3V1-FC1F-M46D-00000-00&amp;context=" TargetMode="External" /><Relationship Id="rId933" Type="http://schemas.openxmlformats.org/officeDocument/2006/relationships/hyperlink" Target="https://advance.lexis.com/api/document?collection=cases-ca&amp;id=urn:contentItem:5F8P-SDM1-F5T5-M2K8-00000-00&amp;context=" TargetMode="External" /><Relationship Id="rId934" Type="http://schemas.openxmlformats.org/officeDocument/2006/relationships/hyperlink" Target="https://advance.lexis.com/api/document?collection=cases-ca&amp;id=urn:contentItem:5F8P-SDN1-JJD0-G2W9-00000-00&amp;context=" TargetMode="External" /><Relationship Id="rId935" Type="http://schemas.openxmlformats.org/officeDocument/2006/relationships/header" Target="header118.xml" /><Relationship Id="rId936" Type="http://schemas.openxmlformats.org/officeDocument/2006/relationships/header" Target="header119.xml" /><Relationship Id="rId937" Type="http://schemas.openxmlformats.org/officeDocument/2006/relationships/footer" Target="footer118.xml" /><Relationship Id="rId938" Type="http://schemas.openxmlformats.org/officeDocument/2006/relationships/footer" Target="footer119.xml" /><Relationship Id="rId939" Type="http://schemas.openxmlformats.org/officeDocument/2006/relationships/header" Target="header120.xml" /><Relationship Id="rId94" Type="http://schemas.openxmlformats.org/officeDocument/2006/relationships/hyperlink" Target="https://advance.lexis.com/api/document?collection=cases-ca&amp;id=urn:contentItem:5F7T-S7P1-JSJC-X1MR-00000-00&amp;context=" TargetMode="External" /><Relationship Id="rId940" Type="http://schemas.openxmlformats.org/officeDocument/2006/relationships/footer" Target="footer120.xml" /><Relationship Id="rId941" Type="http://schemas.openxmlformats.org/officeDocument/2006/relationships/hyperlink" Target="https://advance.lexis.com/api/document?collection=cases-ca&amp;id=urn:contentItem:5N8X-PSB1-JCRC-B3MH-00000-00&amp;context=" TargetMode="External" /><Relationship Id="rId942" Type="http://schemas.openxmlformats.org/officeDocument/2006/relationships/hyperlink" Target="https://advance.lexis.com/api/document?collection=cases-ca&amp;id=urn:contentItem:5F7T-S7M1-JJK6-S1KX-00000-00&amp;context=" TargetMode="External" /><Relationship Id="rId943" Type="http://schemas.openxmlformats.org/officeDocument/2006/relationships/hyperlink" Target="https://advance.lexis.com/api/document?collection=cases-ca&amp;id=urn:contentItem:5F7T-S7D1-FFFC-B1DT-00000-00&amp;context=" TargetMode="External" /><Relationship Id="rId944" Type="http://schemas.openxmlformats.org/officeDocument/2006/relationships/hyperlink" Target="https://advance.lexis.com/api/document?collection=cases-ca&amp;id=urn:contentItem:5F7T-S7F1-FJTD-G3D8-00000-00&amp;context=" TargetMode="External" /><Relationship Id="rId945" Type="http://schemas.openxmlformats.org/officeDocument/2006/relationships/hyperlink" Target="https://advance.lexis.com/api/document?collection=cases-ca&amp;id=urn:contentItem:5F7T-S7N1-JGHR-M38N-00000-00&amp;context=" TargetMode="External" /><Relationship Id="rId946" Type="http://schemas.openxmlformats.org/officeDocument/2006/relationships/header" Target="header121.xml" /><Relationship Id="rId947" Type="http://schemas.openxmlformats.org/officeDocument/2006/relationships/header" Target="header122.xml" /><Relationship Id="rId948" Type="http://schemas.openxmlformats.org/officeDocument/2006/relationships/footer" Target="footer121.xml" /><Relationship Id="rId949" Type="http://schemas.openxmlformats.org/officeDocument/2006/relationships/footer" Target="footer122.xml" /><Relationship Id="rId95" Type="http://schemas.openxmlformats.org/officeDocument/2006/relationships/hyperlink" Target="https://advance.lexis.com/api/document?collection=cases-ca&amp;id=urn:contentItem:5F7T-S7N1-JW09-M126-00000-00&amp;context=" TargetMode="External" /><Relationship Id="rId950" Type="http://schemas.openxmlformats.org/officeDocument/2006/relationships/header" Target="header123.xml" /><Relationship Id="rId951" Type="http://schemas.openxmlformats.org/officeDocument/2006/relationships/footer" Target="footer123.xml" /><Relationship Id="rId952" Type="http://schemas.openxmlformats.org/officeDocument/2006/relationships/hyperlink" Target="https://advance.lexis.com/api/document?collection=cases-ca&amp;id=urn:contentItem:5K6Y-81N1-JN14-G1NR-00000-00&amp;context=" TargetMode="External" /><Relationship Id="rId953" Type="http://schemas.openxmlformats.org/officeDocument/2006/relationships/hyperlink" Target="https://advance.lexis.com/api/document?collection=cases-ca&amp;id=urn:contentItem:5F7T-S7G1-JNY7-X443-00000-00&amp;context=" TargetMode="External" /><Relationship Id="rId954" Type="http://schemas.openxmlformats.org/officeDocument/2006/relationships/hyperlink" Target="https://advance.lexis.com/api/document?collection=cases-ca&amp;id=urn:contentItem:5F8T-N3V1-JTGH-B184-00000-00&amp;context=" TargetMode="External" /><Relationship Id="rId955" Type="http://schemas.openxmlformats.org/officeDocument/2006/relationships/hyperlink" Target="https://advance.lexis.com/api/document?collection=cases-ca&amp;id=urn:contentItem:5F7T-S6V1-JC0G-622N-00000-00&amp;context=" TargetMode="External" /><Relationship Id="rId956" Type="http://schemas.openxmlformats.org/officeDocument/2006/relationships/hyperlink" Target="https://advance.lexis.com/api/document?collection=cases-ca&amp;id=urn:contentItem:5F7T-S6V1-JC0G-62K3-00000-00&amp;context=" TargetMode="External" /><Relationship Id="rId957" Type="http://schemas.openxmlformats.org/officeDocument/2006/relationships/hyperlink" Target="https://advance.lexis.com/api/document?collection=cases-ca&amp;id=urn:contentItem:5F7T-S781-FH4C-X2RN-00000-00&amp;context=" TargetMode="External" /><Relationship Id="rId958" Type="http://schemas.openxmlformats.org/officeDocument/2006/relationships/hyperlink" Target="https://advance.lexis.com/api/document?collection=cases-ca&amp;id=urn:contentItem:5F7T-S7J1-DXWW-251K-00000-00&amp;context=" TargetMode="External" /><Relationship Id="rId959" Type="http://schemas.openxmlformats.org/officeDocument/2006/relationships/hyperlink" Target="https://advance.lexis.com/api/document?collection=cases-ca&amp;id=urn:contentItem:5F7T-S751-JBM1-M2CY-00000-00&amp;context=" TargetMode="External" /><Relationship Id="rId96" Type="http://schemas.openxmlformats.org/officeDocument/2006/relationships/hyperlink" Target="https://advance.lexis.com/api/document?collection=cases-ca&amp;id=urn:contentItem:5F7T-S7F1-DXWW-246D-00000-00&amp;context=" TargetMode="External" /><Relationship Id="rId960" Type="http://schemas.openxmlformats.org/officeDocument/2006/relationships/hyperlink" Target="https://advance.lexis.com/api/document?collection=cases-ca&amp;id=urn:contentItem:5F7T-S6W1-JB7K-21KW-00000-00&amp;context=" TargetMode="External" /><Relationship Id="rId961" Type="http://schemas.openxmlformats.org/officeDocument/2006/relationships/hyperlink" Target="https://advance.lexis.com/api/document?collection=cases-ca&amp;id=urn:contentItem:5F7T-S771-JJD0-G15Y-00000-00&amp;context=" TargetMode="External" /><Relationship Id="rId962" Type="http://schemas.openxmlformats.org/officeDocument/2006/relationships/hyperlink" Target="https://advance.lexis.com/api/document?collection=cases-ca&amp;id=urn:contentItem:5F7T-S7D1-FC6N-X0P7-00000-00&amp;context=" TargetMode="External" /><Relationship Id="rId963" Type="http://schemas.openxmlformats.org/officeDocument/2006/relationships/hyperlink" Target="https://advance.lexis.com/api/document?collection=cases-ca&amp;id=urn:contentItem:5F7T-S7G1-JWR6-S1X8-00000-00&amp;context=" TargetMode="External" /><Relationship Id="rId964" Type="http://schemas.openxmlformats.org/officeDocument/2006/relationships/hyperlink" Target="https://advance.lexis.com/api/document?collection=cases-ca&amp;id=urn:contentItem:5F7T-S6T1-F8KH-X0TH-00000-00&amp;context=" TargetMode="External" /><Relationship Id="rId965" Type="http://schemas.openxmlformats.org/officeDocument/2006/relationships/hyperlink" Target="https://advance.lexis.com/api/document?collection=cases-ca&amp;id=urn:contentItem:5F7T-S6Y1-DY33-B061-00000-00&amp;context=" TargetMode="External" /><Relationship Id="rId966" Type="http://schemas.openxmlformats.org/officeDocument/2006/relationships/hyperlink" Target="https://advance.lexis.com/api/document?collection=cases-ca&amp;id=urn:contentItem:5F7T-S7M1-JNCK-22RP-00000-00&amp;context=" TargetMode="External" /><Relationship Id="rId967" Type="http://schemas.openxmlformats.org/officeDocument/2006/relationships/hyperlink" Target="https://advance.lexis.com/api/document?collection=cases-ca&amp;id=urn:contentItem:5F7T-S7G1-JPP5-2210-00000-00&amp;context=" TargetMode="External" /><Relationship Id="rId968" Type="http://schemas.openxmlformats.org/officeDocument/2006/relationships/hyperlink" Target="https://advance.lexis.com/api/document?collection=cases-ca&amp;id=urn:contentItem:5F7T-S761-JS5Y-B1G8-00000-00&amp;context=" TargetMode="External" /><Relationship Id="rId969" Type="http://schemas.openxmlformats.org/officeDocument/2006/relationships/hyperlink" Target="https://advance.lexis.com/api/document?collection=cases-ca&amp;id=urn:contentItem:5F8T-N3T1-JJSF-2361-00000-00&amp;context=" TargetMode="External" /><Relationship Id="rId97" Type="http://schemas.openxmlformats.org/officeDocument/2006/relationships/hyperlink" Target="https://advance.lexis.com/api/document?collection=cases-ca&amp;id=urn:contentItem:5F7T-S7H1-F016-S3Y1-00000-00&amp;context=" TargetMode="External" /><Relationship Id="rId970" Type="http://schemas.openxmlformats.org/officeDocument/2006/relationships/hyperlink" Target="https://advance.lexis.com/api/document?collection=cases-ca&amp;id=urn:contentItem:5F16-9371-F5DR-22XJ-00000-00&amp;context=" TargetMode="External" /><Relationship Id="rId971" Type="http://schemas.openxmlformats.org/officeDocument/2006/relationships/hyperlink" Target="https://advance.lexis.com/api/document?collection=cases-ca&amp;id=urn:contentItem:5F7T-S7H1-JCRC-B0PH-00000-00&amp;context=" TargetMode="External" /><Relationship Id="rId972" Type="http://schemas.openxmlformats.org/officeDocument/2006/relationships/hyperlink" Target="https://advance.lexis.com/api/document?collection=cases-ca&amp;id=urn:contentItem:5F7T-S7H1-F4GK-M34T-00000-00&amp;context=" TargetMode="External" /><Relationship Id="rId973" Type="http://schemas.openxmlformats.org/officeDocument/2006/relationships/hyperlink" Target="https://advance.lexis.com/api/document?collection=cases-ca&amp;id=urn:contentItem:5F7T-S7H1-K054-G2DT-00000-00&amp;context=" TargetMode="External" /><Relationship Id="rId974" Type="http://schemas.openxmlformats.org/officeDocument/2006/relationships/hyperlink" Target="https://advance.lexis.com/api/document?collection=cases-ca&amp;id=urn:contentItem:5F7T-S7H1-FCSB-S3JG-00000-00&amp;context=" TargetMode="External" /><Relationship Id="rId975" Type="http://schemas.openxmlformats.org/officeDocument/2006/relationships/hyperlink" Target="https://advance.lexis.com/api/document?collection=cases-ca&amp;id=urn:contentItem:5F7T-S7F1-DXWW-24HS-00000-00&amp;context=" TargetMode="External" /><Relationship Id="rId976" Type="http://schemas.openxmlformats.org/officeDocument/2006/relationships/hyperlink" Target="https://advance.lexis.com/api/document?collection=cases-ca&amp;id=urn:contentItem:5F7T-S7J1-JNS1-M2FJ-00000-00&amp;context=" TargetMode="External" /><Relationship Id="rId977" Type="http://schemas.openxmlformats.org/officeDocument/2006/relationships/hyperlink" Target="https://advance.lexis.com/api/document?collection=cases-ca&amp;id=urn:contentItem:5F7T-S7K1-F1H1-221V-00000-00&amp;context=" TargetMode="External" /><Relationship Id="rId978" Type="http://schemas.openxmlformats.org/officeDocument/2006/relationships/hyperlink" Target="https://advance.lexis.com/api/document?collection=cases-ca&amp;id=urn:contentItem:5F7T-S771-F2TK-231K-00000-00&amp;context=" TargetMode="External" /><Relationship Id="rId979" Type="http://schemas.openxmlformats.org/officeDocument/2006/relationships/hyperlink" Target="https://advance.lexis.com/api/document?collection=cases-ca&amp;id=urn:contentItem:5F7T-S7G1-F5KY-B1CT-00000-00&amp;context=" TargetMode="External" /><Relationship Id="rId98" Type="http://schemas.openxmlformats.org/officeDocument/2006/relationships/hyperlink" Target="https://advance.lexis.com/api/document?collection=cases-ca&amp;id=urn:contentItem:5F7T-S7N1-JW09-M0R1-00000-00&amp;context=" TargetMode="External" /><Relationship Id="rId980" Type="http://schemas.openxmlformats.org/officeDocument/2006/relationships/hyperlink" Target="https://advance.lexis.com/api/document?collection=cases-ca&amp;id=urn:contentItem:5F7T-S771-JSJC-X038-00000-00&amp;context=" TargetMode="External" /><Relationship Id="rId981" Type="http://schemas.openxmlformats.org/officeDocument/2006/relationships/hyperlink" Target="https://advance.lexis.com/api/document?collection=cases-ca&amp;id=urn:contentItem:5F7T-S7C1-JS0R-22BW-00000-00&amp;context=" TargetMode="External" /><Relationship Id="rId982" Type="http://schemas.openxmlformats.org/officeDocument/2006/relationships/hyperlink" Target="https://advance.lexis.com/api/document?collection=cases-ca&amp;id=urn:contentItem:5F7T-S751-JGHR-M273-00000-00&amp;context=" TargetMode="External" /><Relationship Id="rId983" Type="http://schemas.openxmlformats.org/officeDocument/2006/relationships/hyperlink" Target="https://advance.lexis.com/api/document?collection=cases-ca&amp;id=urn:contentItem:5F8P-SG71-JGBH-B0K5-00000-00&amp;context=" TargetMode="External" /><Relationship Id="rId984" Type="http://schemas.openxmlformats.org/officeDocument/2006/relationships/header" Target="header124.xml" /><Relationship Id="rId985" Type="http://schemas.openxmlformats.org/officeDocument/2006/relationships/header" Target="header125.xml" /><Relationship Id="rId986" Type="http://schemas.openxmlformats.org/officeDocument/2006/relationships/footer" Target="footer124.xml" /><Relationship Id="rId987" Type="http://schemas.openxmlformats.org/officeDocument/2006/relationships/footer" Target="footer125.xml" /><Relationship Id="rId988" Type="http://schemas.openxmlformats.org/officeDocument/2006/relationships/header" Target="header126.xml" /><Relationship Id="rId989" Type="http://schemas.openxmlformats.org/officeDocument/2006/relationships/footer" Target="footer126.xml" /><Relationship Id="rId99" Type="http://schemas.openxmlformats.org/officeDocument/2006/relationships/hyperlink" Target="https://advance.lexis.com/api/document?collection=cases-ca&amp;id=urn:contentItem:5F7T-S7P1-JG02-S42D-00000-00&amp;context=" TargetMode="External" /><Relationship Id="rId990" Type="http://schemas.openxmlformats.org/officeDocument/2006/relationships/hyperlink" Target="https://advance.lexis.com/api/document?collection=cases-ca&amp;id=urn:contentItem:5F7T-S7K1-JWXF-216D-00000-00&amp;context=" TargetMode="External" /><Relationship Id="rId991" Type="http://schemas.openxmlformats.org/officeDocument/2006/relationships/hyperlink" Target="https://advance.lexis.com/api/document?collection=cases-ca&amp;id=urn:contentItem:5K6Y-81M1-F81W-23SV-00000-00&amp;context=" TargetMode="External" /><Relationship Id="rId992" Type="http://schemas.openxmlformats.org/officeDocument/2006/relationships/hyperlink" Target="https://advance.lexis.com/api/document?collection=cases-ca&amp;id=urn:contentItem:5F7T-S7M1-JCRC-B1MY-00000-00&amp;context=" TargetMode="External" /><Relationship Id="rId993" Type="http://schemas.openxmlformats.org/officeDocument/2006/relationships/hyperlink" Target="https://advance.lexis.com/api/document?collection=cases-ca&amp;id=urn:contentItem:5F7T-S771-JWBS-61D1-00000-00&amp;context=" TargetMode="External" /><Relationship Id="rId994" Type="http://schemas.openxmlformats.org/officeDocument/2006/relationships/hyperlink" Target="https://advance.lexis.com/api/document?collection=cases-ca&amp;id=urn:contentItem:5F7T-S7H1-F4GK-M2XG-00000-00&amp;context=" TargetMode="External" /><Relationship Id="rId995" Type="http://schemas.openxmlformats.org/officeDocument/2006/relationships/hyperlink" Target="https://advance.lexis.com/api/document?collection=cases-ca&amp;id=urn:contentItem:5F7T-S7J1-JNS1-M26V-00000-00&amp;context=" TargetMode="External" /><Relationship Id="rId996" Type="http://schemas.openxmlformats.org/officeDocument/2006/relationships/hyperlink" Target="https://advance.lexis.com/api/document?collection=cases-ca&amp;id=urn:contentItem:5F7T-S7K1-JKHB-62NV-00000-00&amp;context=" TargetMode="External" /><Relationship Id="rId997" Type="http://schemas.openxmlformats.org/officeDocument/2006/relationships/hyperlink" Target="https://advance.lexis.com/api/document?collection=cases-ca&amp;id=urn:contentItem:5F7T-S7D1-FFFC-B1GR-00000-00&amp;context=" TargetMode="External" /><Relationship Id="rId998" Type="http://schemas.openxmlformats.org/officeDocument/2006/relationships/hyperlink" Target="https://advance.lexis.com/api/document?collection=cases-ca&amp;id=urn:contentItem:5F7T-S7C1-F30T-B2GM-00000-00&amp;context=" TargetMode="External" /><Relationship Id="rId999" Type="http://schemas.openxmlformats.org/officeDocument/2006/relationships/hyperlink" Target="https://advance.lexis.com/api/document?collection=cases-ca&amp;id=urn:contentItem:5F7V-3DK1-JW5H-X38B-00000-00&amp;context=" TargetMode="Externa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Felty v. Ernst &amp; Young LLP, [2013] B.C.J. No. 961</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115043206</vt:lpwstr>
  </property>
  <property fmtid="{D5CDD505-2E9C-101B-9397-08002B2CF9AE}" pid="3" name="LADocCount">
    <vt:i4>50</vt:i4>
  </property>
  <property fmtid="{D5CDD505-2E9C-101B-9397-08002B2CF9AE}" pid="4" name="Language">
    <vt:lpwstr>en-CA</vt:lpwstr>
  </property>
  <property fmtid="{D5CDD505-2E9C-101B-9397-08002B2CF9AE}" pid="5" name="UserPermID">
    <vt:lpwstr>urn:user:PA187417739</vt:lpwstr>
  </property>
</Properties>
</file>